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工作周报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div class="field-label"&gt;姓名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宋鑫锐</w:t>
      </w:r>
    </w:p>
    <w:p>
      <w:pPr>
        <w:spacing w:before="0" w:after="0"/>
      </w:pP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div class="field-label"&gt;时间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2026.5.13-2026.5.19</w:t>
      </w:r>
    </w:p>
    <w:p>
      <w:pPr>
        <w:spacing w:before="0" w:after="0"/>
      </w:pP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div class="field-label"&gt;团队项目名称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GIMP AI Mentor</w:t>
      </w:r>
    </w:p>
    <w:p>
      <w:pPr>
        <w:spacing w:before="0" w:after="0"/>
      </w:pP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div class="field-label"&gt;工作总结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完成的内容（项目达到运行状态时，请配截图）：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1. 编写端到端集成测试用例（tests/test_integration.py），覆盖5个核心修图场景：人像磨皮美白、风光色彩增强、美食提亮调色、曝光修正、白平衡校正，全部用例通过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2. 完成Parser健壮性强化：针对50+组AI返回JSON样本进行Schema校验回归测试，修复3处边界解析缺陷（畸形JSON自动修复、缺失字段默认值注入、数值类型自动转换），将解析成功率从91%提升至98%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3. 基于Beta测试反馈对System Prompt进行两轮迭代优化，将AI输出的修图步骤粒度从粗粒度（"调整曝光"）细化为可执行步骤（"打开色阶对话框→设置输入黑场为10→设置输入白场为245→确认"），步骤可执行率提升约30%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4. 配合王小磊完成API异常恢复机制：实现指数退避重试（3次、间隔1s/2s/4s）、API超时后自动降级至本地Mock预设数据，确保离线或网络异常时插件核心流程不中断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5. 扩充测试图片库至35+张，新增15张极端场景样本（强逆光人像、夜景低照度、过曝高光、高ISO噪点、混合色温），每张标注预期诊断结果与标准修图参数，用于Parser与Engine联合回归测试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6. 修复Beta集成测试中发现的7个问题：大图分析时UI卡死（增加Gdk线程异步处理）、步骤编号跳号（状态机索引修正）、预览图层未自动命名（layer_manager逻辑修复）等</w:t>
      </w:r>
    </w:p>
    <w:p>
      <w:pPr>
        <w:spacing w:before="0" w:after="0"/>
      </w:pP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div class="field-label"&gt;未完成的内容：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1. 多轮对话上下文管理功能尚未接入，当前版本仅支持单轮"诊断→生成指导"流程，计划推迟至v1.1迭代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2. 本地LLaVA降级方案因预算限制未部署，当前使用Mock预设数据作为离线兜底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3. 社区网站配方分享功能（预设）未启动开发，仅完成本地配方的导入/导出</w:t>
      </w:r>
    </w:p>
    <w:p>
      <w:pPr>
        <w:spacing w:before="0" w:after="0"/>
      </w:pP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div class="field-label"&gt;现存问题：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1. DeepSeek API在部分测试图片上偶发返回截断JSON（content_filter误触发），需在Parser层增加JSON完整性检测（括号匹配校验）与自动重试机制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2. 人像模式下肤色检测精度存在人群差异，深肤色样本的磨皮参数偶有偏差，测试集多样性仍需补充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3. Token消耗仍偏高（单次完整调用约4500-5500 tokens），接近预算上限，需评估图片压缩策略的经济性</w:t>
      </w:r>
    </w:p>
    <w:p>
      <w:pPr>
        <w:spacing w:before="0" w:after="0"/>
      </w:pP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div class="field-label"&gt;改进建议：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1. 在parser.py中增加JSON完整性预检（匹配花括号/方括号数量），检测到截断时自动触发重试，降低因API输出截断导致的解析失败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2. 补充不同肤色、不同年龄段的人像测试样本至少10张，优化人像场景下的AI诊断公平性与准确性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3. 评估降低上传图片分辨率（如长边限制在1024px）对诊断准确率的影响，若影响低于5%则采用压缩策略以节省Token</w:t>
      </w:r>
    </w:p>
    <w:p>
      <w:pPr>
        <w:spacing w:before="0" w:after="0"/>
      </w:pP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div class="field-label"&gt;工作计划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内容：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1. 配合团队完成Beta版本打包与演示脚本编写，准备正式演示所需的测试素材与操作流程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2. 整理并锁定全部15套预设修图配方（人像5套、风光5套、美食3套、胶片模拟2套），统一导出为.gimp-ai-recipe格式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3. 着手编写用户手册与安装说明文档，涵盖插件安装步骤、API Key配置、功能使用教程及常见问题解答</w:t>
      </w:r>
    </w:p>
    <w:p>
      <w:pPr>
        <w:spacing w:before="0" w:after="0" w:line="360" w:lineRule="auto"/>
      </w:pPr>
      <w:r>
        <w:rPr>
          <w:rFonts w:ascii="宋体" w:hAnsi="宋体" w:eastAsia="宋体"/>
          <w:sz w:val="24"/>
        </w:rPr>
        <w:t>4. 输出12周API Token用量统计与成本分析报告，为后续运营预算提供数据支撑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