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ageBreakBefore w:val="0"/>
        <w:spacing w:line="360" w:lineRule="auto"/>
        <w:ind w:left="5760" w:righ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LOCKDOWN PROCEDURES</w:t>
      </w:r>
      <w:r w:rsidDel="00000000" w:rsidR="00000000" w:rsidRPr="00000000">
        <w:drawing>
          <wp:anchor allowOverlap="1" behindDoc="0" distB="0" distT="0" distL="0" distR="0" hidden="0" layoutInCell="1" locked="0" relativeHeight="0" simplePos="0">
            <wp:simplePos x="0" y="0"/>
            <wp:positionH relativeFrom="column">
              <wp:posOffset>-523874</wp:posOffset>
            </wp:positionH>
            <wp:positionV relativeFrom="paragraph">
              <wp:posOffset>0</wp:posOffset>
            </wp:positionV>
            <wp:extent cx="2600325" cy="1066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1066800"/>
                    </a:xfrm>
                    <a:prstGeom prst="rect"/>
                    <a:ln/>
                  </pic:spPr>
                </pic:pic>
              </a:graphicData>
            </a:graphic>
          </wp:anchor>
        </w:drawing>
      </w:r>
    </w:p>
    <w:p w:rsidR="00000000" w:rsidDel="00000000" w:rsidP="00000000" w:rsidRDefault="00000000" w:rsidRPr="00000000" w14:paraId="00000002">
      <w:pPr>
        <w:pageBreakBefore w:val="0"/>
        <w:spacing w:line="360" w:lineRule="auto"/>
        <w:ind w:left="5040" w:right="-72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CLEARANCE LEVEL: </w:t>
      </w:r>
      <w:r w:rsidDel="00000000" w:rsidR="00000000" w:rsidRPr="00000000">
        <w:rPr>
          <w:rFonts w:ascii="Courier New" w:cs="Courier New" w:eastAsia="Courier New" w:hAnsi="Courier New"/>
          <w:sz w:val="26"/>
          <w:szCs w:val="26"/>
          <w:rtl w:val="0"/>
        </w:rPr>
        <w:t xml:space="preserve">Level-0+</w:t>
      </w:r>
      <w:r w:rsidDel="00000000" w:rsidR="00000000" w:rsidRPr="00000000">
        <w:rPr>
          <w:rtl w:val="0"/>
        </w:rPr>
      </w:r>
    </w:p>
    <w:p w:rsidR="00000000" w:rsidDel="00000000" w:rsidP="00000000" w:rsidRDefault="00000000" w:rsidRPr="00000000" w14:paraId="00000003">
      <w:pPr>
        <w:pageBreakBefore w:val="0"/>
        <w:spacing w:line="360" w:lineRule="auto"/>
        <w:ind w:left="5040" w:right="-720" w:firstLine="72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DEPARTMENTS: </w:t>
      </w:r>
      <w:r w:rsidDel="00000000" w:rsidR="00000000" w:rsidRPr="00000000">
        <w:rPr>
          <w:rFonts w:ascii="Courier New" w:cs="Courier New" w:eastAsia="Courier New" w:hAnsi="Courier New"/>
          <w:sz w:val="26"/>
          <w:szCs w:val="26"/>
          <w:rtl w:val="0"/>
        </w:rPr>
        <w:t xml:space="preserve">N/A</w:t>
      </w:r>
      <w:r w:rsidDel="00000000" w:rsidR="00000000" w:rsidRPr="00000000">
        <w:rPr>
          <w:rFonts w:ascii="Courier New" w:cs="Courier New" w:eastAsia="Courier New" w:hAnsi="Courier New"/>
          <w:b w:val="1"/>
          <w:sz w:val="26"/>
          <w:szCs w:val="26"/>
          <w:rtl w:val="0"/>
        </w:rPr>
        <w:t xml:space="preserve"> </w:t>
      </w:r>
      <w:r w:rsidDel="00000000" w:rsidR="00000000" w:rsidRPr="00000000">
        <w:rPr>
          <w:rtl w:val="0"/>
        </w:rPr>
      </w:r>
    </w:p>
    <w:p w:rsidR="00000000" w:rsidDel="00000000" w:rsidP="00000000" w:rsidRDefault="00000000" w:rsidRPr="00000000" w14:paraId="00000004">
      <w:pPr>
        <w:pageBreakBefore w:val="0"/>
        <w:spacing w:line="360" w:lineRule="auto"/>
        <w:ind w:left="5040" w:right="-720" w:firstLine="72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AUTHORS: </w:t>
      </w:r>
      <w:r w:rsidDel="00000000" w:rsidR="00000000" w:rsidRPr="00000000">
        <w:rPr>
          <w:rFonts w:ascii="Courier New" w:cs="Courier New" w:eastAsia="Courier New" w:hAnsi="Courier New"/>
          <w:sz w:val="26"/>
          <w:szCs w:val="26"/>
          <w:rtl w:val="0"/>
        </w:rPr>
        <w:t xml:space="preserve">KrispRusso</w:t>
      </w:r>
      <w:r w:rsidDel="00000000" w:rsidR="00000000" w:rsidRPr="00000000">
        <w:rPr>
          <w:rtl w:val="0"/>
        </w:rPr>
      </w:r>
    </w:p>
    <w:p w:rsidR="00000000" w:rsidDel="00000000" w:rsidP="00000000" w:rsidRDefault="00000000" w:rsidRPr="00000000" w14:paraId="00000005">
      <w:pPr>
        <w:pageBreakBefore w:val="0"/>
        <w:spacing w:line="360" w:lineRule="auto"/>
        <w:ind w:left="-720" w:right="-720" w:firstLine="0"/>
        <w:rPr>
          <w:rFonts w:ascii="Trebuchet MS" w:cs="Trebuchet MS" w:eastAsia="Trebuchet MS" w:hAnsi="Trebuchet M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line="360" w:lineRule="auto"/>
        <w:ind w:left="-720" w:righ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spacing w:line="360" w:lineRule="auto"/>
        <w:ind w:left="-720" w:right="-720" w:firstLine="0"/>
        <w:rPr>
          <w:rFonts w:ascii="Trebuchet MS" w:cs="Trebuchet MS" w:eastAsia="Trebuchet MS" w:hAnsi="Trebuchet MS"/>
          <w:b w:val="1"/>
          <w:sz w:val="24"/>
          <w:szCs w:val="24"/>
          <w:u w:val="single"/>
        </w:rPr>
      </w:pPr>
      <w:r w:rsidDel="00000000" w:rsidR="00000000" w:rsidRPr="00000000">
        <w:rPr>
          <w:rFonts w:ascii="Courier New" w:cs="Courier New" w:eastAsia="Courier New" w:hAnsi="Courier New"/>
          <w:rtl w:val="0"/>
        </w:rPr>
        <w:tab/>
      </w:r>
      <w:r w:rsidDel="00000000" w:rsidR="00000000" w:rsidRPr="00000000">
        <w:rPr>
          <w:rFonts w:ascii="Trebuchet MS" w:cs="Trebuchet MS" w:eastAsia="Trebuchet MS" w:hAnsi="Trebuchet MS"/>
          <w:b w:val="1"/>
          <w:sz w:val="24"/>
          <w:szCs w:val="24"/>
          <w:u w:val="single"/>
          <w:rtl w:val="0"/>
        </w:rPr>
        <w:t xml:space="preserve">UTILIZATION:</w:t>
      </w:r>
    </w:p>
    <w:p w:rsidR="00000000" w:rsidDel="00000000" w:rsidP="00000000" w:rsidRDefault="00000000" w:rsidRPr="00000000" w14:paraId="00000008">
      <w:pPr>
        <w:pageBreakBefore w:val="0"/>
        <w:spacing w:line="360" w:lineRule="auto"/>
        <w:ind w:left="-720" w:right="-720" w:firstLine="0"/>
        <w:rPr>
          <w:rFonts w:ascii="Trebuchet MS" w:cs="Trebuchet MS" w:eastAsia="Trebuchet MS" w:hAnsi="Trebuchet MS"/>
          <w:sz w:val="24"/>
          <w:szCs w:val="24"/>
          <w:highlight w:val="black"/>
        </w:rPr>
      </w:pPr>
      <w:r w:rsidDel="00000000" w:rsidR="00000000" w:rsidRPr="00000000">
        <w:rPr>
          <w:rFonts w:ascii="Trebuchet MS" w:cs="Trebuchet MS" w:eastAsia="Trebuchet MS" w:hAnsi="Trebuchet MS"/>
          <w:sz w:val="24"/>
          <w:szCs w:val="24"/>
          <w:rtl w:val="0"/>
        </w:rPr>
        <w:t xml:space="preserve">The purpose of this documentation is to inform personnel of basic procedures during an on-site lockdown following a compromise of security or containment. Refer to this manual as your most reliable source. Lockdown procedures must be fast in order to achieve effectiveness, utilizing speed as an advantage over the adversary threat. Misunderstanding basic regulations can endanger you and everyone you work with. Due to this, site administration requires all personnel to be familiar with this manual.</w:t>
      </w:r>
      <w:r w:rsidDel="00000000" w:rsidR="00000000" w:rsidRPr="00000000">
        <w:rPr>
          <w:rtl w:val="0"/>
        </w:rPr>
      </w:r>
    </w:p>
    <w:p w:rsidR="00000000" w:rsidDel="00000000" w:rsidP="00000000" w:rsidRDefault="00000000" w:rsidRPr="00000000" w14:paraId="0000000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OVERVIEW:</w:t>
      </w:r>
    </w:p>
    <w:p w:rsidR="00000000" w:rsidDel="00000000" w:rsidP="00000000" w:rsidRDefault="00000000" w:rsidRPr="00000000" w14:paraId="0000000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lockdown is defined as a varying emergency procedure in response to a containment breach or loss of security. Lockdowns are requested using an LRC (Lockdown Response Code), and ordered by the O4 communications group. Once evaluated, lockdowns are classified using Lockdown Degrees, which provide pre-created guidance on the appropriate response, such as AMTF (Armed Mobile Task Force) units and Automated Response Initiatives (ARIs), commissioned when appropriate to suppress the apparent threat.</w:t>
      </w:r>
    </w:p>
    <w:p w:rsidR="00000000" w:rsidDel="00000000" w:rsidP="00000000" w:rsidRDefault="00000000" w:rsidRPr="00000000" w14:paraId="0000000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D">
      <w:pPr>
        <w:spacing w:line="360" w:lineRule="auto"/>
        <w:ind w:left="-720" w:right="-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O4 COMMAND:</w:t>
      </w:r>
    </w:p>
    <w:p w:rsidR="00000000" w:rsidDel="00000000" w:rsidP="00000000" w:rsidRDefault="00000000" w:rsidRPr="00000000" w14:paraId="0000000E">
      <w:pPr>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O4 Command consists of senior security and administration officials. Members of the O4 Command are authorized to order LRCs through radio communication. These are the following ranks that are members of the O4 Command.</w:t>
      </w:r>
    </w:p>
    <w:p w:rsidR="00000000" w:rsidDel="00000000" w:rsidP="00000000" w:rsidRDefault="00000000" w:rsidRPr="00000000" w14:paraId="0000000F">
      <w:pPr>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SD: Lieutenant, Captain, Assistant Director, and Director.</w:t>
      </w:r>
    </w:p>
    <w:p w:rsidR="00000000" w:rsidDel="00000000" w:rsidP="00000000" w:rsidRDefault="00000000" w:rsidRPr="00000000" w14:paraId="00000010">
      <w:pPr>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MTF: Executive Officer, Task Force Leader, and Director.</w:t>
      </w:r>
    </w:p>
    <w:p w:rsidR="00000000" w:rsidDel="00000000" w:rsidP="00000000" w:rsidRDefault="00000000" w:rsidRPr="00000000" w14:paraId="00000011">
      <w:pPr>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 Site Director, Administrative Coordinator, and Director.</w:t>
      </w:r>
    </w:p>
    <w:p w:rsidR="00000000" w:rsidDel="00000000" w:rsidP="00000000" w:rsidRDefault="00000000" w:rsidRPr="00000000" w14:paraId="00000012">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LOCKDOWN RESPONSE CODE:</w:t>
      </w:r>
    </w:p>
    <w:p w:rsidR="00000000" w:rsidDel="00000000" w:rsidP="00000000" w:rsidRDefault="00000000" w:rsidRPr="00000000" w14:paraId="0000001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Lockdown Response Code (LRC) is a communication technique applied when calling for distress or assistance following a lockdown. A LRC will typically contain a super-compacted description of the situation, represented by 3 values: Sector Number, Priority, Class. Understanding of an LRC is short and simple.</w:t>
      </w:r>
    </w:p>
    <w:p w:rsidR="00000000" w:rsidDel="00000000" w:rsidP="00000000" w:rsidRDefault="00000000" w:rsidRPr="00000000" w14:paraId="0000001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An example would be "S3/A/BLUE, which would request an adequate response at sector 3 with immediate action to combat at least one sentient object with below human intelligence capable of movement.</w:t>
      </w:r>
    </w:p>
    <w:p w:rsidR="00000000" w:rsidDel="00000000" w:rsidP="00000000" w:rsidRDefault="00000000" w:rsidRPr="00000000" w14:paraId="0000001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 all members of staff are authorized to order a LRC request. Specifically: site directors, containment organizers responsible for the escaped threat, security teams, and all members of administration, are all authorized to issue an LRC code using specific landline communication routes, should an SCP object escape or hostile incursion occur.</w:t>
      </w:r>
    </w:p>
    <w:p w:rsidR="00000000" w:rsidDel="00000000" w:rsidP="00000000" w:rsidRDefault="00000000" w:rsidRPr="00000000" w14:paraId="0000001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understanding of an LRC (Sector number, Priority, Class), see below.</w:t>
      </w:r>
    </w:p>
    <w:p w:rsidR="00000000" w:rsidDel="00000000" w:rsidP="00000000" w:rsidRDefault="00000000" w:rsidRPr="00000000" w14:paraId="0000001A">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SECTOR NUMBER:</w:t>
      </w:r>
    </w:p>
    <w:p w:rsidR="00000000" w:rsidDel="00000000" w:rsidP="00000000" w:rsidRDefault="00000000" w:rsidRPr="00000000" w14:paraId="0000001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specific sector number in which the situation is unfolding. Maybe multiple sectors.</w:t>
      </w:r>
    </w:p>
    <w:p w:rsidR="00000000" w:rsidDel="00000000" w:rsidP="00000000" w:rsidRDefault="00000000" w:rsidRPr="00000000" w14:paraId="0000001D">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PRIORITY:</w:t>
      </w:r>
    </w:p>
    <w:p w:rsidR="00000000" w:rsidDel="00000000" w:rsidP="00000000" w:rsidRDefault="00000000" w:rsidRPr="00000000" w14:paraId="0000001F">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Options range from [A, B, C, D, E] with A requesting the highest priority. Priority levels act as a gauge on how fast and effective the response needs to be. For example, an E-priority lockdown for a memetic hazard may take several minutes for a response to be compiled, whereas an A-priority with the same threat will be enacted almost instantly with maximum efficiency to combat a maximum threat.</w:t>
      </w:r>
    </w:p>
    <w:p w:rsidR="00000000" w:rsidDel="00000000" w:rsidP="00000000" w:rsidRDefault="00000000" w:rsidRPr="00000000" w14:paraId="00000020">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measure, below are the approximated response times to each priority level.</w:t>
      </w:r>
    </w:p>
    <w:p w:rsidR="00000000" w:rsidDel="00000000" w:rsidP="00000000" w:rsidRDefault="00000000" w:rsidRPr="00000000" w14:paraId="0000002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 Utmost urgency required, immediate mobilization</w:t>
      </w:r>
    </w:p>
    <w:p w:rsidR="00000000" w:rsidDel="00000000" w:rsidP="00000000" w:rsidRDefault="00000000" w:rsidRPr="00000000" w14:paraId="0000002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 - Urgent response required, prepare to mobilize </w:t>
      </w:r>
    </w:p>
    <w:p w:rsidR="00000000" w:rsidDel="00000000" w:rsidP="00000000" w:rsidRDefault="00000000" w:rsidRPr="00000000" w14:paraId="0000002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 - Response required, personnel make way to breach shelter</w:t>
      </w:r>
    </w:p>
    <w:p w:rsidR="00000000" w:rsidDel="00000000" w:rsidP="00000000" w:rsidRDefault="00000000" w:rsidRPr="00000000" w14:paraId="0000002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 - Response required, personnel avoid affected sector</w:t>
      </w:r>
    </w:p>
    <w:p w:rsidR="00000000" w:rsidDel="00000000" w:rsidP="00000000" w:rsidRDefault="00000000" w:rsidRPr="00000000" w14:paraId="0000002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 - Response requested, personnel may resume normal duties</w:t>
      </w:r>
    </w:p>
    <w:p w:rsidR="00000000" w:rsidDel="00000000" w:rsidP="00000000" w:rsidRDefault="00000000" w:rsidRPr="00000000" w14:paraId="0000002A">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u w:val="single"/>
          <w:rtl w:val="0"/>
        </w:rPr>
        <w:t xml:space="preserve">NOTE:</w:t>
      </w:r>
      <w:r w:rsidDel="00000000" w:rsidR="00000000" w:rsidRPr="00000000">
        <w:rPr>
          <w:rFonts w:ascii="Trebuchet MS" w:cs="Trebuchet MS" w:eastAsia="Trebuchet MS" w:hAnsi="Trebuchet MS"/>
          <w:sz w:val="24"/>
          <w:szCs w:val="24"/>
          <w:rtl w:val="0"/>
        </w:rPr>
        <w:t xml:space="preserve"> Priority may be a key factor in determining whether response from an AMTF/MTF is necessary, or if the site should be destroyed, and may be used as evidence when arguing for destruction used by the Ethics Committee.</w:t>
      </w:r>
    </w:p>
    <w:p w:rsidR="00000000" w:rsidDel="00000000" w:rsidP="00000000" w:rsidRDefault="00000000" w:rsidRPr="00000000" w14:paraId="0000002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CLASSIFICATIONS:</w:t>
      </w:r>
    </w:p>
    <w:p w:rsidR="00000000" w:rsidDel="00000000" w:rsidP="00000000" w:rsidRDefault="00000000" w:rsidRPr="00000000" w14:paraId="0000002E">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Lockdowns happen in a multitude of ways, and there are an even larger multitude of things you need to consider as a response. Categorizing stops people panicking, and conveys a clear description much faster and more effective than a conversation.</w:t>
      </w:r>
    </w:p>
    <w:p w:rsidR="00000000" w:rsidDel="00000000" w:rsidP="00000000" w:rsidRDefault="00000000" w:rsidRPr="00000000" w14:paraId="0000002F">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ind w:left="-720" w:right="-720"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Director Krisp, Head of the Administrative Department.</w:t>
      </w:r>
    </w:p>
    <w:p w:rsidR="00000000" w:rsidDel="00000000" w:rsidP="00000000" w:rsidRDefault="00000000" w:rsidRPr="00000000" w14:paraId="00000031">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classification represents the origin of the threat (NOTE: not the severity — that is determined in the priority value) which will require possible tracking, liquidation or re-containment by foreign MTF teams from other sites. Due to the often unfamiliarity of different sites, AMTF/MTF teams require a way of understanding the threat and generating expectations before they reach the site.</w:t>
      </w:r>
    </w:p>
    <w:p w:rsidR="00000000" w:rsidDel="00000000" w:rsidP="00000000" w:rsidRDefault="00000000" w:rsidRPr="00000000" w14:paraId="0000003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Multiple classifications can be used to describe a more complex-origin threat.</w:t>
      </w:r>
    </w:p>
    <w:p w:rsidR="00000000" w:rsidDel="00000000" w:rsidP="00000000" w:rsidRDefault="00000000" w:rsidRPr="00000000" w14:paraId="0000003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Currently, there are 9 classifications, listed below:</w:t>
      </w:r>
    </w:p>
    <w:p w:rsidR="00000000" w:rsidDel="00000000" w:rsidP="00000000" w:rsidRDefault="00000000" w:rsidRPr="00000000" w14:paraId="0000003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39">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BLUE</w:t>
      </w:r>
    </w:p>
    <w:p w:rsidR="00000000" w:rsidDel="00000000" w:rsidP="00000000" w:rsidRDefault="00000000" w:rsidRPr="00000000" w14:paraId="0000003A">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Suggests the escape of a sentient object below human intelligence capable of movement.</w:t>
      </w:r>
    </w:p>
    <w:p w:rsidR="00000000" w:rsidDel="00000000" w:rsidP="00000000" w:rsidRDefault="00000000" w:rsidRPr="00000000" w14:paraId="0000003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N/A, follow orders from security.</w:t>
      </w:r>
    </w:p>
    <w:p w:rsidR="00000000" w:rsidDel="00000000" w:rsidP="00000000" w:rsidRDefault="00000000" w:rsidRPr="00000000" w14:paraId="0000003D">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MTF-Epsilon-11 ("Nine-Tailed-Fox")</w:t>
      </w:r>
    </w:p>
    <w:p w:rsidR="00000000" w:rsidDel="00000000" w:rsidP="00000000" w:rsidRDefault="00000000" w:rsidRPr="00000000" w14:paraId="0000003F">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SUPERBLUE</w:t>
      </w:r>
    </w:p>
    <w:p w:rsidR="00000000" w:rsidDel="00000000" w:rsidP="00000000" w:rsidRDefault="00000000" w:rsidRPr="00000000" w14:paraId="00000041">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Suggests the escape of a sentient object equal or above human intelligence also capable of movement.</w:t>
      </w:r>
    </w:p>
    <w:p w:rsidR="00000000" w:rsidDel="00000000" w:rsidP="00000000" w:rsidRDefault="00000000" w:rsidRPr="00000000" w14:paraId="0000004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Identical evacuation plan to CODE: BLUE.</w:t>
      </w:r>
    </w:p>
    <w:p w:rsidR="00000000" w:rsidDel="00000000" w:rsidP="00000000" w:rsidRDefault="00000000" w:rsidRPr="00000000" w14:paraId="0000004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MTF-Epsilon-11 ("Nine-Tailed-Fox")</w:t>
      </w:r>
    </w:p>
    <w:p w:rsidR="00000000" w:rsidDel="00000000" w:rsidP="00000000" w:rsidRDefault="00000000" w:rsidRPr="00000000" w14:paraId="0000004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GREEN</w:t>
      </w:r>
    </w:p>
    <w:p w:rsidR="00000000" w:rsidDel="00000000" w:rsidP="00000000" w:rsidRDefault="00000000" w:rsidRPr="00000000" w14:paraId="0000004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Suggests any possible threat derived from a biohazard, infectious, or other contamination source. These may include highly-infectious microorganisms, biological weapons, or anomalous self-sustaining reactions capable of dramatically increasing in severity unless immediately countered. Not necessarily the escape of a single object, a CODE: GREEN may be often used in conjunction with another classification to signify a biohazardous threat.</w:t>
      </w:r>
    </w:p>
    <w:p w:rsidR="00000000" w:rsidDel="00000000" w:rsidP="00000000" w:rsidRDefault="00000000" w:rsidRPr="00000000" w14:paraId="0000004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Staff are to avoid contact with any sources of contamination or contaminated individuals above seeking evacuation. Do not leave the site. Staff should expect to be quarantined after the event.</w:t>
      </w:r>
    </w:p>
    <w:p w:rsidR="00000000" w:rsidDel="00000000" w:rsidP="00000000" w:rsidRDefault="00000000" w:rsidRPr="00000000" w14:paraId="0000004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MTF-Epsilon-11 ("Nine-Tailed-Fox").</w:t>
      </w:r>
    </w:p>
    <w:p w:rsidR="00000000" w:rsidDel="00000000" w:rsidP="00000000" w:rsidRDefault="00000000" w:rsidRPr="00000000" w14:paraId="0000004D">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4F">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RED</w:t>
      </w:r>
    </w:p>
    <w:p w:rsidR="00000000" w:rsidDel="00000000" w:rsidP="00000000" w:rsidRDefault="00000000" w:rsidRPr="00000000" w14:paraId="00000050">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Defines the parameters in which a Large-Scale Aggressor (LSA) such as SCP-323, has escaped containment and currently poses a substantial threat to the site and Foundation secrecy.</w:t>
      </w:r>
    </w:p>
    <w:p w:rsidR="00000000" w:rsidDel="00000000" w:rsidP="00000000" w:rsidRDefault="00000000" w:rsidRPr="00000000" w14:paraId="00000051">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N/A, follow orders from security.</w:t>
      </w:r>
    </w:p>
    <w:p w:rsidR="00000000" w:rsidDel="00000000" w:rsidP="00000000" w:rsidRDefault="00000000" w:rsidRPr="00000000" w14:paraId="0000005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Responses are usually of upper priority and almost all available battalion-strength AMTFs are expected to be allocated, such as MTF-Nu-7 ("Hammer Down")</w:t>
      </w:r>
    </w:p>
    <w:p w:rsidR="00000000" w:rsidDel="00000000" w:rsidP="00000000" w:rsidRDefault="00000000" w:rsidRPr="00000000" w14:paraId="0000005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BLACK</w:t>
      </w:r>
    </w:p>
    <w:p w:rsidR="00000000" w:rsidDel="00000000" w:rsidP="00000000" w:rsidRDefault="00000000" w:rsidRPr="00000000" w14:paraId="0000005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Suggests the escape of a NTT (Non-Terminable Threat) such as SCP-096. A NTT is defined as a threat that, given the circumstances or present resources, is unable to be terminated by response teams during the incident, or are otherwise invulnerable to any form of attack.</w:t>
      </w:r>
    </w:p>
    <w:p w:rsidR="00000000" w:rsidDel="00000000" w:rsidP="00000000" w:rsidRDefault="00000000" w:rsidRPr="00000000" w14:paraId="0000005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Staff move to nearest shelter, Class A personnel are to be evacuated. Do not engage fire on the NTT unless it has been proven to slow/hinder the advance of the threat.</w:t>
      </w:r>
    </w:p>
    <w:p w:rsidR="00000000" w:rsidDel="00000000" w:rsidP="00000000" w:rsidRDefault="00000000" w:rsidRPr="00000000" w14:paraId="0000005A">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MTF-Epsilon-11 ("Nine-Tailed-Fox")</w:t>
      </w:r>
    </w:p>
    <w:p w:rsidR="00000000" w:rsidDel="00000000" w:rsidP="00000000" w:rsidRDefault="00000000" w:rsidRPr="00000000" w14:paraId="0000005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WHITE</w:t>
      </w:r>
    </w:p>
    <w:p w:rsidR="00000000" w:rsidDel="00000000" w:rsidP="00000000" w:rsidRDefault="00000000" w:rsidRPr="00000000" w14:paraId="0000005E">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Used to describe the assault of a highly-organized major/minor assimilation-force that on-site security are unable to combat.</w:t>
      </w:r>
    </w:p>
    <w:p w:rsidR="00000000" w:rsidDel="00000000" w:rsidP="00000000" w:rsidRDefault="00000000" w:rsidRPr="00000000" w14:paraId="0000005F">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0">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Staff are advised to seek shelter immediately. All SCP objects are to be put into lockdown, and doors/entrances to the site blocked. Data banks may be encrypted to prevent hostile acquisition of vital information. Security is to protect staff and assets, not to repress the threat.</w:t>
      </w:r>
    </w:p>
    <w:p w:rsidR="00000000" w:rsidDel="00000000" w:rsidP="00000000" w:rsidRDefault="00000000" w:rsidRPr="00000000" w14:paraId="00000061">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Include all battalion-force AMTFs, such as MTF-Nu-7 ("Hammer Down").</w:t>
      </w:r>
    </w:p>
    <w:p w:rsidR="00000000" w:rsidDel="00000000" w:rsidP="00000000" w:rsidRDefault="00000000" w:rsidRPr="00000000" w14:paraId="00000063">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GRAY</w:t>
      </w:r>
    </w:p>
    <w:p w:rsidR="00000000" w:rsidDel="00000000" w:rsidP="00000000" w:rsidRDefault="00000000" w:rsidRPr="00000000" w14:paraId="0000006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Identical to CODE: WHITE, however highlights that the hostile incursion force originated from within the site, often in the form of false staff members. Conveys that hostiles are already within the site, and that on-site security may be highly disordered and compromised.</w:t>
      </w:r>
    </w:p>
    <w:p w:rsidR="00000000" w:rsidDel="00000000" w:rsidP="00000000" w:rsidRDefault="00000000" w:rsidRPr="00000000" w14:paraId="0000006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Identical evacuation plan to CODE: WHITE</w:t>
      </w:r>
    </w:p>
    <w:p w:rsidR="00000000" w:rsidDel="00000000" w:rsidP="00000000" w:rsidRDefault="00000000" w:rsidRPr="00000000" w14:paraId="0000006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Include all battalion-force AMTFs, such as MTF-Nu-7 ("Hammer Down").</w:t>
      </w:r>
    </w:p>
    <w:p w:rsidR="00000000" w:rsidDel="00000000" w:rsidP="00000000" w:rsidRDefault="00000000" w:rsidRPr="00000000" w14:paraId="00000069">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A">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w:t>
      </w:r>
      <w:r w:rsidDel="00000000" w:rsidR="00000000" w:rsidRPr="00000000">
        <w:rPr>
          <w:rFonts w:ascii="Trebuchet MS" w:cs="Trebuchet MS" w:eastAsia="Trebuchet MS" w:hAnsi="Trebuchet MS"/>
          <w:b w:val="1"/>
          <w:sz w:val="24"/>
          <w:szCs w:val="24"/>
          <w:u w:val="single"/>
          <w:rtl w:val="0"/>
        </w:rPr>
        <w:t xml:space="preserve">BLANK</w:t>
      </w:r>
    </w:p>
    <w:p w:rsidR="00000000" w:rsidDel="00000000" w:rsidP="00000000" w:rsidRDefault="00000000" w:rsidRPr="00000000" w14:paraId="0000006B">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Defines an undescribed threat.</w:t>
      </w:r>
    </w:p>
    <w:p w:rsidR="00000000" w:rsidDel="00000000" w:rsidP="00000000" w:rsidRDefault="00000000" w:rsidRPr="00000000" w14:paraId="0000006C">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N/A. Follow orders from security.</w:t>
      </w:r>
    </w:p>
    <w:p w:rsidR="00000000" w:rsidDel="00000000" w:rsidP="00000000" w:rsidRDefault="00000000" w:rsidRPr="00000000" w14:paraId="0000006E">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N/A</w:t>
      </w:r>
    </w:p>
    <w:p w:rsidR="00000000" w:rsidDel="00000000" w:rsidP="00000000" w:rsidRDefault="00000000" w:rsidRPr="00000000" w14:paraId="00000070">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1">
      <w:pPr>
        <w:pageBreakBefore w:val="0"/>
        <w:spacing w:line="360" w:lineRule="auto"/>
        <w:ind w:left="-720" w:right="-720" w:firstLine="720"/>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CODE: SUPERBLANK</w:t>
      </w:r>
    </w:p>
    <w:p w:rsidR="00000000" w:rsidDel="00000000" w:rsidP="00000000" w:rsidRDefault="00000000" w:rsidRPr="00000000" w14:paraId="00000072">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Synopsis: Defines a threat which cannot be described.</w:t>
      </w:r>
    </w:p>
    <w:p w:rsidR="00000000" w:rsidDel="00000000" w:rsidP="00000000" w:rsidRDefault="00000000" w:rsidRPr="00000000" w14:paraId="00000073">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4">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Special Guidance: N/A. Follow orders from security.</w:t>
      </w:r>
    </w:p>
    <w:p w:rsidR="00000000" w:rsidDel="00000000" w:rsidP="00000000" w:rsidRDefault="00000000" w:rsidRPr="00000000" w14:paraId="00000075">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6">
      <w:pPr>
        <w:pageBreakBefore w:val="0"/>
        <w:spacing w:line="360" w:lineRule="auto"/>
        <w:ind w:left="-720" w:righ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Listed MTFs: N/A</w:t>
      </w:r>
    </w:p>
    <w:p w:rsidR="00000000" w:rsidDel="00000000" w:rsidP="00000000" w:rsidRDefault="00000000" w:rsidRPr="00000000" w14:paraId="00000077">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ind w:left="-720" w:right="-720" w:firstLine="0"/>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