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9.png" ContentType="image/png"/>
  <Override PartName="/word/media/rId130.png" ContentType="image/png"/>
  <Override PartName="/word/media/rId138.png" ContentType="image/png"/>
  <Override PartName="/word/media/rId134.png" ContentType="image/png"/>
  <Override PartName="/word/media/rId123.png" ContentType="image/png"/>
  <Override PartName="/word/media/rId43.png" ContentType="image/png"/>
  <Override PartName="/word/media/rId39.png" ContentType="image/png"/>
  <Override PartName="/word/media/rId70.png" ContentType="image/png"/>
  <Override PartName="/word/media/rId66.png" ContentType="image/png"/>
  <Override PartName="/word/media/rId57.png" ContentType="image/png"/>
  <Override PartName="/word/media/rId61.png" ContentType="image/png"/>
  <Override PartName="/word/media/rId85.png" ContentType="image/png"/>
  <Override PartName="/word/media/rId89.png" ContentType="image/png"/>
  <Override PartName="/word/media/rId74.png" ContentType="image/png"/>
  <Override PartName="/word/media/rId104.png" ContentType="image/png"/>
  <Override PartName="/word/media/rId108.png" ContentType="image/png"/>
  <Override PartName="/word/media/rId95.png" ContentType="image/png"/>
  <Override PartName="/word/media/rId100.png" ContentType="image/png"/>
  <Override PartName="/word/media/rId11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SCW16/Paper-01</w:t>
      </w:r>
    </w:p>
    <w:p>
      <w:pPr>
        <w:pStyle w:val="BodyText"/>
      </w:pPr>
      <w:r>
        <w:t xml:space="preserve">01 April 2026</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r>
        <w:t xml:space="preserve"> </w:t>
      </w:r>
      <w:r>
        <w:t xml:space="preserve">The immediate justification for beginning this work is twofold: 1) to cover topics in advance</w:t>
      </w:r>
      <w:r>
        <w:t xml:space="preserve"> </w:t>
      </w:r>
      <w:r>
        <w:t xml:space="preserve">that can be discussed most efficiently at the forthcoming planned benchmark and 2) to</w:t>
      </w:r>
      <w:r>
        <w:t xml:space="preserve"> </w:t>
      </w:r>
      <w:r>
        <w:t xml:space="preserve">help address a number of issues related to the MSE identified during the</w:t>
      </w:r>
      <w:r>
        <w:t xml:space="preserve"> </w:t>
      </w:r>
      <w:hyperlink r:id="rId23">
        <w:r>
          <w:rPr>
            <w:rStyle w:val="Hyperlink"/>
          </w:rPr>
          <w:t xml:space="preserve">July 2025 MSE workshop</w:t>
        </w:r>
      </w:hyperlink>
      <w:r>
        <w:t xml:space="preserve">. These include</w:t>
      </w:r>
      <w:r>
        <w:t xml:space="preserve"> </w:t>
      </w:r>
      <w:r>
        <w:t xml:space="preserve">extensive time-varying selectivity, dynamic reference points that depend on terminal-year</w:t>
      </w:r>
      <w:r>
        <w:t xml:space="preserve"> </w:t>
      </w:r>
      <w:r>
        <w:t xml:space="preserve">model conditions, and projection assumptions that differ from the assumptions used during</w:t>
      </w:r>
      <w:r>
        <w:t xml:space="preserve"> </w:t>
      </w:r>
      <w:r>
        <w:t xml:space="preserve">model fitting. The SC13 base model therefore serves here as the reference assessment</w:t>
      </w:r>
      <w:r>
        <w:t xml:space="preserve"> </w:t>
      </w:r>
      <w:r>
        <w:t xml:space="preserve">formulation from which reduced alternatives can be developed and tested.</w:t>
      </w:r>
    </w:p>
    <w:bookmarkEnd w:id="24"/>
    <w:bookmarkStart w:id="25" w:name="introduction"/>
    <w:p>
      <w:pPr>
        <w:pStyle w:val="Heading1"/>
      </w:pPr>
      <w:r>
        <w:t xml:space="preserve">1. Introduction</w:t>
      </w:r>
    </w:p>
    <w:p>
      <w:pPr>
        <w:pStyle w:val="FirstParagraph"/>
      </w:pPr>
      <w:r>
        <w:rPr>
          <w:b/>
          <w:bCs/>
        </w:rPr>
        <w:t xml:space="preserve">3.</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4.</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5.</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6.</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7.</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8.</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9.</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10.</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11.</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12.</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13.</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14.</w:t>
      </w:r>
      <w:r>
        <w:t xml:space="preserve"> </w:t>
      </w:r>
      <w:r>
        <w:t xml:space="preserve">The annex and control files together indicate a standard age-structured population dynamic</w:t>
      </w:r>
      <w:r>
        <w:t xml:space="preserve"> </w:t>
      </w:r>
      <w:r>
        <w:t xml:space="preserve">framework with stock recruitment, natural mortality, growth, maturity, fleet selectivity,</w:t>
      </w:r>
      <w:r>
        <w:t xml:space="preserve"> </w:t>
      </w:r>
      <w:r>
        <w:t xml:space="preserve">survey selectivity, and catchability. The growth component follows the usual fisheries</w:t>
      </w:r>
      <w:r>
        <w:t xml:space="preserve"> </w:t>
      </w:r>
      <w:r>
        <w:t xml:space="preserve">implementation of the growth</w:t>
      </w:r>
      <w:r>
        <w:t xml:space="preserve"> </w:t>
      </w:r>
      <w:r>
        <w:t xml:space="preserve">(Beverton &amp; Holt, 1957)</w:t>
      </w:r>
      <w:r>
        <w:t xml:space="preserve">.</w:t>
      </w:r>
      <w:r>
        <w:t xml:space="preserve"> </w:t>
      </w:r>
      <w:r>
        <w:t xml:space="preserve">The Far North fleet is modelled through predicted length compositions derived from the age-structured population and the specified growth schedule.</w:t>
      </w:r>
    </w:p>
    <w:p>
      <w:pPr>
        <w:pStyle w:val="BodyText"/>
      </w:pPr>
      <w:r>
        <w:rPr>
          <w:b/>
          <w:bCs/>
        </w:rPr>
        <w:t xml:space="preserve">15.</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16.</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17.</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18.</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19.</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20.</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21.</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22.</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23.</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24.</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25.</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26.</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27.</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28.</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29.</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30.</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31.</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32.</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33.</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46" w:name="proposed-simplified-alternatives"/>
    <w:p>
      <w:pPr>
        <w:pStyle w:val="Heading1"/>
      </w:pPr>
      <w:r>
        <w:t xml:space="preserve">6. Proposed Simplified Alternatives</w:t>
      </w:r>
    </w:p>
    <w:p>
      <w:pPr>
        <w:pStyle w:val="FirstParagraph"/>
      </w:pPr>
      <w:r>
        <w:rPr>
          <w:b/>
          <w:bCs/>
        </w:rPr>
        <w:t xml:space="preserve">34.</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35.</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3"/>
              <w:gridCol w:w="293"/>
              <w:gridCol w:w="293"/>
              <w:gridCol w:w="2090"/>
              <w:gridCol w:w="2786"/>
              <w:gridCol w:w="227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r>
              <w:tc>
                <w:tcPr/>
                <w:p>
                  <w:pPr>
                    <w:pStyle w:val="Compact"/>
                    <w:jc w:val="left"/>
                    <w:jc w:val="center"/>
                  </w:pPr>
                  <w:r>
                    <w:t xml:space="preserve">h2_2.03</w:t>
                  </w:r>
                </w:p>
              </w:tc>
              <w:tc>
                <w:tcPr/>
                <w:p>
                  <w:pPr>
                    <w:pStyle w:val="Compact"/>
                    <w:jc w:val="left"/>
                    <w:jc w:val="center"/>
                  </w:pPr>
                  <w:r>
                    <w:t xml:space="preserve">h2_2.02</w:t>
                  </w:r>
                </w:p>
              </w:tc>
              <w:tc>
                <w:tcPr/>
                <w:p>
                  <w:pPr>
                    <w:pStyle w:val="Compact"/>
                    <w:jc w:val="left"/>
                    <w:jc w:val="center"/>
                  </w:pPr>
                  <w:r>
                    <w:t xml:space="preserve">Two stock</w:t>
                  </w:r>
                </w:p>
              </w:tc>
              <w:tc>
                <w:tcPr/>
                <w:p>
                  <w:pPr>
                    <w:pStyle w:val="Compact"/>
                    <w:jc w:val="left"/>
                    <w:jc w:val="center"/>
                  </w:pPr>
                  <w:r>
                    <w:t xml:space="preserve">Same reduced-index data and harmonized northern treatment as h2_2.02.</w:t>
                  </w:r>
                </w:p>
              </w:tc>
              <w:tc>
                <w:tcPr/>
                <w:p>
                  <w:pPr>
                    <w:pStyle w:val="Compact"/>
                    <w:jc w:val="left"/>
                    <w:jc w:val="center"/>
                  </w:pPr>
                  <w:r>
                    <w:t xml:space="preserve">No selectivity change relative to h2_2.02; instead collapses stock-2 recruitment to a single fitted regime.</w:t>
                  </w:r>
                </w:p>
              </w:tc>
              <w:tc>
                <w:tcPr/>
                <w:p>
                  <w:pPr>
                    <w:pStyle w:val="Compact"/>
                    <w:jc w:val="left"/>
                    <w:jc w:val="center"/>
                  </w:pPr>
                  <w:r>
                    <w:t xml:space="preserve">Tests whether the two-stock simplified framework can use one stock-2 stock-recruitment relationship instead of two regimes.</w:t>
                  </w:r>
                </w:p>
              </w:tc>
            </w:tr>
          </w:tbl>
          <w:bookmarkEnd w:id="38"/>
          <w:p/>
        </w:tc>
      </w:tr>
    </w:tbl>
    <w:p>
      <w:pPr>
        <w:pStyle w:val="BodyText"/>
      </w:pPr>
      <w:r>
        <w:rPr>
          <w:b/>
          <w:bCs/>
        </w:rPr>
        <w:t xml:space="preserve">36.</w:t>
      </w:r>
      <w:r>
        <w:t xml:space="preserve"> </w:t>
      </w:r>
      <w:r>
        <w:t xml:space="preserve">The</w:t>
      </w:r>
      <w:r>
        <w:t xml:space="preserve"> </w:t>
      </w:r>
      <w:r>
        <w:rPr>
          <w:rStyle w:val="VerbatimChar"/>
        </w:rPr>
        <w:t xml:space="preserve">h2_2.00</w:t>
      </w:r>
      <w:r>
        <w:t xml:space="preserve"> </w:t>
      </w:r>
      <w:r>
        <w:t xml:space="preserve">serves as the two-stock reduced-index analogue,</w:t>
      </w:r>
      <w:r>
        <w:t xml:space="preserve"> </w:t>
      </w:r>
      <w:r>
        <w:rPr>
          <w:rStyle w:val="VerbatimChar"/>
        </w:rPr>
        <w:t xml:space="preserve">h2_2.02</w:t>
      </w:r>
      <w:r>
        <w:t xml:space="preserve"> </w:t>
      </w:r>
      <w:r>
        <w:t xml:space="preserve">frames the</w:t>
      </w:r>
      <w:r>
        <w:t xml:space="preserve"> </w:t>
      </w:r>
      <w:r>
        <w:t xml:space="preserve">harmonized Far North selectivity treatment, and</w:t>
      </w:r>
      <w:r>
        <w:t xml:space="preserve"> </w:t>
      </w:r>
      <w:r>
        <w:rPr>
          <w:rStyle w:val="VerbatimChar"/>
        </w:rPr>
        <w:t xml:space="preserve">h2_2.03</w:t>
      </w:r>
      <w:r>
        <w:t xml:space="preserve"> </w:t>
      </w:r>
      <w:r>
        <w:t xml:space="preserve">extends that harmonized</w:t>
      </w:r>
      <w:r>
        <w:t xml:space="preserve"> </w:t>
      </w:r>
      <w:r>
        <w:t xml:space="preserve">two-stock setup by simplifying the stock-2 recruitment structure to a single fitted regime.</w:t>
      </w:r>
    </w:p>
    <w:bookmarkStart w:id="50" w:name="reduced-number-of-indices"/>
    <w:p>
      <w:pPr>
        <w:pStyle w:val="Heading2"/>
      </w:pPr>
      <w:r>
        <w:t xml:space="preserve">6.1 Reduced number of indices</w:t>
      </w:r>
    </w:p>
    <w:p>
      <w:pPr>
        <w:pStyle w:val="FirstParagraph"/>
      </w:pPr>
      <w:r>
        <w:rPr>
          <w:b/>
          <w:bCs/>
        </w:rPr>
        <w:t xml:space="preserve">37.</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38.</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SCW16-Paper-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SCW16-Paper-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39.</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40.</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41.</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42.</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43.</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44.</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45.</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46.</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47.</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48.</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49.</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50.</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51.</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52.</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53.</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54.</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55.</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56.</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57.</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58.</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SCW16-Paper-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SCW16-Paper-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tbl>
      <w:tblPr>
        <w:tblStyle w:val="Table"/>
        <w:tblW w:type="pct" w:w="5000"/>
        <w:tblLayout w:type="fixed"/>
        <w:tblLook w:firstRow="0" w:lastRow="0" w:firstColumn="0" w:lastColumn="0" w:noHBand="0" w:noVBand="0" w:val="0000"/>
      </w:tblPr>
      <w:tblGrid>
        <w:gridCol w:w="7920"/>
      </w:tblGrid>
      <w:tr>
        <w:tc>
          <w:tcPr/>
          <w:bookmarkStart w:id="69" w:name="fig-selectivity-blocks-ssb"/>
          <w:p>
            <w:pPr>
              <w:pStyle w:val="Compact"/>
              <w:jc w:val="center"/>
            </w:pPr>
            <w:r>
              <w:drawing>
                <wp:inline>
                  <wp:extent cx="5334000" cy="3194843"/>
                  <wp:effectExtent b="0" l="0" r="0" t="0"/>
                  <wp:docPr descr="" title="" id="67" name="Picture"/>
                  <a:graphic>
                    <a:graphicData uri="http://schemas.openxmlformats.org/drawingml/2006/picture">
                      <pic:pic>
                        <pic:nvPicPr>
                          <pic:cNvPr descr="SCW16-Paper-01_files/figure-docx/fig-selectivity-blocks-ssb-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blocks-rec"/>
          <w:p>
            <w:pPr>
              <w:pStyle w:val="Compact"/>
              <w:jc w:val="center"/>
            </w:pPr>
            <w:r>
              <w:drawing>
                <wp:inline>
                  <wp:extent cx="5334000" cy="3194843"/>
                  <wp:effectExtent b="0" l="0" r="0" t="0"/>
                  <wp:docPr descr="" title="" id="71" name="Picture"/>
                  <a:graphic>
                    <a:graphicData uri="http://schemas.openxmlformats.org/drawingml/2006/picture">
                      <pic:pic>
                        <pic:nvPicPr>
                          <pic:cNvPr descr="SCW16-Paper-01_files/figure-docx/fig-selectivity-blocks-rec-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selectivity-sc-allowance-ssb"/>
          <w:p>
            <w:pPr>
              <w:pStyle w:val="Compact"/>
              <w:jc w:val="center"/>
            </w:pPr>
            <w:r>
              <w:drawing>
                <wp:inline>
                  <wp:extent cx="5334000" cy="3194843"/>
                  <wp:effectExtent b="0" l="0" r="0" t="0"/>
                  <wp:docPr descr="" title="" id="75" name="Picture"/>
                  <a:graphic>
                    <a:graphicData uri="http://schemas.openxmlformats.org/drawingml/2006/picture">
                      <pic:pic>
                        <pic:nvPicPr>
                          <pic:cNvPr descr="SCW16-Paper-01_files/figure-docx/fig-selectivity-sc-allowance-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77"/>
        </w:tc>
      </w:tr>
    </w:tbl>
    <w:p>
      <w:pPr>
        <w:pStyle w:val="BodyText"/>
      </w:pPr>
      <w:r>
        <w:rPr>
          <w:b/>
          <w:bCs/>
        </w:rPr>
        <w:t xml:space="preserve">59.</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4</w:t>
        </w:r>
      </w:hyperlink>
      <w:r>
        <w:t xml:space="preserve"> </w:t>
      </w:r>
      <w:r>
        <w:t xml:space="preserve">and</w:t>
      </w:r>
      <w:r>
        <w:t xml:space="preserve"> </w:t>
      </w:r>
      <w:hyperlink w:anchor="fig-selectivity-blocks-rec">
        <w:r>
          <w:rPr>
            <w:rStyle w:val="Hyperlink"/>
          </w:rPr>
          <w:t xml:space="preserve">Figure 5</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60.</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78"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78"/>
        </w:tc>
      </w:tr>
    </w:tbl>
    <w:p>
      <w:pPr>
        <w:pStyle w:val="BodyText"/>
      </w:pPr>
      <w:r>
        <w:rPr>
          <w:b/>
          <w:bCs/>
        </w:rPr>
        <w:t xml:space="preserve">61.</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62.</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63.</w:t>
      </w:r>
      <w:r>
        <w:t xml:space="preserve"> </w:t>
      </w:r>
      <w:r>
        <w:t xml:space="preserve">The visual fit to the retained and comparable abundance indices is shown in</w:t>
      </w:r>
      <w:r>
        <w:t xml:space="preserve"> </w:t>
      </w:r>
      <w:hyperlink w:anchor="fig-h1-index-fits">
        <w:r>
          <w:rPr>
            <w:rStyle w:val="Hyperlink"/>
          </w:rPr>
          <w:t xml:space="preserve">Figure 7</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82" w:name="fig-h1-index-fits"/>
          <w:p>
            <w:pPr>
              <w:pStyle w:val="Compact"/>
              <w:jc w:val="center"/>
            </w:pPr>
            <w:r>
              <w:drawing>
                <wp:inline>
                  <wp:extent cx="5334000" cy="4333875"/>
                  <wp:effectExtent b="0" l="0" r="0" t="0"/>
                  <wp:docPr descr="" title="" id="80" name="Picture"/>
                  <a:graphic>
                    <a:graphicData uri="http://schemas.openxmlformats.org/drawingml/2006/picture">
                      <pic:pic>
                        <pic:nvPicPr>
                          <pic:cNvPr descr="SCW16-Paper-01_files/figure-docx/fig-h1-index-fits-1.png" id="81" name="Picture"/>
                          <pic:cNvPicPr>
                            <a:picLocks noChangeArrowheads="1" noChangeAspect="1"/>
                          </pic:cNvPicPr>
                        </pic:nvPicPr>
                        <pic:blipFill>
                          <a:blip r:embed="rId7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82"/>
        </w:tc>
      </w:tr>
    </w:tbl>
    <w:p>
      <w:pPr>
        <w:pStyle w:val="BodyText"/>
      </w:pPr>
      <w:r>
        <w:rPr>
          <w:b/>
          <w:bCs/>
        </w:rPr>
        <w:t xml:space="preserve">64.</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65.</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66.</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67.</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p>
      <w:pPr>
        <w:pStyle w:val="BodyText"/>
      </w:pPr>
      <w:r>
        <w:rPr>
          <w:b/>
          <w:bCs/>
        </w:rPr>
        <w:t xml:space="preserve">68.</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6</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p>
      <w:pPr>
        <w:pStyle w:val="BodyText"/>
      </w:pPr>
      <w:r>
        <w:rPr>
          <w:b/>
          <w:bCs/>
        </w:rPr>
        <w:t xml:space="preserve">69.</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3"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selectivity-sc-allowance-compare-1"/>
                <w:p>
                  <w:pPr>
                    <w:pStyle w:val="Compact"/>
                    <w:jc w:val="center"/>
                    <w:jc w:val="left"/>
                  </w:pPr>
                  <w:r>
                    <w:drawing>
                      <wp:inline>
                        <wp:extent cx="2971800" cy="4754880"/>
                        <wp:effectExtent b="0" l="0" r="0" t="0"/>
                        <wp:docPr descr="" title="" id="86" name="Picture"/>
                        <a:graphic>
                          <a:graphicData uri="http://schemas.openxmlformats.org/drawingml/2006/picture">
                            <pic:pic>
                              <pic:nvPicPr>
                                <pic:cNvPr descr="SCW16-Paper-01_files/figure-docx/fig-selectivity-sc-allowance-compare-1.png" id="87" name="Picture"/>
                                <pic:cNvPicPr>
                                  <a:picLocks noChangeArrowheads="1" noChangeAspect="1"/>
                                </pic:cNvPicPr>
                              </pic:nvPicPr>
                              <pic:blipFill>
                                <a:blip r:embed="rId8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8"/>
              </w:tc>
            </w:tr>
          </w:tbl>
          <w:p/>
        </w:tc>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2"/>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SCW16-Paper-01_files/figure-docx/fig-selectivity-sc-allowance-compare-2.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2"/>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3"/>
    <w:p>
      <w:pPr>
        <w:pStyle w:val="BodyText"/>
      </w:pPr>
      <w:r>
        <w:rPr>
          <w:b/>
          <w:bCs/>
        </w:rPr>
        <w:t xml:space="preserve">70.</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4"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4"/>
        </w:tc>
      </w:tr>
    </w:tbl>
    <w:p>
      <w:pPr>
        <w:pStyle w:val="BodyText"/>
      </w:pPr>
      <w:r>
        <w:rPr>
          <w:b/>
          <w:bCs/>
        </w:rPr>
        <w:t xml:space="preserve">71.</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72.</w:t>
      </w:r>
      <w:r>
        <w:t xml:space="preserve"> </w:t>
      </w:r>
      <w:r>
        <w:t xml:space="preserve">The resulting spawning biomass trajectories are shown in</w:t>
      </w:r>
      <w:r>
        <w:t xml:space="preserve"> </w:t>
      </w:r>
      <w:hyperlink w:anchor="fig-selectivity-sc5-ssb">
        <w:r>
          <w:rPr>
            <w:rStyle w:val="Hyperlink"/>
          </w:rPr>
          <w:t xml:space="preserve">Figure 12</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p>
      <w:pPr>
        <w:pStyle w:val="BodyText"/>
      </w:pPr>
      <w:r>
        <w:rPr>
          <w:b/>
          <w:bCs/>
        </w:rPr>
        <w:t xml:space="preserve">73.</w:t>
      </w:r>
      <w:r>
        <w:t xml:space="preserve"> </w:t>
      </w:r>
      <w:r>
        <w:t xml:space="preserve">The direct selectivity comparison is shown in</w:t>
      </w:r>
      <w:r>
        <w:t xml:space="preserve"> </w:t>
      </w:r>
      <w:hyperlink w:anchor="fig-selectivity-sc5-compare">
        <w:r>
          <w:rPr>
            <w:rStyle w:val="Hyperlink"/>
          </w:rPr>
          <w:t xml:space="preserve">Figure 11</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tbl>
      <w:tblPr>
        <w:tblStyle w:val="Table"/>
        <w:tblW w:type="pct" w:w="5000"/>
        <w:tblLayout w:type="fixed"/>
        <w:tblLook w:firstRow="0" w:lastRow="0" w:firstColumn="0" w:lastColumn="0" w:noHBand="0" w:noVBand="0" w:val="0000"/>
      </w:tblPr>
      <w:tblGrid>
        <w:gridCol w:w="7920"/>
      </w:tblGrid>
      <w:tr>
        <w:tc>
          <w:tcPr/>
          <w:bookmarkStart w:id="98" w:name="fig-selectivity-sc5-index-fits"/>
          <w:p>
            <w:pPr>
              <w:pStyle w:val="Compact"/>
              <w:jc w:val="center"/>
            </w:pPr>
            <w:r>
              <w:drawing>
                <wp:inline>
                  <wp:extent cx="5334000" cy="4333875"/>
                  <wp:effectExtent b="0" l="0" r="0" t="0"/>
                  <wp:docPr descr="" title="" id="96" name="Picture"/>
                  <a:graphic>
                    <a:graphicData uri="http://schemas.openxmlformats.org/drawingml/2006/picture">
                      <pic:pic>
                        <pic:nvPicPr>
                          <pic:cNvPr descr="SCW16-Paper-01_files/figure-docx/fig-selectivity-sc5-index-fits-1.png" id="97" name="Picture"/>
                          <pic:cNvPicPr>
                            <a:picLocks noChangeArrowheads="1" noChangeAspect="1"/>
                          </pic:cNvPicPr>
                        </pic:nvPicPr>
                        <pic:blipFill>
                          <a:blip r:embed="rId95"/>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98"/>
        </w:tc>
      </w:tr>
    </w:tbl>
    <w:p>
      <w:pPr>
        <w:pStyle w:val="BodyText"/>
      </w:pPr>
      <w:r>
        <w:rPr>
          <w:b/>
          <w:bCs/>
        </w:rPr>
        <w:t xml:space="preserve">74.</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99"/>
        </w:tc>
      </w:tr>
    </w:tbl>
    <w:p>
      <w:pPr>
        <w:pStyle w:val="BodyText"/>
      </w:pPr>
      <w:r>
        <w:rPr>
          <w:b/>
          <w:bCs/>
        </w:rPr>
        <w:t xml:space="preserve">75.</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10</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03" w:name="fig-selectivity-sc5-qtrend"/>
          <w:p>
            <w:pPr>
              <w:pStyle w:val="Compact"/>
              <w:jc w:val="center"/>
            </w:pPr>
            <w:r>
              <w:drawing>
                <wp:inline>
                  <wp:extent cx="5334000" cy="3194843"/>
                  <wp:effectExtent b="0" l="0" r="0" t="0"/>
                  <wp:docPr descr="" title="" id="101" name="Picture"/>
                  <a:graphic>
                    <a:graphicData uri="http://schemas.openxmlformats.org/drawingml/2006/picture">
                      <pic:pic>
                        <pic:nvPicPr>
                          <pic:cNvPr descr="SCW16-Paper-01_files/figure-docx/fig-selectivity-sc5-qtrend-1.png" id="102" name="Picture"/>
                          <pic:cNvPicPr>
                            <a:picLocks noChangeArrowheads="1" noChangeAspect="1"/>
                          </pic:cNvPicPr>
                        </pic:nvPicPr>
                        <pic:blipFill>
                          <a:blip r:embed="rId10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03"/>
        </w:tc>
      </w:tr>
    </w:tbl>
    <w:bookmarkStart w:id="112"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7" w:name="fig-selectivity-sc5-compare-1"/>
                <w:p>
                  <w:pPr>
                    <w:pStyle w:val="Compact"/>
                    <w:jc w:val="center"/>
                    <w:jc w:val="left"/>
                  </w:pPr>
                  <w:r>
                    <w:drawing>
                      <wp:inline>
                        <wp:extent cx="2971800" cy="4754880"/>
                        <wp:effectExtent b="0" l="0" r="0" t="0"/>
                        <wp:docPr descr="" title="" id="105" name="Picture"/>
                        <a:graphic>
                          <a:graphicData uri="http://schemas.openxmlformats.org/drawingml/2006/picture">
                            <pic:pic>
                              <pic:nvPicPr>
                                <pic:cNvPr descr="SCW16-Paper-01_files/figure-docx/fig-selectivity-sc5-compare-1.png" id="106" name="Picture"/>
                                <pic:cNvPicPr>
                                  <a:picLocks noChangeArrowheads="1" noChangeAspect="1"/>
                                </pic:cNvPicPr>
                              </pic:nvPicPr>
                              <pic:blipFill>
                                <a:blip r:embed="rId104"/>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7"/>
              </w:tc>
            </w:tr>
          </w:tbl>
          <w:p/>
        </w:tc>
        <w:tc>
          <w:tcPr/>
          <w:tbl>
            <w:tblPr>
              <w:tblStyle w:val="Table"/>
              <w:tblW w:type="pct" w:w="4900"/>
              <w:tblLayout w:type="fixed"/>
              <w:tblLook w:firstRow="0" w:lastRow="0" w:firstColumn="0" w:lastColumn="0" w:noHBand="0" w:noVBand="0" w:val="0000"/>
            </w:tblPr>
            <w:tblGrid>
              <w:gridCol w:w="7761"/>
            </w:tblGrid>
            <w:tr>
              <w:tc>
                <w:tcPr/>
                <w:bookmarkStart w:id="111" w:name="fig-selectivity-sc5-compare-2"/>
                <w:p>
                  <w:pPr>
                    <w:pStyle w:val="Compact"/>
                    <w:jc w:val="center"/>
                    <w:jc w:val="left"/>
                  </w:pPr>
                  <w:r>
                    <w:drawing>
                      <wp:inline>
                        <wp:extent cx="2971800" cy="4754880"/>
                        <wp:effectExtent b="0" l="0" r="0" t="0"/>
                        <wp:docPr descr="" title="" id="109" name="Picture"/>
                        <a:graphic>
                          <a:graphicData uri="http://schemas.openxmlformats.org/drawingml/2006/picture">
                            <pic:pic>
                              <pic:nvPicPr>
                                <pic:cNvPr descr="SCW16-Paper-01_files/figure-docx/fig-selectivity-sc5-compare-2.png" id="110" name="Picture"/>
                                <pic:cNvPicPr>
                                  <a:picLocks noChangeArrowheads="1" noChangeAspect="1"/>
                                </pic:cNvPicPr>
                              </pic:nvPicPr>
                              <pic:blipFill>
                                <a:blip r:embed="rId10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11"/>
              </w:tc>
            </w:tr>
          </w:tbl>
          <w:p/>
        </w:tc>
      </w:tr>
    </w:tbl>
    <w:p>
      <w:pPr>
        <w:pStyle w:val="BodyText"/>
      </w:pPr>
      <w:pPr>
        <w:spacing w:before="200"/>
        <w:pStyle w:val="ImageCaption"/>
      </w:pPr>
      <w:r>
        <w:t xml:space="preserve">Figure 11: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12"/>
    <w:tbl>
      <w:tblPr>
        <w:tblStyle w:val="Table"/>
        <w:tblW w:type="pct" w:w="5000"/>
        <w:tblLayout w:type="fixed"/>
        <w:tblLook w:firstRow="0" w:lastRow="0" w:firstColumn="0" w:lastColumn="0" w:noHBand="0" w:noVBand="0" w:val="0000"/>
      </w:tblPr>
      <w:tblGrid>
        <w:gridCol w:w="7920"/>
      </w:tblGrid>
      <w:tr>
        <w:tc>
          <w:tcPr/>
          <w:bookmarkStart w:id="116" w:name="fig-selectivity-sc5-ssb"/>
          <w:p>
            <w:pPr>
              <w:pStyle w:val="Compact"/>
              <w:jc w:val="center"/>
            </w:pPr>
            <w:r>
              <w:drawing>
                <wp:inline>
                  <wp:extent cx="5334000" cy="3194843"/>
                  <wp:effectExtent b="0" l="0" r="0" t="0"/>
                  <wp:docPr descr="" title="" id="114" name="Picture"/>
                  <a:graphic>
                    <a:graphicData uri="http://schemas.openxmlformats.org/drawingml/2006/picture">
                      <pic:pic>
                        <pic:nvPicPr>
                          <pic:cNvPr descr="SCW16-Paper-01_files/figure-docx/fig-selectivity-sc5-ssb-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76.</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77.</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78.</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79.</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80.</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81.</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82.</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SCW16-Paper-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83.</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84.</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85.</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86.</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SCW16-Paper-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87.</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88.</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SCW16-Paper-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SCW16-Paper-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5" w:name="fixed-reference-point-alternatives"/>
    <w:p>
      <w:pPr>
        <w:pStyle w:val="Heading2"/>
      </w:pPr>
      <w:r>
        <w:t xml:space="preserve">6.5 Fixed-Reference-Point Alternatives</w:t>
      </w:r>
    </w:p>
    <w:p>
      <w:pPr>
        <w:pStyle w:val="FirstParagraph"/>
      </w:pPr>
      <w:r>
        <w:rPr>
          <w:b/>
          <w:bCs/>
        </w:rPr>
        <w:t xml:space="preserve">89.</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90.</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note.png" id="14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91.</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92.</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5"/>
    <w:bookmarkEnd w:id="146"/>
    <w:bookmarkStart w:id="147" w:name="summary"/>
    <w:p>
      <w:pPr>
        <w:pStyle w:val="Heading1"/>
      </w:pPr>
      <w:r>
        <w:t xml:space="preserve">7. Summary</w:t>
      </w:r>
    </w:p>
    <w:p>
      <w:pPr>
        <w:pStyle w:val="FirstParagraph"/>
      </w:pPr>
      <w:r>
        <w:rPr>
          <w:b/>
          <w:bCs/>
        </w:rPr>
        <w:t xml:space="preserve">93.</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94.</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47"/>
    <w:bookmarkStart w:id="15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4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48"/>
    <w:bookmarkStart w:id="14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49"/>
    <w:bookmarkStart w:id="15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0"/>
    <w:bookmarkStart w:id="15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1"/>
    <w:bookmarkStart w:id="15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2"/>
    <w:bookmarkStart w:id="15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3"/>
    <w:bookmarkStart w:id="15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4"/>
    <w:bookmarkStart w:id="15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5"/>
    <w:bookmarkStart w:id="15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56"/>
    <w:bookmarkEnd w:id="157"/>
    <w:bookmarkStart w:id="186" w:name="references"/>
    <w:p>
      <w:pPr>
        <w:pStyle w:val="Heading1"/>
      </w:pPr>
      <w:r>
        <w:t xml:space="preserve">References</w:t>
      </w:r>
    </w:p>
    <w:bookmarkStart w:id="185" w:name="refs"/>
    <w:bookmarkStart w:id="158"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58"/>
    <w:bookmarkStart w:id="160"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59">
        <w:r>
          <w:rPr>
            <w:rStyle w:val="Hyperlink"/>
          </w:rPr>
          <w:t xml:space="preserve">https://doi.org/10.1006/jmsc.1999.0532</w:t>
        </w:r>
      </w:hyperlink>
    </w:p>
    <w:bookmarkEnd w:id="160"/>
    <w:bookmarkStart w:id="162"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1">
        <w:r>
          <w:rPr>
            <w:rStyle w:val="Hyperlink"/>
          </w:rPr>
          <w:t xml:space="preserve">https://www.iccat.int/Documents/CVSP/CV081_2024/n_2/CV08102149.pdf</w:t>
        </w:r>
      </w:hyperlink>
    </w:p>
    <w:bookmarkEnd w:id="162"/>
    <w:bookmarkStart w:id="164"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3">
        <w:r>
          <w:rPr>
            <w:rStyle w:val="Hyperlink"/>
          </w:rPr>
          <w:t xml:space="preserve">https://doi.org/10.1080/10556788.2011.597854</w:t>
        </w:r>
      </w:hyperlink>
    </w:p>
    <w:bookmarkEnd w:id="164"/>
    <w:bookmarkStart w:id="166"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5">
        <w:r>
          <w:rPr>
            <w:rStyle w:val="Hyperlink"/>
          </w:rPr>
          <w:t xml:space="preserve">https://doi.org/10.1139/f82-157</w:t>
        </w:r>
      </w:hyperlink>
    </w:p>
    <w:bookmarkEnd w:id="166"/>
    <w:bookmarkStart w:id="168"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67">
        <w:r>
          <w:rPr>
            <w:rStyle w:val="Hyperlink"/>
          </w:rPr>
          <w:t xml:space="preserve">https://doi.org/10.1139/f2011-025</w:t>
        </w:r>
      </w:hyperlink>
    </w:p>
    <w:bookmarkEnd w:id="168"/>
    <w:bookmarkStart w:id="170"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69">
        <w:r>
          <w:rPr>
            <w:rStyle w:val="Hyperlink"/>
          </w:rPr>
          <w:t xml:space="preserve">https://doi.org/10.1007/978-1-4615-3598-0</w:t>
        </w:r>
      </w:hyperlink>
    </w:p>
    <w:bookmarkEnd w:id="170"/>
    <w:bookmarkStart w:id="172"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1">
        <w:r>
          <w:rPr>
            <w:rStyle w:val="Hyperlink"/>
          </w:rPr>
          <w:t xml:space="preserve">https://doi.org/10.1093/icesjms/fsq173</w:t>
        </w:r>
      </w:hyperlink>
    </w:p>
    <w:bookmarkEnd w:id="172"/>
    <w:bookmarkStart w:id="174"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3">
        <w:r>
          <w:rPr>
            <w:rStyle w:val="Hyperlink"/>
          </w:rPr>
          <w:t xml:space="preserve">https://doi.org/10.1111/faf.12104</w:t>
        </w:r>
      </w:hyperlink>
    </w:p>
    <w:bookmarkEnd w:id="174"/>
    <w:bookmarkStart w:id="176"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75">
        <w:r>
          <w:rPr>
            <w:rStyle w:val="Hyperlink"/>
          </w:rPr>
          <w:t xml:space="preserve">https://doi.org/10.1073/pnas.1820344116</w:t>
        </w:r>
      </w:hyperlink>
    </w:p>
    <w:bookmarkEnd w:id="176"/>
    <w:bookmarkStart w:id="178"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77">
        <w:r>
          <w:rPr>
            <w:rStyle w:val="Hyperlink"/>
          </w:rPr>
          <w:t xml:space="preserve">https://doi.org/10.1139/f95-800</w:t>
        </w:r>
      </w:hyperlink>
    </w:p>
    <w:bookmarkEnd w:id="178"/>
    <w:bookmarkStart w:id="180"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79">
        <w:r>
          <w:rPr>
            <w:rStyle w:val="Hyperlink"/>
          </w:rPr>
          <w:t xml:space="preserve">https://doi.org/10.1111/faf.12579</w:t>
        </w:r>
      </w:hyperlink>
    </w:p>
    <w:bookmarkEnd w:id="180"/>
    <w:bookmarkStart w:id="182"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1">
        <w:r>
          <w:rPr>
            <w:rStyle w:val="Hyperlink"/>
          </w:rPr>
          <w:t xml:space="preserve">https://www.sprfmo.int/assets/Meetings/02-SC/13th-SC-2025/Jack-Mackerel/SC13-JM09-Report-of-the-JMWG-Management-Strategy-Evaluation-Technical-Workshop.pdf</w:t>
        </w:r>
      </w:hyperlink>
    </w:p>
    <w:bookmarkEnd w:id="182"/>
    <w:bookmarkStart w:id="184"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3">
        <w:r>
          <w:rPr>
            <w:rStyle w:val="Hyperlink"/>
          </w:rPr>
          <w:t xml:space="preserve">https://sprfmo.int/assets/Meetings/02-SC/13th-SC-2025/SC13-Report-Annex-11_final.pdf</w:t>
        </w:r>
      </w:hyperlink>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2026-04-02T06:55:50Z</dcterms:created>
  <dcterms:modified xsi:type="dcterms:W3CDTF">2026-04-02T06:55:50Z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