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Benchmark meeting report 2026</w:t>
      </w:r>
    </w:p>
    <w:p>
      <w:pPr>
        <w:pStyle w:val="BodyText"/>
      </w:pPr>
      <w:r>
        <w:t xml:space="preserve">20 May 2026</w:t>
      </w:r>
    </w:p>
    <w:bookmarkStart w:id="12" w:name="summary"/>
    <w:p>
      <w:pPr>
        <w:pStyle w:val="Heading1"/>
      </w:pPr>
      <w:r>
        <w:t xml:space="preserve">Summary</w:t>
      </w:r>
    </w:p>
    <w:p>
      <w:pPr>
        <w:pStyle w:val="FirstParagraph"/>
      </w:pPr>
      <w:r>
        <w:rPr>
          <w:b/>
          <w:bCs/>
        </w:rPr>
        <w:t xml:space="preserve">2.</w:t>
      </w:r>
      <w:r>
        <w:t xml:space="preserve"> </w:t>
      </w: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rPr>
          <w:b/>
          <w:bCs/>
        </w:rPr>
        <w:t xml:space="preserve">3.</w:t>
      </w:r>
      <w:r>
        <w:t xml:space="preserve"> </w:t>
      </w: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rPr>
          <w:b/>
          <w:bCs/>
        </w:rPr>
        <w:t xml:space="preserve">4.</w:t>
      </w:r>
      <w:r>
        <w:t xml:space="preserve"> </w:t>
      </w: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rPr>
          <w:b/>
          <w:bCs/>
        </w:rPr>
        <w:t xml:space="preserve">5.</w:t>
      </w:r>
      <w:r>
        <w:t xml:space="preserve"> </w:t>
      </w: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rPr>
          <w:b/>
          <w:bCs/>
        </w:rPr>
        <w:t xml:space="preserve">6.</w:t>
      </w:r>
      <w:r>
        <w:t xml:space="preserve"> </w:t>
      </w: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rPr>
          <w:b/>
          <w:bCs/>
        </w:rPr>
        <w:t xml:space="preserve">7.</w:t>
      </w:r>
      <w:r>
        <w:t xml:space="preserve"> </w:t>
      </w: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rPr>
          <w:b/>
          <w:bCs/>
        </w:rPr>
        <w:t xml:space="preserve">8.</w:t>
      </w:r>
      <w:r>
        <w:t xml:space="preserve"> </w:t>
      </w: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rPr>
          <w:b/>
          <w:bCs/>
        </w:rPr>
        <w:t xml:space="preserve">9.</w:t>
      </w:r>
      <w:r>
        <w:t xml:space="preserve"> </w:t>
      </w: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rPr>
          <w:b/>
          <w:bCs/>
        </w:rPr>
        <w:t xml:space="preserve">10.</w:t>
      </w:r>
      <w:r>
        <w:t xml:space="preserve"> </w:t>
      </w: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rPr>
          <w:b/>
          <w:bCs/>
        </w:rPr>
        <w:t xml:space="preserve">11.</w:t>
      </w:r>
      <w:r>
        <w:t xml:space="preserve"> </w:t>
      </w: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9" w:name="key-discussion-summary"/>
    <w:p>
      <w:pPr>
        <w:pStyle w:val="Heading1"/>
      </w:pPr>
      <w:r>
        <w:t xml:space="preserve">Key Discussion Summary</w:t>
      </w:r>
    </w:p>
    <w:bookmarkStart w:id="22" w:name="acoustic-indices"/>
    <w:p>
      <w:pPr>
        <w:pStyle w:val="Heading2"/>
      </w:pPr>
      <w:r>
        <w:t xml:space="preserve">Acoustic Indices</w:t>
      </w:r>
    </w:p>
    <w:p>
      <w:pPr>
        <w:pStyle w:val="FirstParagraph"/>
      </w:pPr>
      <w:r>
        <w:rPr>
          <w:b/>
          <w:bCs/>
        </w:rPr>
        <w:t xml:space="preserve">12.</w:t>
      </w:r>
      <w:r>
        <w:t xml:space="preserve"> </w:t>
      </w: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rPr>
          <w:b/>
          <w:bCs/>
        </w:rPr>
        <w:t xml:space="preserve">13.</w:t>
      </w:r>
      <w:r>
        <w:t xml:space="preserve"> </w:t>
      </w: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rPr>
          <w:b/>
          <w:bCs/>
        </w:rPr>
        <w:t xml:space="preserve">14.</w:t>
      </w:r>
      <w:r>
        <w:t xml:space="preserve"> </w:t>
      </w:r>
      <w:r>
        <w:t xml:space="preserve">Presentation summaries are provided in Appendix D. Those tables should be updated</w:t>
      </w:r>
      <w:r>
        <w:t xml:space="preserve"> </w:t>
      </w:r>
      <w:r>
        <w:t xml:space="preserve">as presenters confirm titles, authors, and whether each presentation should be</w:t>
      </w:r>
      <w:r>
        <w:t xml:space="preserve"> </w:t>
      </w:r>
      <w:r>
        <w:t xml:space="preserve">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rPr>
                <w:b/>
                <w:bCs/>
              </w:rPr>
              <w:t xml:space="preserve">15.</w:t>
            </w:r>
            <w:r>
              <w:t xml:space="preserve"> </w:t>
            </w: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rPr>
                <w:b/>
                <w:bCs/>
              </w:rPr>
              <w:t xml:space="preserve">16.</w:t>
            </w:r>
            <w:r>
              <w:t xml:space="preserve"> </w:t>
            </w: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rPr>
                <w:b/>
                <w:bCs/>
              </w:rPr>
              <w:t xml:space="preserve">17.</w:t>
            </w:r>
            <w:r>
              <w:t xml:space="preserve"> </w:t>
            </w: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rPr>
                <w:b/>
                <w:bCs/>
              </w:rPr>
              <w:t xml:space="preserve">18.</w:t>
            </w:r>
            <w:r>
              <w:t xml:space="preserve"> </w:t>
            </w: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rPr>
                <w:b/>
                <w:bCs/>
              </w:rPr>
              <w:t xml:space="preserve">19.</w:t>
            </w:r>
            <w:r>
              <w:t xml:space="preserve"> </w:t>
            </w: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rPr>
                <w:b/>
                <w:bCs/>
              </w:rPr>
              <w:t xml:space="preserve">20.</w:t>
            </w:r>
            <w:r>
              <w:t xml:space="preserve"> </w:t>
            </w: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rPr>
                <w:b/>
                <w:bCs/>
              </w:rPr>
              <w:t xml:space="preserve">21.</w:t>
            </w:r>
            <w:r>
              <w:t xml:space="preserve"> </w:t>
            </w:r>
            <w:r>
              <w:t xml:space="preserve">On Day 3, the meeting revisited the Chile Acoustic North survey treatment.</w:t>
            </w:r>
            <w:r>
              <w:t xml:space="preserve"> </w:t>
            </w:r>
            <w:r>
              <w:t xml:space="preserve">Participants noted that the spatio-temporal modelling work by INPESCA is a</w:t>
            </w:r>
            <w:r>
              <w:t xml:space="preserve"> </w:t>
            </w:r>
            <w:r>
              <w:t xml:space="preserve">substantial contribution and should be acknowledged in the report. The group</w:t>
            </w:r>
            <w:r>
              <w:t xml:space="preserve"> </w:t>
            </w:r>
            <w:r>
              <w:t xml:space="preserve">also discussed the distinction between model-based indicators for CPUE and</w:t>
            </w:r>
            <w:r>
              <w:t xml:space="preserve"> </w:t>
            </w:r>
            <w:r>
              <w:t xml:space="preserve">design-based indicators for surveys. The Day 3 decision was to retain the raw or</w:t>
            </w:r>
            <w:r>
              <w:t xml:space="preserve"> </w:t>
            </w:r>
            <w:r>
              <w:t xml:space="preserve">design-based acoustic biomass treatment for assessment use at this stage, while</w:t>
            </w:r>
            <w:r>
              <w:t xml:space="preserve"> </w:t>
            </w:r>
            <w:r>
              <w:t xml:space="preserve">using the spatio-temporal acoustic modelling as research and diagnostic</w:t>
            </w:r>
            <w:r>
              <w:t xml:space="preserve"> </w:t>
            </w:r>
            <w:r>
              <w:t xml:space="preserve">information rather than as a replacement base-model index.</w:t>
            </w:r>
          </w:p>
          <w:p>
            <w:pPr>
              <w:pStyle w:val="BodyText"/>
            </w:pPr>
            <w:r>
              <w:rPr>
                <w:b/>
                <w:bCs/>
              </w:rPr>
              <w:t xml:space="preserve">22.</w:t>
            </w:r>
            <w:r>
              <w:t xml:space="preserve"> </w:t>
            </w: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rPr>
                <w:b/>
                <w:bCs/>
              </w:rPr>
              <w:t xml:space="preserve">23.</w:t>
            </w:r>
            <w:r>
              <w:t xml:space="preserve"> </w:t>
            </w: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rPr>
                <w:b/>
                <w:bCs/>
              </w:rPr>
              <w:t xml:space="preserve">24.</w:t>
            </w:r>
            <w:r>
              <w:t xml:space="preserve"> </w:t>
            </w: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r>
              <w:t xml:space="preserve"> </w:t>
            </w:r>
            <w:r>
              <w:t xml:space="preserve">Day 3 follow-up items included checking that the average survey month and</w:t>
            </w:r>
            <w:r>
              <w:t xml:space="preserve"> </w:t>
            </w:r>
            <w:r>
              <w:t xml:space="preserve">seasonal assignment were implemented correctly in the model runs, reviewing fits</w:t>
            </w:r>
            <w:r>
              <w:t xml:space="preserve"> </w:t>
            </w:r>
            <w:r>
              <w:t xml:space="preserve">to zero observations, and obtaining survey length frequencies as soon as</w:t>
            </w:r>
            <w:r>
              <w:t xml:space="preserve"> </w:t>
            </w:r>
            <w:r>
              <w:t xml:space="preserve">possible.</w:t>
            </w:r>
          </w:p>
          <w:p>
            <w:pPr>
              <w:pStyle w:val="BodyText"/>
            </w:pPr>
            <w:r>
              <w:rPr>
                <w:b/>
                <w:bCs/>
              </w:rPr>
              <w:t xml:space="preserve">25.</w:t>
            </w:r>
            <w:r>
              <w:t xml:space="preserve"> </w:t>
            </w: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pPr>
              <w:spacing w:after="16"/>
            </w:pPr>
            <w:r>
              <w:rPr>
                <w:b/>
                <w:bCs/>
              </w:rPr>
              <w:t xml:space="preserve">26.</w:t>
            </w:r>
            <w:r>
              <w:t xml:space="preserve"> </w:t>
            </w: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p/>
        </w:tc>
      </w:tr>
    </w:tbl>
    <w:bookmarkEnd w:id="22"/>
    <w:bookmarkStart w:id="25" w:name="cpue-indices"/>
    <w:p>
      <w:pPr>
        <w:pStyle w:val="Heading2"/>
      </w:pPr>
      <w:r>
        <w:t xml:space="preserve">CPUE Indices</w:t>
      </w:r>
    </w:p>
    <w:p>
      <w:pPr>
        <w:pStyle w:val="FirstParagraph"/>
      </w:pPr>
      <w:r>
        <w:rPr>
          <w:b/>
          <w:bCs/>
        </w:rPr>
        <w:t xml:space="preserve">27.</w:t>
      </w:r>
      <w:r>
        <w:t xml:space="preserve"> </w:t>
      </w: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2 CPUE session summary</w:t>
            </w:r>
          </w:p>
        </w:tc>
      </w:tr>
      <w:tr>
        <w:trPr>
          <w:cantSplit/>
        </w:trPr>
        <w:tc>
          <w:tcPr>
            <w:tcMar>
              <w:top w:w="108" w:type="dxa"/>
              <w:bottom w:w="108" w:type="dxa"/>
            </w:tcMar>
          </w:tcPr>
          <w:p>
            <w:pPr>
              <w:pStyle w:val="BodyText"/>
            </w:pPr>
            <w:pPr>
              <w:spacing w:before="16"/>
            </w:pPr>
            <w:r>
              <w:rPr>
                <w:b/>
                <w:bCs/>
              </w:rPr>
              <w:t xml:space="preserve">28.</w:t>
            </w:r>
            <w:r>
              <w:t xml:space="preserve"> </w:t>
            </w: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p>
            <w:pPr>
              <w:pStyle w:val="BodyText"/>
            </w:pPr>
            <w:r>
              <w:rPr>
                <w:b/>
                <w:bCs/>
              </w:rPr>
              <w:t xml:space="preserve">29.</w:t>
            </w:r>
            <w:r>
              <w:t xml:space="preserve"> </w:t>
            </w:r>
            <w:r>
              <w:t xml:space="preserve">During the evaluation of the modelling procedure for the Chilean South-Central</w:t>
            </w:r>
            <w:r>
              <w:t xml:space="preserve"> </w:t>
            </w:r>
            <w:r>
              <w:t xml:space="preserve">(SC) fleet abundance index, benchmark participants deliberated on the most</w:t>
            </w:r>
            <w:r>
              <w:t xml:space="preserve"> </w:t>
            </w:r>
            <w:r>
              <w:t xml:space="preserve">robust method to account for effort creep. Initial positions diverged, with</w:t>
            </w:r>
            <w:r>
              <w:t xml:space="preserve"> </w:t>
            </w:r>
            <w:r>
              <w:t xml:space="preserve">Chile proposing to apply an informed correction factor from 2005 onwards,</w:t>
            </w:r>
            <w:r>
              <w:t xml:space="preserve"> </w:t>
            </w:r>
            <w:r>
              <w:t xml:space="preserve">whereas the EU advocated for maintaining a fixed 1% compounded factor across the</w:t>
            </w:r>
            <w:r>
              <w:t xml:space="preserve"> </w:t>
            </w:r>
            <w:r>
              <w:t xml:space="preserve">entire time series. After extensive discussion, the members agreed</w:t>
            </w:r>
            <w:r>
              <w:t xml:space="preserve"> </w:t>
            </w:r>
            <w:r>
              <w:t xml:space="preserve">to proceed with Chile’s proposal and apply a 1% compounded increase creep</w:t>
            </w:r>
            <w:r>
              <w:t xml:space="preserve"> </w:t>
            </w:r>
            <w:r>
              <w:t xml:space="preserve">factor up to 2004, followed by a transition to the p10 correction factor from</w:t>
            </w:r>
            <w:r>
              <w:t xml:space="preserve"> </w:t>
            </w:r>
            <w:r>
              <w:t xml:space="preserve">2005 onward, where a fixed multiplicative factor of 0.669 is applied to the</w:t>
            </w:r>
            <w:r>
              <w:t xml:space="preserve"> </w:t>
            </w:r>
            <w:r>
              <w:t xml:space="preserve">abundance index, as proposed by Zenteno and Paya (2026). The EU objected and the</w:t>
            </w:r>
            <w:r>
              <w:t xml:space="preserve"> </w:t>
            </w:r>
            <w:r>
              <w:t xml:space="preserve">Chair noted that it could be raised again at SC but should not have a large effect</w:t>
            </w:r>
            <w:r>
              <w:t xml:space="preserve"> </w:t>
            </w:r>
            <w:r>
              <w:t xml:space="preserve">on making progress with the MSE.</w:t>
            </w:r>
          </w:p>
          <w:p>
            <w:pPr>
              <w:pStyle w:val="BodyText"/>
            </w:pPr>
            <w:r>
              <w:rPr>
                <w:b/>
                <w:bCs/>
              </w:rPr>
              <w:t xml:space="preserve">30.</w:t>
            </w:r>
            <w:r>
              <w:t xml:space="preserve"> </w:t>
            </w:r>
            <w:r>
              <w:t xml:space="preserve">The technical rationale supporting this methodological update is grounded in</w:t>
            </w:r>
            <w:r>
              <w:t xml:space="preserve"> </w:t>
            </w:r>
            <w:r>
              <w:t xml:space="preserve">both empirical data and historical fleet dynamics. First, this approach directly</w:t>
            </w:r>
            <w:r>
              <w:t xml:space="preserve"> </w:t>
            </w:r>
            <w:r>
              <w:t xml:space="preserve">incorporates operational feedback from the Chilean SC fleet captains, who</w:t>
            </w:r>
            <w:r>
              <w:t xml:space="preserve"> </w:t>
            </w:r>
            <w:r>
              <w:t xml:space="preserve">identified 2005 as an inflection point for changes in fishing efficiency.</w:t>
            </w:r>
            <w:r>
              <w:t xml:space="preserve"> </w:t>
            </w:r>
            <w:r>
              <w:t xml:space="preserve">Second, acknowledging this shift, the majority of members concurred that</w:t>
            </w:r>
            <w:r>
              <w:t xml:space="preserve"> </w:t>
            </w:r>
            <w:r>
              <w:t xml:space="preserve">applying a continuously increasing efficiency correction after that period is</w:t>
            </w:r>
            <w:r>
              <w:t xml:space="preserve"> </w:t>
            </w:r>
            <w:r>
              <w:t xml:space="preserve">largely unnecessary. Finally, retaining the 1% factor prior to 2005 effectively</w:t>
            </w:r>
            <w:r>
              <w:t xml:space="preserve"> </w:t>
            </w:r>
            <w:r>
              <w:t xml:space="preserve">anchors the earlier time series, avoiding the substantial jump in historical</w:t>
            </w:r>
            <w:r>
              <w:t xml:space="preserve"> </w:t>
            </w:r>
            <w:r>
              <w:t xml:space="preserve">efficiency that was the primary concern with the initial proposal.</w:t>
            </w:r>
          </w:p>
          <w:p>
            <w:pPr>
              <w:pStyle w:val="BodyText"/>
            </w:pPr>
            <w:r>
              <w:rPr>
                <w:b/>
                <w:bCs/>
              </w:rPr>
              <w:t xml:space="preserve">31.</w:t>
            </w:r>
            <w:r>
              <w:t xml:space="preserve"> </w:t>
            </w:r>
            <w:r>
              <w:t xml:space="preserve">Participants also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noted that the artisanal fleet now accounts for a larger share of</w:t>
            </w:r>
            <w:r>
              <w:t xml:space="preserve"> </w:t>
            </w:r>
            <w:r>
              <w:t xml:space="preserve">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rPr>
                <w:b/>
                <w:bCs/>
              </w:rPr>
              <w:t xml:space="preserve">32.</w:t>
            </w:r>
            <w:r>
              <w:t xml:space="preserve"> </w:t>
            </w: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2005.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rPr>
                <w:b/>
                <w:bCs/>
              </w:rPr>
              <w:t xml:space="preserve">33.</w:t>
            </w:r>
            <w:r>
              <w:t xml:space="preserve"> </w:t>
            </w: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earlier predictions, and that</w:t>
            </w:r>
            <w:r>
              <w:t xml:space="preserve"> </w:t>
            </w:r>
            <w:r>
              <w:t xml:space="preserve">this sensitivity needs to be explained before replacing the existing assessment</w:t>
            </w:r>
            <w:r>
              <w:t xml:space="preserve"> </w:t>
            </w:r>
            <w:r>
              <w:t xml:space="preserve">index. Participants also discussed fixed versus random year effects, AR(1)</w:t>
            </w:r>
            <w:r>
              <w:t xml:space="preserve"> </w:t>
            </w:r>
            <w:r>
              <w:t xml:space="preserve">versus independent year effects, and the interpretation of the days-at-sea or</w:t>
            </w:r>
            <w:r>
              <w:t xml:space="preserve"> </w:t>
            </w:r>
            <w:r>
              <w:t xml:space="preserve">DFP coefficient. Because offshore movement can increase days at sea without</w:t>
            </w:r>
            <w:r>
              <w:t xml:space="preserve"> </w:t>
            </w:r>
            <w:r>
              <w:t xml:space="preserve">necessarily indicating reduced abundance, the meeting requested that the strength</w:t>
            </w:r>
            <w:r>
              <w:t xml:space="preserve"> </w:t>
            </w:r>
            <w:r>
              <w:t xml:space="preserve">and interpretation of this coefficient be checked, and that Sebastian, Ignacio,</w:t>
            </w:r>
            <w:r>
              <w:t xml:space="preserve"> </w:t>
            </w:r>
            <w:r>
              <w:t xml:space="preserve">and Niels summarize the model-comparison and year-effect discussion for the</w:t>
            </w:r>
            <w:r>
              <w:t xml:space="preserve"> </w:t>
            </w:r>
            <w:r>
              <w:t xml:space="preserve">report.</w:t>
            </w:r>
          </w:p>
          <w:p>
            <w:pPr>
              <w:pStyle w:val="BodyText"/>
            </w:pPr>
            <w:r>
              <w:rPr>
                <w:b/>
                <w:bCs/>
              </w:rPr>
              <w:t xml:space="preserve">34.</w:t>
            </w:r>
            <w:r>
              <w:t xml:space="preserve"> </w:t>
            </w:r>
            <w:r>
              <w:t xml:space="preserve">The Day 3 discussion agreed to move forward with a new Chilean CPUE treatment</w:t>
            </w:r>
            <w:r>
              <w:t xml:space="preserve"> </w:t>
            </w:r>
            <w:r>
              <w:t xml:space="preserve">starting in 1998, using the agreed effort-creep treatment described above.</w:t>
            </w:r>
            <w:r>
              <w:t xml:space="preserve"> </w:t>
            </w:r>
            <w:r>
              <w:t xml:space="preserve">Annual CVs should be weighted by percentage coverage and should incorporate</w:t>
            </w:r>
            <w:r>
              <w:t xml:space="preserve"> </w:t>
            </w:r>
            <w:r>
              <w:t xml:space="preserve">standard errors from the INLA analysis. The previous Chilean CPUE index should</w:t>
            </w:r>
            <w:r>
              <w:t xml:space="preserve"> </w:t>
            </w:r>
            <w:r>
              <w:t xml:space="preserve">be removed from the base model. A sensitivity run should be retained that uses</w:t>
            </w:r>
            <w:r>
              <w:t xml:space="preserve"> </w:t>
            </w:r>
            <w:r>
              <w:t xml:space="preserve">the old CPUE information piecemeal before 1998, to evaluate the consequence of</w:t>
            </w:r>
            <w:r>
              <w:t xml:space="preserve"> </w:t>
            </w:r>
            <w:r>
              <w:t xml:space="preserve">preserving historical contrast before the new CPUE series begins.</w:t>
            </w:r>
          </w:p>
          <w:p>
            <w:pPr>
              <w:pStyle w:val="BodyText"/>
            </w:pPr>
            <w:r>
              <w:rPr>
                <w:b/>
                <w:bCs/>
              </w:rPr>
              <w:t xml:space="preserve">35.</w:t>
            </w:r>
            <w:r>
              <w:t xml:space="preserve"> </w:t>
            </w:r>
            <w:r>
              <w:t xml:space="preserve">The 1998 start year was selected because earlier set-level coverage was poor and</w:t>
            </w:r>
            <w:r>
              <w:t xml:space="preserve"> </w:t>
            </w:r>
            <w:r>
              <w:t xml:space="preserve">may not be representative of the fishery, particularly in years when catches were</w:t>
            </w:r>
            <w:r>
              <w:t xml:space="preserve"> </w:t>
            </w:r>
            <w:r>
              <w:t xml:space="preserve">large but the proportion of catch represented in the CPUE data was low. The</w:t>
            </w:r>
            <w:r>
              <w:t xml:space="preserve"> </w:t>
            </w:r>
            <w:r>
              <w:t xml:space="preserve">meeting noted that the behaviour of the fleet and the amount of data collected</w:t>
            </w:r>
            <w:r>
              <w:t xml:space="preserve"> </w:t>
            </w:r>
            <w:r>
              <w:t xml:space="preserve">changed substantially after 1997, coincident with the major 1997/1998 El Nino</w:t>
            </w:r>
            <w:r>
              <w:t xml:space="preserve"> </w:t>
            </w:r>
            <w:r>
              <w:t xml:space="preserve">event. For the benchmark, the base model should therefore use the new INLA</w:t>
            </w:r>
            <w:r>
              <w:t xml:space="preserve"> </w:t>
            </w:r>
            <w:r>
              <w:t xml:space="preserve">set-based Chilean CPUE series truncated to start in 1998. Future updates to this</w:t>
            </w:r>
            <w:r>
              <w:t xml:space="preserve"> </w:t>
            </w:r>
            <w:r>
              <w:t xml:space="preserve">index should be documented carefully, because substantial changes to CPUE</w:t>
            </w:r>
            <w:r>
              <w:t xml:space="preserve"> </w:t>
            </w:r>
            <w:r>
              <w:t xml:space="preserve">treatment between the benchmark and MSE implementation could affect perceptions</w:t>
            </w:r>
            <w:r>
              <w:t xml:space="preserve"> </w:t>
            </w:r>
            <w:r>
              <w:t xml:space="preserve">of the MSE results.</w:t>
            </w:r>
          </w:p>
          <w:p>
            <w:pPr>
              <w:pStyle w:val="BodyText"/>
            </w:pPr>
            <w:r>
              <w:rPr>
                <w:b/>
                <w:bCs/>
              </w:rPr>
              <w:t xml:space="preserve">36.</w:t>
            </w:r>
            <w:r>
              <w:t xml:space="preserve"> </w:t>
            </w: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 Day 3 discussion agreed that the new</w:t>
            </w:r>
            <w:r>
              <w:t xml:space="preserve"> </w:t>
            </w:r>
            <w:r>
              <w:t xml:space="preserve">Peruvian CPUE series starts later than the historical assessment CPUE treatment</w:t>
            </w:r>
            <w:r>
              <w:t xml:space="preserve"> </w:t>
            </w:r>
            <w:r>
              <w:t xml:space="preserve">and should replace the previous Peru CPUE index rather than be appended to it in</w:t>
            </w:r>
            <w:r>
              <w:t xml:space="preserve"> </w:t>
            </w:r>
            <w:r>
              <w:t xml:space="preserve">the base model. The previous Peru CPUE index should therefore be removed from the</w:t>
            </w:r>
            <w:r>
              <w:t xml:space="preserve"> </w:t>
            </w:r>
            <w:r>
              <w:t xml:space="preserve">base configuration.</w:t>
            </w:r>
          </w:p>
          <w:p>
            <w:pPr>
              <w:pStyle w:val="BodyText"/>
            </w:pPr>
            <w:pPr>
              <w:spacing w:after="16"/>
            </w:pPr>
            <w:r>
              <w:rPr>
                <w:b/>
                <w:bCs/>
              </w:rPr>
              <w:t xml:space="preserve">37.</w:t>
            </w:r>
            <w:r>
              <w:t xml:space="preserve"> </w:t>
            </w: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p/>
        </w:tc>
      </w:tr>
    </w:tbl>
    <w:bookmarkEnd w:id="25"/>
    <w:bookmarkStart w:id="26" w:name="biological-inputs"/>
    <w:p>
      <w:pPr>
        <w:pStyle w:val="Heading2"/>
      </w:pPr>
      <w:r>
        <w:t xml:space="preserve">Biological Inputs</w:t>
      </w:r>
    </w:p>
    <w:p>
      <w:pPr>
        <w:pStyle w:val="FirstParagraph"/>
      </w:pPr>
      <w:r>
        <w:rPr>
          <w:b/>
          <w:bCs/>
        </w:rPr>
        <w:t xml:space="preserve">38.</w:t>
      </w:r>
      <w:r>
        <w:t xml:space="preserve"> </w:t>
      </w:r>
      <w:r>
        <w:t xml:space="preserve">The Day 3 biological-input discussion reviewed the Peruvian length-weight and</w:t>
      </w:r>
      <w:r>
        <w:t xml:space="preserve"> </w:t>
      </w:r>
      <w:r>
        <w:t xml:space="preserve">length-frequency material and agreed that the Peruvian length frequencies should</w:t>
      </w:r>
      <w:r>
        <w:t xml:space="preserve"> </w:t>
      </w:r>
      <w:r>
        <w:t xml:space="preserve">be treated as fork length. Growth parameters used with those data should</w:t>
      </w:r>
      <w:r>
        <w:t xml:space="preserve"> </w:t>
      </w:r>
      <w:r>
        <w:t xml:space="preserve">therefore also be in fork length. The assessment should also increase the plus</w:t>
      </w:r>
      <w:r>
        <w:t xml:space="preserve"> </w:t>
      </w:r>
      <w:r>
        <w:t xml:space="preserve">group so the Peruvian length-frequency information and growth assumptions are</w:t>
      </w:r>
      <w:r>
        <w:t xml:space="preserve"> </w:t>
      </w:r>
      <w:r>
        <w:t xml:space="preserve">handled consistently in the model.</w:t>
      </w:r>
    </w:p>
    <w:p>
      <w:pPr>
        <w:pStyle w:val="BodyText"/>
      </w:pPr>
      <w:r>
        <w:rPr>
          <w:b/>
          <w:bCs/>
        </w:rPr>
        <w:t xml:space="preserve">39.</w:t>
      </w:r>
      <w:r>
        <w:t xml:space="preserve"> </w:t>
      </w:r>
      <w:r>
        <w:t xml:space="preserve">The meeting also requested that Peru provide sample-size information for the</w:t>
      </w:r>
      <w:r>
        <w:t xml:space="preserve"> </w:t>
      </w:r>
      <w:r>
        <w:t xml:space="preserve">composition data in a form that can be translated into assessment input sample</w:t>
      </w:r>
      <w:r>
        <w:t xml:space="preserve"> </w:t>
      </w:r>
      <w:r>
        <w:t xml:space="preserve">sizes. Members noted that the number of fish measured would be useful in</w:t>
      </w:r>
      <w:r>
        <w:t xml:space="preserve"> </w:t>
      </w:r>
      <w:r>
        <w:t xml:space="preserve">addition to the current reporting of sampling events such as boxes or trips. The</w:t>
      </w:r>
      <w:r>
        <w:t xml:space="preserve"> </w:t>
      </w:r>
      <w:r>
        <w:t xml:space="preserve">group also discussed whether the SPRFMO length-bin range should be expanded to</w:t>
      </w:r>
      <w:r>
        <w:t xml:space="preserve"> </w:t>
      </w:r>
      <w:r>
        <w:t xml:space="preserve">match the Peruvian 5-90 cm length bins.</w:t>
      </w:r>
    </w:p>
    <w:p>
      <w:pPr>
        <w:pStyle w:val="BodyText"/>
      </w:pPr>
      <w:r>
        <w:rPr>
          <w:b/>
          <w:bCs/>
        </w:rPr>
        <w:t xml:space="preserve">40.</w:t>
      </w:r>
      <w:r>
        <w:t xml:space="preserve"> </w:t>
      </w:r>
      <w:r>
        <w:t xml:space="preserve">For Peru acoustic information, the meeting agreed to move to the new Peruvian</w:t>
      </w:r>
      <w:r>
        <w:t xml:space="preserve"> </w:t>
      </w:r>
      <w:r>
        <w:t xml:space="preserve">acoustic indices and remove the previous Peru acoustic index from the base</w:t>
      </w:r>
      <w:r>
        <w:t xml:space="preserve"> </w:t>
      </w:r>
      <w:r>
        <w:t xml:space="preserve">configuration. The associated Peruvian length-frequency information should be</w:t>
      </w:r>
      <w:r>
        <w:t xml:space="preserve"> </w:t>
      </w:r>
      <w:r>
        <w:t xml:space="preserve">carried forward with the new acoustic treatment. No new Chilean Acoustic North</w:t>
      </w:r>
      <w:r>
        <w:t xml:space="preserve"> </w:t>
      </w:r>
      <w:r>
        <w:t xml:space="preserve">or Chilean Acoustic South-Central index treatment was selected for the base model</w:t>
      </w:r>
      <w:r>
        <w:t xml:space="preserve"> </w:t>
      </w:r>
      <w:r>
        <w:t xml:space="preserve">at this stage.</w:t>
      </w:r>
    </w:p>
    <w:bookmarkEnd w:id="26"/>
    <w:bookmarkStart w:id="27" w:name="assessment-model-development"/>
    <w:p>
      <w:pPr>
        <w:pStyle w:val="Heading2"/>
      </w:pPr>
      <w:r>
        <w:t xml:space="preserve">Assessment Model Development</w:t>
      </w:r>
    </w:p>
    <w:p>
      <w:pPr>
        <w:pStyle w:val="FirstParagraph"/>
      </w:pPr>
      <w:r>
        <w:rPr>
          <w:b/>
          <w:bCs/>
        </w:rPr>
        <w:t xml:space="preserve">41.</w:t>
      </w:r>
      <w:r>
        <w:t xml:space="preserve"> </w:t>
      </w: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7"/>
    <w:bookmarkStart w:id="28" w:name="operating-models-and-mse-linkages"/>
    <w:p>
      <w:pPr>
        <w:pStyle w:val="Heading2"/>
      </w:pPr>
      <w:r>
        <w:t xml:space="preserve">Operating Models and MSE Linkages</w:t>
      </w:r>
    </w:p>
    <w:p>
      <w:pPr>
        <w:pStyle w:val="FirstParagraph"/>
      </w:pPr>
      <w:r>
        <w:rPr>
          <w:b/>
          <w:bCs/>
        </w:rPr>
        <w:t xml:space="preserve">42.</w:t>
      </w:r>
      <w:r>
        <w:t xml:space="preserve"> </w:t>
      </w: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8"/>
    <w:bookmarkEnd w:id="29"/>
    <w:bookmarkStart w:id="30" w:name="decisions-and-agreements"/>
    <w:p>
      <w:pPr>
        <w:pStyle w:val="Heading1"/>
      </w:pPr>
      <w:r>
        <w:t xml:space="preserve">Decisions and Agreements</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Use the new Chilean CPUE series beginning in 1998.</w:t>
            </w:r>
          </w:p>
        </w:tc>
        <w:tc>
          <w:tcPr/>
          <w:p>
            <w:pPr>
              <w:pStyle w:val="Compact"/>
            </w:pPr>
            <w:r>
              <w:t xml:space="preserve">Chile CPUE</w:t>
            </w:r>
          </w:p>
        </w:tc>
        <w:tc>
          <w:tcPr/>
          <w:p>
            <w:pPr>
              <w:pStyle w:val="Compact"/>
            </w:pPr>
            <w:r>
              <w:t xml:space="preserve">Implement in the base model and remove the previous Chilean CPUE index.</w:t>
            </w:r>
          </w:p>
        </w:tc>
      </w:tr>
      <w:tr>
        <w:tc>
          <w:tcPr/>
          <w:p>
            <w:pPr>
              <w:pStyle w:val="Compact"/>
              <w:jc w:val="right"/>
            </w:pPr>
            <w:r>
              <w:t xml:space="preserve">2</w:t>
            </w:r>
          </w:p>
        </w:tc>
        <w:tc>
          <w:tcPr/>
          <w:p>
            <w:pPr>
              <w:pStyle w:val="Compact"/>
            </w:pPr>
            <w:r>
              <w:t xml:space="preserve">Apply the Chilean effort-creep treatment with 1% annual creep through 2004 and the 0.669 adjustment beginning in 2005.</w:t>
            </w:r>
          </w:p>
        </w:tc>
        <w:tc>
          <w:tcPr/>
          <w:p>
            <w:pPr>
              <w:pStyle w:val="Compact"/>
            </w:pPr>
            <w:r>
              <w:t xml:space="preserve">Chile CPUE / effort creep</w:t>
            </w:r>
          </w:p>
        </w:tc>
        <w:tc>
          <w:tcPr/>
          <w:p>
            <w:pPr>
              <w:pStyle w:val="Compact"/>
            </w:pPr>
            <w:r>
              <w:t xml:space="preserve">Confirm the exact implementation in the model input and control files.</w:t>
            </w:r>
          </w:p>
        </w:tc>
      </w:tr>
      <w:tr>
        <w:tc>
          <w:tcPr/>
          <w:p>
            <w:pPr>
              <w:pStyle w:val="Compact"/>
              <w:jc w:val="right"/>
            </w:pPr>
            <w:r>
              <w:t xml:space="preserve">3</w:t>
            </w:r>
          </w:p>
        </w:tc>
        <w:tc>
          <w:tcPr/>
          <w:p>
            <w:pPr>
              <w:pStyle w:val="Compact"/>
            </w:pPr>
            <w:r>
              <w:t xml:space="preserve">Weight Chilean CPUE CVs by percentage coverage and include standard errors from the INLA analysis.</w:t>
            </w:r>
          </w:p>
        </w:tc>
        <w:tc>
          <w:tcPr/>
          <w:p>
            <w:pPr>
              <w:pStyle w:val="Compact"/>
            </w:pPr>
            <w:r>
              <w:t xml:space="preserve">Chile CPUE uncertainty</w:t>
            </w:r>
          </w:p>
        </w:tc>
        <w:tc>
          <w:tcPr/>
          <w:p>
            <w:pPr>
              <w:pStyle w:val="Compact"/>
            </w:pPr>
            <w:r>
              <w:t xml:space="preserve">Prepare the annual uncertainty vector for assessment input.</w:t>
            </w:r>
          </w:p>
        </w:tc>
      </w:tr>
      <w:tr>
        <w:tc>
          <w:tcPr/>
          <w:p>
            <w:pPr>
              <w:pStyle w:val="Compact"/>
              <w:jc w:val="right"/>
            </w:pPr>
            <w:r>
              <w:t xml:space="preserve">4</w:t>
            </w:r>
          </w:p>
        </w:tc>
        <w:tc>
          <w:tcPr/>
          <w:p>
            <w:pPr>
              <w:pStyle w:val="Compact"/>
            </w:pPr>
            <w:r>
              <w:t xml:space="preserve">Retain a sensitivity with piecemeal use of the old Chilean CPUE before 1998.</w:t>
            </w:r>
          </w:p>
        </w:tc>
        <w:tc>
          <w:tcPr/>
          <w:p>
            <w:pPr>
              <w:pStyle w:val="Compact"/>
            </w:pPr>
            <w:r>
              <w:t xml:space="preserve">Chile CPUE sensitivity</w:t>
            </w:r>
          </w:p>
        </w:tc>
        <w:tc>
          <w:tcPr/>
          <w:p>
            <w:pPr>
              <w:pStyle w:val="Compact"/>
            </w:pPr>
            <w:r>
              <w:t xml:space="preserve">Add to the candidate sensitivity-run list.</w:t>
            </w:r>
          </w:p>
        </w:tc>
      </w:tr>
      <w:tr>
        <w:tc>
          <w:tcPr/>
          <w:p>
            <w:pPr>
              <w:pStyle w:val="Compact"/>
              <w:jc w:val="right"/>
            </w:pPr>
            <w:r>
              <w:t xml:space="preserve">5</w:t>
            </w:r>
          </w:p>
        </w:tc>
        <w:tc>
          <w:tcPr/>
          <w:p>
            <w:pPr>
              <w:pStyle w:val="Compact"/>
            </w:pPr>
            <w:r>
              <w:t xml:space="preserve">Use the new Peruvian CPUE series as a later-starting replacement and remove the previous Peru CPUE index.</w:t>
            </w:r>
          </w:p>
        </w:tc>
        <w:tc>
          <w:tcPr/>
          <w:p>
            <w:pPr>
              <w:pStyle w:val="Compact"/>
            </w:pPr>
            <w:r>
              <w:t xml:space="preserve">Peru CPUE</w:t>
            </w:r>
          </w:p>
        </w:tc>
        <w:tc>
          <w:tcPr/>
          <w:p>
            <w:pPr>
              <w:pStyle w:val="Compact"/>
            </w:pPr>
            <w:r>
              <w:t xml:space="preserve">Implement the replacement in the base model.</w:t>
            </w:r>
          </w:p>
        </w:tc>
      </w:tr>
      <w:tr>
        <w:tc>
          <w:tcPr/>
          <w:p>
            <w:pPr>
              <w:pStyle w:val="Compact"/>
              <w:jc w:val="right"/>
            </w:pPr>
            <w:r>
              <w:t xml:space="preserve">6</w:t>
            </w:r>
          </w:p>
        </w:tc>
        <w:tc>
          <w:tcPr/>
          <w:p>
            <w:pPr>
              <w:pStyle w:val="Compact"/>
            </w:pPr>
            <w:r>
              <w:t xml:space="preserve">Treat Peruvian length frequencies as fork length and use growth parameters in fork length.</w:t>
            </w:r>
          </w:p>
        </w:tc>
        <w:tc>
          <w:tcPr/>
          <w:p>
            <w:pPr>
              <w:pStyle w:val="Compact"/>
            </w:pPr>
            <w:r>
              <w:t xml:space="preserve">Peru biology / composition</w:t>
            </w:r>
          </w:p>
        </w:tc>
        <w:tc>
          <w:tcPr/>
          <w:p>
            <w:pPr>
              <w:pStyle w:val="Compact"/>
            </w:pPr>
            <w:r>
              <w:t xml:space="preserve">Check consistency of growth, length-frequency bins, and length-weight inputs.</w:t>
            </w:r>
          </w:p>
        </w:tc>
      </w:tr>
      <w:tr>
        <w:tc>
          <w:tcPr/>
          <w:p>
            <w:pPr>
              <w:pStyle w:val="Compact"/>
              <w:jc w:val="right"/>
            </w:pPr>
            <w:r>
              <w:t xml:space="preserve">7</w:t>
            </w:r>
          </w:p>
        </w:tc>
        <w:tc>
          <w:tcPr/>
          <w:p>
            <w:pPr>
              <w:pStyle w:val="Compact"/>
            </w:pPr>
            <w:r>
              <w:t xml:space="preserve">Increase the plus group for the Peruvian length-frequency and growth treatment.</w:t>
            </w:r>
          </w:p>
        </w:tc>
        <w:tc>
          <w:tcPr/>
          <w:p>
            <w:pPr>
              <w:pStyle w:val="Compact"/>
            </w:pPr>
            <w:r>
              <w:t xml:space="preserve">Peru biology / composition</w:t>
            </w:r>
          </w:p>
        </w:tc>
        <w:tc>
          <w:tcPr/>
          <w:p>
            <w:pPr>
              <w:pStyle w:val="Compact"/>
            </w:pPr>
            <w:r>
              <w:t xml:space="preserve">Specify the plus-group age in the candidate model configuration.</w:t>
            </w:r>
          </w:p>
        </w:tc>
      </w:tr>
      <w:tr>
        <w:tc>
          <w:tcPr/>
          <w:p>
            <w:pPr>
              <w:pStyle w:val="Compact"/>
              <w:jc w:val="right"/>
            </w:pPr>
            <w:r>
              <w:t xml:space="preserve">8</w:t>
            </w:r>
          </w:p>
        </w:tc>
        <w:tc>
          <w:tcPr/>
          <w:p>
            <w:pPr>
              <w:pStyle w:val="Compact"/>
            </w:pPr>
            <w:r>
              <w:t xml:space="preserve">Use the new Peruvian acoustic indices and remove the previous Peru acoustic index.</w:t>
            </w:r>
          </w:p>
        </w:tc>
        <w:tc>
          <w:tcPr/>
          <w:p>
            <w:pPr>
              <w:pStyle w:val="Compact"/>
            </w:pPr>
            <w:r>
              <w:t xml:space="preserve">Peru acoustic index</w:t>
            </w:r>
          </w:p>
        </w:tc>
        <w:tc>
          <w:tcPr/>
          <w:p>
            <w:pPr>
              <w:pStyle w:val="Compact"/>
            </w:pPr>
            <w:r>
              <w:t xml:space="preserve">Carry forward associated length-frequency information with the new acoustic treatment.</w:t>
            </w:r>
          </w:p>
        </w:tc>
      </w:tr>
      <w:tr>
        <w:tc>
          <w:tcPr/>
          <w:p>
            <w:pPr>
              <w:pStyle w:val="Compact"/>
              <w:jc w:val="right"/>
            </w:pPr>
            <w:r>
              <w:t xml:space="preserve">9</w:t>
            </w:r>
          </w:p>
        </w:tc>
        <w:tc>
          <w:tcPr/>
          <w:p>
            <w:pPr>
              <w:pStyle w:val="Compact"/>
            </w:pPr>
            <w:r>
              <w:t xml:space="preserve">Retain raw/design-based Chile Acoustic North biomass for assessment use and keep spatio-temporal acoustic modelling as research and diagnostic information.</w:t>
            </w:r>
          </w:p>
        </w:tc>
        <w:tc>
          <w:tcPr/>
          <w:p>
            <w:pPr>
              <w:pStyle w:val="Compact"/>
            </w:pPr>
            <w:r>
              <w:t xml:space="preserve">Chile acoustic indices</w:t>
            </w:r>
          </w:p>
        </w:tc>
        <w:tc>
          <w:tcPr/>
          <w:p>
            <w:pPr>
              <w:pStyle w:val="Compact"/>
            </w:pPr>
            <w:r>
              <w:t xml:space="preserve">Acknowledge INPESCA’s modelling contribution and document why model-based CPUE indicators and design-based survey indicators are treated differently.</w:t>
            </w:r>
          </w:p>
        </w:tc>
      </w:tr>
      <w:tr>
        <w:tc>
          <w:tcPr/>
          <w:p>
            <w:pPr>
              <w:pStyle w:val="Compact"/>
              <w:jc w:val="right"/>
            </w:pPr>
            <w:r>
              <w:t xml:space="preserve">10</w:t>
            </w:r>
          </w:p>
        </w:tc>
        <w:tc>
          <w:tcPr/>
          <w:p>
            <w:pPr>
              <w:pStyle w:val="Compact"/>
            </w:pPr>
            <w:r>
              <w:t xml:space="preserve">Do not add a new base-model treatment for Chilean Acoustic South-Central at this stage.</w:t>
            </w:r>
          </w:p>
        </w:tc>
        <w:tc>
          <w:tcPr/>
          <w:p>
            <w:pPr>
              <w:pStyle w:val="Compact"/>
            </w:pPr>
            <w:r>
              <w:t xml:space="preserve">Chile acoustic indices</w:t>
            </w:r>
          </w:p>
        </w:tc>
        <w:tc>
          <w:tcPr/>
          <w:p>
            <w:pPr>
              <w:pStyle w:val="Compact"/>
            </w:pPr>
            <w:r>
              <w:t xml:space="preserve">Retain as diagnostic or supporting information unless a later sensitivity is requested.</w:t>
            </w:r>
          </w:p>
        </w:tc>
      </w:tr>
    </w:tbl>
    <w:bookmarkEnd w:id="30"/>
    <w:bookmarkStart w:id="31" w:name="action-items"/>
    <w:p>
      <w:pPr>
        <w:pStyle w:val="Heading1"/>
      </w:pPr>
      <w:r>
        <w:t xml:space="preserve">Action Items</w:t>
      </w:r>
    </w:p>
    <w:p>
      <w:pPr>
        <w:pStyle w:val="FirstParagraph"/>
      </w:pPr>
      <w:r>
        <w:rPr>
          <w:b/>
          <w:bCs/>
        </w:rPr>
        <w:t xml:space="preserve">43.</w:t>
      </w:r>
      <w:r>
        <w:t xml:space="preserve"> </w:t>
      </w: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Add report text acknowledging the INPESCA spatio-temporal Chile Acoustic North modelling contribution and explaining why model-based CPUE indicators and design-based survey indicators are treated differently</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Provide Peru acoustic survey length frequencies as soon as possible</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Check average month, seasonal assignment, and fits to zero observations for the new Peru acoustic index runs</w:t>
            </w:r>
          </w:p>
        </w:tc>
        <w:tc>
          <w:tcPr/>
          <w:p>
            <w:pPr>
              <w:pStyle w:val="Compact"/>
            </w:pPr>
            <w:r>
              <w:t xml:space="preserve">Assessment subgroup</w:t>
            </w:r>
          </w:p>
        </w:tc>
        <w:tc>
          <w:tcPr/>
          <w:p>
            <w:pPr>
              <w:pStyle w:val="Compact"/>
            </w:pPr>
            <w:r>
              <w:t xml:space="preserve">Peru acoustic contributors</w:t>
            </w:r>
          </w:p>
        </w:tc>
        <w:tc>
          <w:tcPr/>
          <w:p>
            <w:pPr>
              <w:pStyle w:val="Compact"/>
            </w:pPr>
            <w:r>
              <w:t xml:space="preserve">Before final model-run list</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r>
        <w:tc>
          <w:tcPr/>
          <w:p>
            <w:pPr>
              <w:pStyle w:val="Compact"/>
            </w:pPr>
            <w:r>
              <w:t xml:space="preserve">Draft text on the JMWG’s compressed data-submission workflow and post catch/fishery data quality-check material to the</w:t>
            </w:r>
            <w:r>
              <w:t xml:space="preserve"> </w:t>
            </w:r>
            <w:r>
              <w:rPr>
                <w:rStyle w:val="VerbatimChar"/>
              </w:rPr>
              <w:t xml:space="preserve">jjmData</w:t>
            </w:r>
            <w:r>
              <w:t xml:space="preserve"> </w:t>
            </w:r>
            <w:r>
              <w:t xml:space="preserve">repository</w:t>
            </w:r>
          </w:p>
        </w:tc>
        <w:tc>
          <w:tcPr/>
          <w:p>
            <w:pPr>
              <w:pStyle w:val="Compact"/>
            </w:pPr>
            <w:r>
              <w:t xml:space="preserve">Data-quality subgroup</w:t>
            </w:r>
          </w:p>
        </w:tc>
        <w:tc>
          <w:tcPr/>
          <w:p>
            <w:pPr>
              <w:pStyle w:val="Compact"/>
            </w:pPr>
            <w:r>
              <w:t xml:space="preserve">Chair / Secretariat</w:t>
            </w:r>
          </w:p>
        </w:tc>
        <w:tc>
          <w:tcPr/>
          <w:p>
            <w:pPr>
              <w:pStyle w:val="Compact"/>
            </w:pPr>
            <w:r>
              <w:t xml:space="preserve">Before report adoption</w:t>
            </w:r>
          </w:p>
        </w:tc>
      </w:tr>
      <w:tr>
        <w:tc>
          <w:tcPr/>
          <w:p>
            <w:pPr>
              <w:pStyle w:val="Compact"/>
            </w:pPr>
            <w:r>
              <w:t xml:space="preserve">Investigate age-length-key and composition-data sample-size reporting, including discrepancies between numbers of ages and numbers of length measurements</w:t>
            </w:r>
          </w:p>
        </w:tc>
        <w:tc>
          <w:tcPr/>
          <w:p>
            <w:pPr>
              <w:pStyle w:val="Compact"/>
            </w:pPr>
            <w:r>
              <w:t xml:space="preserve">Data-quality subgroup</w:t>
            </w:r>
          </w:p>
        </w:tc>
        <w:tc>
          <w:tcPr/>
          <w:p>
            <w:pPr>
              <w:pStyle w:val="Compact"/>
            </w:pPr>
            <w:r>
              <w:t xml:space="preserve">Members</w:t>
            </w:r>
          </w:p>
        </w:tc>
        <w:tc>
          <w:tcPr/>
          <w:p>
            <w:pPr>
              <w:pStyle w:val="Compact"/>
            </w:pPr>
            <w:r>
              <w:t xml:space="preserve">Before biological-input decisions</w:t>
            </w:r>
          </w:p>
        </w:tc>
      </w:tr>
      <w:tr>
        <w:tc>
          <w:tcPr/>
          <w:p>
            <w:pPr>
              <w:pStyle w:val="Compact"/>
            </w:pPr>
            <w:r>
              <w:t xml:space="preserve">Run an assessment diagnostic with no Chilean effort-creep correction but with a catchability step change in 2005</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CPUE index decisions</w:t>
            </w:r>
          </w:p>
        </w:tc>
      </w:tr>
      <w:tr>
        <w:tc>
          <w:tcPr/>
          <w:p>
            <w:pPr>
              <w:pStyle w:val="Compact"/>
            </w:pPr>
            <w:r>
              <w:t xml:space="preserve">Add number and proportion of sets by year to the Chile CPUE data-summary table</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Prepare the new Chilean CPUE input beginning in 1998, including the agreed effort-creep adjustment and annual CVs weighted by percentage coverage with INLA standard errors</w:t>
            </w:r>
          </w:p>
        </w:tc>
        <w:tc>
          <w:tcPr/>
          <w:p>
            <w:pPr>
              <w:pStyle w:val="Compact"/>
            </w:pPr>
            <w:r>
              <w:t xml:space="preserve">Chile CPUE contributors</w:t>
            </w:r>
          </w:p>
        </w:tc>
        <w:tc>
          <w:tcPr/>
          <w:p>
            <w:pPr>
              <w:pStyle w:val="Compact"/>
            </w:pPr>
            <w:r>
              <w:t xml:space="preserve">Assessment subgroup</w:t>
            </w:r>
          </w:p>
        </w:tc>
        <w:tc>
          <w:tcPr/>
          <w:p>
            <w:pPr>
              <w:pStyle w:val="Compact"/>
            </w:pPr>
            <w:r>
              <w:t xml:space="preserve">Before final model-run list</w:t>
            </w:r>
          </w:p>
        </w:tc>
      </w:tr>
      <w:tr>
        <w:tc>
          <w:tcPr/>
          <w:p>
            <w:pPr>
              <w:pStyle w:val="Compact"/>
            </w:pPr>
            <w:r>
              <w:t xml:space="preserve">Draft a paragraph explaining the criteria for starting the new Chilean CPUE series in 1998, including data coverage, representativeness, catch history, and fleet-behaviour changes after 1997</w:t>
            </w:r>
          </w:p>
        </w:tc>
        <w:tc>
          <w:tcPr/>
          <w:p>
            <w:pPr>
              <w:pStyle w:val="Compact"/>
            </w:pPr>
            <w:r>
              <w:t xml:space="preserve">Chile CPUE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Define what CPUE model or data changes will be allowed between the benchmark and subsequent assessment or MSE implementation</w:t>
            </w:r>
          </w:p>
        </w:tc>
        <w:tc>
          <w:tcPr/>
          <w:p>
            <w:pPr>
              <w:pStyle w:val="Compact"/>
            </w:pPr>
            <w:r>
              <w:t xml:space="preserve">Chair / Assessment subgroup</w:t>
            </w:r>
          </w:p>
        </w:tc>
        <w:tc>
          <w:tcPr/>
          <w:p>
            <w:pPr>
              <w:pStyle w:val="Compact"/>
            </w:pPr>
            <w:r>
              <w:t xml:space="preserve">Members</w:t>
            </w:r>
          </w:p>
        </w:tc>
        <w:tc>
          <w:tcPr/>
          <w:p>
            <w:pPr>
              <w:pStyle w:val="Compact"/>
            </w:pPr>
            <w:r>
              <w:t xml:space="preserve">Before final report adoption</w:t>
            </w:r>
          </w:p>
        </w:tc>
      </w:tr>
      <w:tr>
        <w:tc>
          <w:tcPr/>
          <w:p>
            <w:pPr>
              <w:pStyle w:val="Compact"/>
            </w:pPr>
            <w:r>
              <w:t xml:space="preserve">Add the sensitivity using piecemeal old Chilean CPUE before 1998</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final model-run list</w:t>
            </w:r>
          </w:p>
        </w:tc>
      </w:tr>
      <w:tr>
        <w:tc>
          <w:tcPr/>
          <w:p>
            <w:pPr>
              <w:pStyle w:val="Compact"/>
            </w:pPr>
            <w:r>
              <w:t xml:space="preserve">Check the strength and interpretation of the days-at-sea or DFP coefficient in the INLA-based Chile CPUE analysis</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Check whether zero CPUE records are true fishing zeroes or technical/non-fishing records and whether zeroes should be included in Chile CPUE standardization</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Replace the previous Peru CPUE index with the new later-starting Peruvian CPUE series</w:t>
            </w:r>
          </w:p>
        </w:tc>
        <w:tc>
          <w:tcPr/>
          <w:p>
            <w:pPr>
              <w:pStyle w:val="Compact"/>
            </w:pPr>
            <w:r>
              <w:t xml:space="preserve">Assessment subgroup</w:t>
            </w:r>
          </w:p>
        </w:tc>
        <w:tc>
          <w:tcPr/>
          <w:p>
            <w:pPr>
              <w:pStyle w:val="Compact"/>
            </w:pPr>
            <w:r>
              <w:t xml:space="preserve">Peru CPUE contributors</w:t>
            </w:r>
          </w:p>
        </w:tc>
        <w:tc>
          <w:tcPr/>
          <w:p>
            <w:pPr>
              <w:pStyle w:val="Compact"/>
            </w:pPr>
            <w:r>
              <w:t xml:space="preserve">Before final model-run list</w:t>
            </w:r>
          </w:p>
        </w:tc>
      </w:tr>
      <w:tr>
        <w:tc>
          <w:tcPr/>
          <w:p>
            <w:pPr>
              <w:pStyle w:val="Compact"/>
            </w:pPr>
            <w:r>
              <w:t xml:space="preserve">Replace the previous Peru acoustic index with the new Peruvian acoustic indices and associated length-frequency information</w:t>
            </w:r>
          </w:p>
        </w:tc>
        <w:tc>
          <w:tcPr/>
          <w:p>
            <w:pPr>
              <w:pStyle w:val="Compact"/>
            </w:pPr>
            <w:r>
              <w:t xml:space="preserve">Assessment subgroup</w:t>
            </w:r>
          </w:p>
        </w:tc>
        <w:tc>
          <w:tcPr/>
          <w:p>
            <w:pPr>
              <w:pStyle w:val="Compact"/>
            </w:pPr>
            <w:r>
              <w:t xml:space="preserve">Peru acoustic contributors</w:t>
            </w:r>
          </w:p>
        </w:tc>
        <w:tc>
          <w:tcPr/>
          <w:p>
            <w:pPr>
              <w:pStyle w:val="Compact"/>
            </w:pPr>
            <w:r>
              <w:t xml:space="preserve">Before final model-run list</w:t>
            </w:r>
          </w:p>
        </w:tc>
      </w:tr>
      <w:tr>
        <w:tc>
          <w:tcPr/>
          <w:p>
            <w:pPr>
              <w:pStyle w:val="Compact"/>
            </w:pPr>
            <w:r>
              <w:t xml:space="preserve">Prepare Peruvian length-frequency inputs in fork length, with fork-length growth parameters and the agreed increased plus group</w:t>
            </w:r>
          </w:p>
        </w:tc>
        <w:tc>
          <w:tcPr/>
          <w:p>
            <w:pPr>
              <w:pStyle w:val="Compact"/>
            </w:pPr>
            <w:r>
              <w:t xml:space="preserve">Assessment subgroup</w:t>
            </w:r>
          </w:p>
        </w:tc>
        <w:tc>
          <w:tcPr/>
          <w:p>
            <w:pPr>
              <w:pStyle w:val="Compact"/>
            </w:pPr>
            <w:r>
              <w:t xml:space="preserve">Peru biology contributors</w:t>
            </w:r>
          </w:p>
        </w:tc>
        <w:tc>
          <w:tcPr/>
          <w:p>
            <w:pPr>
              <w:pStyle w:val="Compact"/>
            </w:pPr>
            <w:r>
              <w:t xml:space="preserve">Before final model-run list</w:t>
            </w:r>
          </w:p>
        </w:tc>
      </w:tr>
      <w:tr>
        <w:tc>
          <w:tcPr/>
          <w:p>
            <w:pPr>
              <w:pStyle w:val="Compact"/>
            </w:pPr>
            <w:r>
              <w:t xml:space="preserve">Provide Peru composition sample-size information in terms of numbers of fish where available, in addition to sampling-event counts</w:t>
            </w:r>
          </w:p>
        </w:tc>
        <w:tc>
          <w:tcPr/>
          <w:p>
            <w:pPr>
              <w:pStyle w:val="Compact"/>
            </w:pPr>
            <w:r>
              <w:t xml:space="preserve">Peru biology contributors</w:t>
            </w:r>
          </w:p>
        </w:tc>
        <w:tc>
          <w:tcPr/>
          <w:p>
            <w:pPr>
              <w:pStyle w:val="Compact"/>
            </w:pPr>
            <w:r>
              <w:t xml:space="preserve">Assessment subgroup</w:t>
            </w:r>
          </w:p>
        </w:tc>
        <w:tc>
          <w:tcPr/>
          <w:p>
            <w:pPr>
              <w:pStyle w:val="Compact"/>
            </w:pPr>
            <w:r>
              <w:t xml:space="preserve">Before biological-input finalization</w:t>
            </w:r>
          </w:p>
        </w:tc>
      </w:tr>
      <w:tr>
        <w:tc>
          <w:tcPr/>
          <w:p>
            <w:pPr>
              <w:pStyle w:val="Compact"/>
            </w:pPr>
            <w:r>
              <w:t xml:space="preserve">Evaluate whether the SPRFMO length-bin range should be expanded to match Peru’s 5-90 cm length bins</w:t>
            </w:r>
          </w:p>
        </w:tc>
        <w:tc>
          <w:tcPr/>
          <w:p>
            <w:pPr>
              <w:pStyle w:val="Compact"/>
            </w:pPr>
            <w:r>
              <w:t xml:space="preserve">Assessment subgroup</w:t>
            </w:r>
          </w:p>
        </w:tc>
        <w:tc>
          <w:tcPr/>
          <w:p>
            <w:pPr>
              <w:pStyle w:val="Compact"/>
            </w:pPr>
            <w:r>
              <w:t xml:space="preserve">Peru biology contributors</w:t>
            </w:r>
          </w:p>
        </w:tc>
        <w:tc>
          <w:tcPr/>
          <w:p>
            <w:pPr>
              <w:pStyle w:val="Compact"/>
            </w:pPr>
            <w:r>
              <w:t xml:space="preserve">Before biological-input finalization</w:t>
            </w:r>
          </w:p>
        </w:tc>
      </w:tr>
      <w:tr>
        <w:tc>
          <w:tcPr/>
          <w:p>
            <w:pPr>
              <w:pStyle w:val="Compact"/>
            </w:pPr>
            <w:r>
              <w:t xml:space="preserve">Document the rationale for the 2021 offshore CPUE catchability break and the interpretation of El Nino effects relative to annual effects</w:t>
            </w:r>
          </w:p>
        </w:tc>
        <w:tc>
          <w:tcPr/>
          <w:p>
            <w:pPr>
              <w:pStyle w:val="Compact"/>
            </w:pPr>
            <w:r>
              <w:t xml:space="preserve">Offshore CPUE contributor</w:t>
            </w:r>
          </w:p>
        </w:tc>
        <w:tc>
          <w:tcPr/>
          <w:p>
            <w:pPr>
              <w:pStyle w:val="Compact"/>
            </w:pPr>
            <w:r>
              <w:t xml:space="preserve">Assessment subgroup</w:t>
            </w:r>
          </w:p>
        </w:tc>
        <w:tc>
          <w:tcPr/>
          <w:p>
            <w:pPr>
              <w:pStyle w:val="Compact"/>
            </w:pPr>
            <w:r>
              <w:t xml:space="preserve">Before final model-run list</w:t>
            </w:r>
          </w:p>
        </w:tc>
      </w:tr>
    </w:tbl>
    <w:bookmarkEnd w:id="31"/>
    <w:bookmarkStart w:id="32"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p>
      <w:pPr>
        <w:pStyle w:val="Compact"/>
        <w:numPr>
          <w:ilvl w:val="0"/>
          <w:numId w:val="1004"/>
        </w:numPr>
      </w:pPr>
      <w:r>
        <w:t xml:space="preserve">The current data-submission workflow is expedient but depends on consistent interpretation of sampling, coverage, and sample-size fields across members.</w:t>
      </w:r>
    </w:p>
    <w:p>
      <w:pPr>
        <w:pStyle w:val="Compact"/>
        <w:numPr>
          <w:ilvl w:val="0"/>
          <w:numId w:val="1004"/>
        </w:numPr>
      </w:pPr>
      <w:r>
        <w:t xml:space="preserve">The Chilean effort-creep correction may be confounded with catchability changes, and the assessment consequence should be tested alongside the agreed base treatment.</w:t>
      </w:r>
    </w:p>
    <w:p>
      <w:pPr>
        <w:pStyle w:val="Compact"/>
        <w:numPr>
          <w:ilvl w:val="0"/>
          <w:numId w:val="1004"/>
        </w:numPr>
      </w:pPr>
      <w:r>
        <w:t xml:space="preserve">The new Chile CPUE base treatment begins in 1998; the old pre-1998 CPUE sensitivity is needed to evaluate the effect of retaining earlier historical contrast.</w:t>
      </w:r>
    </w:p>
    <w:p>
      <w:pPr>
        <w:pStyle w:val="Compact"/>
        <w:numPr>
          <w:ilvl w:val="0"/>
          <w:numId w:val="1004"/>
        </w:numPr>
      </w:pPr>
      <w:r>
        <w:t xml:space="preserve">The new Peru CPUE and Peru acoustic treatments remove previous assessment indices, so the implementation should document exactly which historical series have been dropped.</w:t>
      </w:r>
    </w:p>
    <w:p>
      <w:pPr>
        <w:pStyle w:val="Compact"/>
        <w:numPr>
          <w:ilvl w:val="0"/>
          <w:numId w:val="1004"/>
        </w:numPr>
      </w:pPr>
      <w:r>
        <w:t xml:space="preserve">Offshore CPUE catchability breaks and environmental effects need clear interpretation so that abundance, availability, and fishing-behaviour changes are not conflated.</w:t>
      </w:r>
    </w:p>
    <w:bookmarkEnd w:id="32"/>
    <w:bookmarkStart w:id="38"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3"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Use of acoustic data collected by fishing vessels for estimating abundance/biomass in Peru.</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3"/>
    <w:bookmarkStart w:id="34"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4"/>
    <w:bookmarkStart w:id="35"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5"/>
    <w:bookmarkStart w:id="36"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6"/>
    <w:bookmarkStart w:id="37"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7"/>
    <w:bookmarkEnd w:id="38"/>
    <w:bookmarkStart w:id="39"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9"/>
    <w:bookmarkStart w:id="78"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2" w:name="assessment-and-model-structure"/>
    <w:p>
      <w:pPr>
        <w:pStyle w:val="Heading2"/>
      </w:pPr>
      <w:r>
        <w:t xml:space="preserve">Assessment and Model Structure</w:t>
      </w:r>
    </w:p>
    <w:bookmarkStart w:id="41" w:name="developments-of-the-base-sc13-model"/>
    <w:p>
      <w:pPr>
        <w:pStyle w:val="Heading3"/>
      </w:pPr>
      <w:r>
        <w:t xml:space="preserve">Developments of the Base SC13 Model</w:t>
      </w:r>
    </w:p>
    <w:p>
      <w:pPr>
        <w:pStyle w:val="FirstParagraph"/>
      </w:pPr>
      <w:hyperlink r:id="rId40">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1"/>
    <w:bookmarkEnd w:id="42"/>
    <w:bookmarkStart w:id="45" w:name="operating-models-and-mse"/>
    <w:p>
      <w:pPr>
        <w:pStyle w:val="Heading2"/>
      </w:pPr>
      <w:r>
        <w:t xml:space="preserve">Operating Models and MSE</w:t>
      </w:r>
    </w:p>
    <w:bookmarkStart w:id="44" w:name="operating-models-for-jack-mackerel-mse"/>
    <w:p>
      <w:pPr>
        <w:pStyle w:val="Heading3"/>
      </w:pPr>
      <w:r>
        <w:t xml:space="preserve">Operating Models for Jack Mackerel MSE</w:t>
      </w:r>
    </w:p>
    <w:p>
      <w:pPr>
        <w:pStyle w:val="FirstParagraph"/>
      </w:pPr>
      <w:hyperlink r:id="rId43">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4"/>
    <w:bookmarkEnd w:id="45"/>
    <w:bookmarkStart w:id="58" w:name="cpue"/>
    <w:p>
      <w:pPr>
        <w:pStyle w:val="Heading2"/>
      </w:pPr>
      <w:r>
        <w:t xml:space="preserve">CPUE</w:t>
      </w:r>
    </w:p>
    <w:bookmarkStart w:id="47" w:name="X78655e90d273c2174e3dc08eb7d53678355183a"/>
    <w:p>
      <w:pPr>
        <w:pStyle w:val="Heading3"/>
      </w:pPr>
      <w:r>
        <w:t xml:space="preserve">CPUE Coordination Priorities and Working-Paper Plan</w:t>
      </w:r>
    </w:p>
    <w:p>
      <w:pPr>
        <w:pStyle w:val="FirstParagraph"/>
      </w:pPr>
      <w:hyperlink r:id="rId46">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7"/>
    <w:bookmarkStart w:id="49" w:name="X55aa1326c783fdba0a32cb00d5dd3d2612f78d5"/>
    <w:p>
      <w:pPr>
        <w:pStyle w:val="Heading3"/>
      </w:pPr>
      <w:r>
        <w:t xml:space="preserve">Meta-Analysis of CPUE Papers on Jack Mackerel</w:t>
      </w:r>
    </w:p>
    <w:p>
      <w:pPr>
        <w:pStyle w:val="FirstParagraph"/>
      </w:pPr>
      <w:hyperlink r:id="rId48">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9"/>
    <w:bookmarkStart w:id="51" w:name="chile-cpue-effort-creep"/>
    <w:p>
      <w:pPr>
        <w:pStyle w:val="Heading3"/>
      </w:pPr>
      <w:r>
        <w:t xml:space="preserve">Chile CPUE Effort Creep</w:t>
      </w:r>
    </w:p>
    <w:p>
      <w:pPr>
        <w:pStyle w:val="FirstParagraph"/>
      </w:pPr>
      <w:hyperlink r:id="rId50">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1"/>
    <w:bookmarkStart w:id="53" w:name="chile-cpue-with-sdmtmbspde"/>
    <w:p>
      <w:pPr>
        <w:pStyle w:val="Heading3"/>
      </w:pPr>
      <w:r>
        <w:t xml:space="preserve">Chile CPUE with sdmTMB/SPDE</w:t>
      </w:r>
    </w:p>
    <w:p>
      <w:pPr>
        <w:pStyle w:val="FirstParagraph"/>
      </w:pPr>
      <w:hyperlink r:id="rId52">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3"/>
    <w:bookmarkStart w:id="55" w:name="chile-cpue-with-inla"/>
    <w:p>
      <w:pPr>
        <w:pStyle w:val="Heading3"/>
      </w:pPr>
      <w:r>
        <w:t xml:space="preserve">Chile CPUE with INLA</w:t>
      </w:r>
    </w:p>
    <w:p>
      <w:pPr>
        <w:pStyle w:val="FirstParagraph"/>
      </w:pPr>
      <w:hyperlink r:id="rId54">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5"/>
    <w:bookmarkStart w:id="57" w:name="peru-cpue"/>
    <w:p>
      <w:pPr>
        <w:pStyle w:val="Heading3"/>
      </w:pPr>
      <w:r>
        <w:t xml:space="preserve">Peru CPUE</w:t>
      </w:r>
    </w:p>
    <w:p>
      <w:pPr>
        <w:pStyle w:val="FirstParagraph"/>
      </w:pPr>
      <w:hyperlink r:id="rId56">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7"/>
    <w:bookmarkEnd w:id="58"/>
    <w:bookmarkStart w:id="67" w:name="acoustic-indices-1"/>
    <w:p>
      <w:pPr>
        <w:pStyle w:val="Heading2"/>
      </w:pPr>
      <w:r>
        <w:t xml:space="preserve">Acoustic Indices</w:t>
      </w:r>
    </w:p>
    <w:bookmarkStart w:id="60" w:name="Xb04805d959d92db344062f23c1d5fc65220cd11"/>
    <w:p>
      <w:pPr>
        <w:pStyle w:val="Heading3"/>
      </w:pPr>
      <w:r>
        <w:t xml:space="preserve">Northern Chile Acoustic Spatio-Temporal Model</w:t>
      </w:r>
    </w:p>
    <w:p>
      <w:pPr>
        <w:pStyle w:val="FirstParagraph"/>
      </w:pPr>
      <w:hyperlink r:id="rId59">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60"/>
    <w:bookmarkStart w:id="62" w:name="fishery-dependent-acoustics"/>
    <w:p>
      <w:pPr>
        <w:pStyle w:val="Heading3"/>
      </w:pPr>
      <w:r>
        <w:t xml:space="preserve">Fishery-Dependent Acoustics</w:t>
      </w:r>
    </w:p>
    <w:p>
      <w:pPr>
        <w:pStyle w:val="FirstParagraph"/>
      </w:pPr>
      <w:hyperlink r:id="rId61">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2"/>
    <w:bookmarkStart w:id="64" w:name="X8dcc86fd1c77a21ecd4bd2be0d11cc79550cb59"/>
    <w:p>
      <w:pPr>
        <w:pStyle w:val="Heading3"/>
      </w:pPr>
      <w:r>
        <w:t xml:space="preserve">Central-North Acoustic Density with sdmTMB</w:t>
      </w:r>
    </w:p>
    <w:p>
      <w:pPr>
        <w:pStyle w:val="FirstParagraph"/>
      </w:pPr>
      <w:hyperlink r:id="rId63">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4"/>
    <w:bookmarkStart w:id="66" w:name="peru-acoustic-index-considerations"/>
    <w:p>
      <w:pPr>
        <w:pStyle w:val="Heading3"/>
      </w:pPr>
      <w:r>
        <w:t xml:space="preserve">Peru Acoustic Index Considerations</w:t>
      </w:r>
    </w:p>
    <w:p>
      <w:pPr>
        <w:pStyle w:val="FirstParagraph"/>
      </w:pPr>
      <w:hyperlink r:id="rId65">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6"/>
    <w:bookmarkEnd w:id="67"/>
    <w:bookmarkStart w:id="74" w:name="biology-and-composition-inputs"/>
    <w:p>
      <w:pPr>
        <w:pStyle w:val="Heading2"/>
      </w:pPr>
      <w:r>
        <w:t xml:space="preserve">Biology and Composition Inputs</w:t>
      </w:r>
    </w:p>
    <w:bookmarkStart w:id="69" w:name="biology"/>
    <w:p>
      <w:pPr>
        <w:pStyle w:val="Heading3"/>
      </w:pPr>
      <w:r>
        <w:t xml:space="preserve">Biology</w:t>
      </w:r>
    </w:p>
    <w:p>
      <w:pPr>
        <w:pStyle w:val="FirstParagraph"/>
      </w:pPr>
      <w:hyperlink r:id="rId68">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9"/>
    <w:bookmarkStart w:id="71" w:name="peru-length-weight-relationship"/>
    <w:p>
      <w:pPr>
        <w:pStyle w:val="Heading3"/>
      </w:pPr>
      <w:r>
        <w:t xml:space="preserve">Peru Length-Weight Relationship</w:t>
      </w:r>
    </w:p>
    <w:p>
      <w:pPr>
        <w:pStyle w:val="FirstParagraph"/>
      </w:pPr>
      <w:hyperlink r:id="rId70">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1"/>
    <w:bookmarkStart w:id="73" w:name="peru-length-frequency-update"/>
    <w:p>
      <w:pPr>
        <w:pStyle w:val="Heading3"/>
      </w:pPr>
      <w:r>
        <w:t xml:space="preserve">Peru Length-Frequency Update</w:t>
      </w:r>
    </w:p>
    <w:p>
      <w:pPr>
        <w:pStyle w:val="FirstParagraph"/>
      </w:pPr>
      <w:hyperlink r:id="rId72">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3"/>
    <w:bookmarkEnd w:id="74"/>
    <w:bookmarkStart w:id="77" w:name="data-quality-and-supporting-evidence"/>
    <w:p>
      <w:pPr>
        <w:pStyle w:val="Heading2"/>
      </w:pPr>
      <w:r>
        <w:t xml:space="preserve">Data Quality and Supporting Evidence</w:t>
      </w:r>
    </w:p>
    <w:bookmarkStart w:id="76" w:name="catchfishery-data-quality-checks"/>
    <w:p>
      <w:pPr>
        <w:pStyle w:val="Heading3"/>
      </w:pPr>
      <w:r>
        <w:t xml:space="preserve">Catch/Fishery Data Quality Checks</w:t>
      </w:r>
    </w:p>
    <w:p>
      <w:pPr>
        <w:pStyle w:val="FirstParagraph"/>
      </w:pPr>
      <w:hyperlink r:id="rId75">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6"/>
    <w:bookmarkEnd w:id="77"/>
    <w:bookmarkEnd w:id="78"/>
    <w:bookmarkStart w:id="94" w:name="appendix-d.-presentation-summaries"/>
    <w:p>
      <w:pPr>
        <w:pStyle w:val="Heading1"/>
      </w:pPr>
      <w:r>
        <w:t xml:space="preserve">Appendix D. Presentation summaries</w:t>
      </w:r>
    </w:p>
    <w:p>
      <w:pPr>
        <w:pStyle w:val="FirstParagraph"/>
      </w:pPr>
      <w:r>
        <w:t xml:space="preserve">This appendix records presentation files available for the benchmark meeting. It</w:t>
      </w:r>
      <w:r>
        <w:t xml:space="preserve"> </w:t>
      </w:r>
      <w:r>
        <w:t xml:space="preserve">is intended as a crosswalk between the meeting agenda, formal SCW16 papers,</w:t>
      </w:r>
      <w:r>
        <w:t xml:space="preserve"> </w:t>
      </w:r>
      <w:r>
        <w:t xml:space="preserve">presentation-only material, and how each item should be used in the meeting</w:t>
      </w:r>
      <w:r>
        <w:t xml:space="preserve"> </w:t>
      </w:r>
      <w:r>
        <w:t xml:space="preserve">report.</w:t>
      </w:r>
    </w:p>
    <w:bookmarkStart w:id="88" w:name="day-1-presentations"/>
    <w:p>
      <w:pPr>
        <w:pStyle w:val="Heading2"/>
      </w:pPr>
      <w:r>
        <w:t xml:space="preserve">Day 1 Presentations</w:t>
      </w:r>
    </w:p>
    <w:p>
      <w:pPr>
        <w:pStyle w:val="FirstParagraph"/>
      </w:pPr>
      <w:r>
        <w:t xml:space="preserve">The Day 1 presentation files are available in</w:t>
      </w:r>
      <w:r>
        <w:t xml:space="preserve"> </w:t>
      </w:r>
      <w:r>
        <w:rPr>
          <w:rStyle w:val="VerbatimChar"/>
        </w:rPr>
        <w:t xml:space="preserve">docs/day1</w:t>
      </w:r>
      <w:r>
        <w:t xml:space="preserve"> </w:t>
      </w:r>
      <w:r>
        <w:t xml:space="preserve">and are organized</w:t>
      </w:r>
      <w:r>
        <w:t xml:space="preserve"> </w:t>
      </w:r>
      <w:r>
        <w:t xml:space="preserve">around the acoustic-session agenda.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9">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80">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1">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2">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3">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3">
              <w:r>
                <w:rPr>
                  <w:rStyle w:val="Hyperlink"/>
                </w:rPr>
                <w:t xml:space="preserve">Standardized northern Chile acoustic abundance index</w:t>
              </w:r>
            </w:hyperlink>
          </w:p>
        </w:tc>
        <w:tc>
          <w:tcPr/>
          <w:p>
            <w:pPr>
              <w:pStyle w:val="Compact"/>
            </w:pPr>
            <w:hyperlink r:id="rId59">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4">
              <w:r>
                <w:rPr>
                  <w:rStyle w:val="Hyperlink"/>
                </w:rPr>
                <w:t xml:space="preserve">Opportunistic acoustic data collection using the south-central Chilean commercial fleet</w:t>
              </w:r>
            </w:hyperlink>
          </w:p>
        </w:tc>
        <w:tc>
          <w:tcPr/>
          <w:p>
            <w:pPr>
              <w:pStyle w:val="Compact"/>
            </w:pPr>
            <w:hyperlink r:id="rId61">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5">
              <w:r>
                <w:rPr>
                  <w:rStyle w:val="Hyperlink"/>
                </w:rPr>
                <w:t xml:space="preserve">Review of jack mackerel acoustic assessments conducted in Peru</w:t>
              </w:r>
            </w:hyperlink>
          </w:p>
        </w:tc>
        <w:tc>
          <w:tcPr/>
          <w:p>
            <w:pPr>
              <w:pStyle w:val="Compact"/>
            </w:pPr>
            <w:hyperlink r:id="rId65">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6">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87">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bookmarkEnd w:id="88"/>
    <w:bookmarkStart w:id="93" w:name="day-2-presentations"/>
    <w:p>
      <w:pPr>
        <w:pStyle w:val="Heading2"/>
      </w:pPr>
      <w:r>
        <w:t xml:space="preserve">Day 2 Presentations</w:t>
      </w:r>
    </w:p>
    <w:p>
      <w:pPr>
        <w:pStyle w:val="FirstParagraph"/>
      </w:pPr>
      <w:r>
        <w:t xml:space="preserve">The Day 2 presentation files currently available in</w:t>
      </w:r>
      <w:r>
        <w:t xml:space="preserve"> </w:t>
      </w:r>
      <w:r>
        <w:rPr>
          <w:rStyle w:val="VerbatimChar"/>
        </w:rPr>
        <w:t xml:space="preserve">docs/day2</w:t>
      </w:r>
      <w:r>
        <w:t xml:space="preserve"> </w:t>
      </w:r>
      <w:r>
        <w:t xml:space="preserve">are organized</w:t>
      </w:r>
      <w:r>
        <w:t xml:space="preserve"> </w:t>
      </w:r>
      <w:r>
        <w:t xml:space="preserve">around the CPUE and data-quality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89">
              <w:r>
                <w:rPr>
                  <w:rStyle w:val="Hyperlink"/>
                </w:rPr>
                <w:t xml:space="preserve">Implementation of an informed creep correction into the Chile Jack Mackerel CPUE Index</w:t>
              </w:r>
            </w:hyperlink>
          </w:p>
        </w:tc>
        <w:tc>
          <w:tcPr/>
          <w:p>
            <w:pPr>
              <w:pStyle w:val="Compact"/>
            </w:pPr>
            <w:hyperlink r:id="rId50">
              <w:r>
                <w:rPr>
                  <w:rStyle w:val="Hyperlink"/>
                </w:rPr>
                <w:t xml:space="preserve">SCW16-Doc07</w:t>
              </w:r>
            </w:hyperlink>
          </w:p>
        </w:tc>
        <w:tc>
          <w:tcPr/>
          <w:p>
            <w:pPr>
              <w:pStyle w:val="Compact"/>
            </w:pPr>
            <w:r>
              <w:t xml:space="preserve">Industrial-vessel fishing-power and effort-creep correction for the Chilean jack mackerel CPUE index.</w:t>
            </w:r>
          </w:p>
        </w:tc>
        <w:tc>
          <w:tcPr/>
          <w:p>
            <w:pPr>
              <w:pStyle w:val="Compact"/>
            </w:pPr>
            <w:r>
              <w:t xml:space="preserve">Formal paper / candidate base or sensitivity treatment</w:t>
            </w:r>
          </w:p>
        </w:tc>
      </w:tr>
      <w:tr>
        <w:tc>
          <w:tcPr/>
          <w:p>
            <w:pPr>
              <w:pStyle w:val="Compact"/>
            </w:pPr>
            <w:hyperlink r:id="rId90">
              <w:r>
                <w:rPr>
                  <w:rStyle w:val="Hyperlink"/>
                </w:rPr>
                <w:t xml:space="preserve">Standardization of Chilean jack mackerel CPUE fishery in central-southern Chile using Hierarchical Bayesian Models</w:t>
              </w:r>
            </w:hyperlink>
          </w:p>
        </w:tc>
        <w:tc>
          <w:tcPr/>
          <w:p>
            <w:pPr>
              <w:pStyle w:val="Compact"/>
            </w:pPr>
            <w:hyperlink r:id="rId54">
              <w:r>
                <w:rPr>
                  <w:rStyle w:val="Hyperlink"/>
                </w:rPr>
                <w:t xml:space="preserve">SCW16-Doc12</w:t>
              </w:r>
            </w:hyperlink>
          </w:p>
        </w:tc>
        <w:tc>
          <w:tcPr/>
          <w:p>
            <w:pPr>
              <w:pStyle w:val="Compact"/>
            </w:pPr>
            <w:r>
              <w:t xml:space="preserve">INLA-based spatio-temporal standardization of the central-southern Chile CPUE fishery.</w:t>
            </w:r>
          </w:p>
        </w:tc>
        <w:tc>
          <w:tcPr/>
          <w:p>
            <w:pPr>
              <w:pStyle w:val="Compact"/>
            </w:pPr>
            <w:r>
              <w:t xml:space="preserve">Formal paper / candidate index</w:t>
            </w:r>
          </w:p>
        </w:tc>
      </w:tr>
      <w:tr>
        <w:tc>
          <w:tcPr/>
          <w:p>
            <w:pPr>
              <w:pStyle w:val="Compact"/>
            </w:pPr>
            <w:hyperlink r:id="rId91">
              <w:r>
                <w:rPr>
                  <w:rStyle w:val="Hyperlink"/>
                </w:rPr>
                <w:t xml:space="preserve">Standardization of CPUE for jack mackerel in Peru</w:t>
              </w:r>
            </w:hyperlink>
          </w:p>
        </w:tc>
        <w:tc>
          <w:tcPr/>
          <w:p>
            <w:pPr>
              <w:pStyle w:val="Compact"/>
            </w:pPr>
            <w:hyperlink r:id="rId56">
              <w:r>
                <w:rPr>
                  <w:rStyle w:val="Hyperlink"/>
                </w:rPr>
                <w:t xml:space="preserve">SCW16-Doc15</w:t>
              </w:r>
            </w:hyperlink>
          </w:p>
        </w:tc>
        <w:tc>
          <w:tcPr/>
          <w:p>
            <w:pPr>
              <w:pStyle w:val="Compact"/>
            </w:pPr>
            <w:r>
              <w:t xml:space="preserve">Updated Peruvian CPUE standardization for 2015-2025 using industrial and artisanal fleet information.</w:t>
            </w:r>
          </w:p>
        </w:tc>
        <w:tc>
          <w:tcPr/>
          <w:p>
            <w:pPr>
              <w:pStyle w:val="Compact"/>
            </w:pPr>
            <w:r>
              <w:t xml:space="preserve">Formal paper / candidate diagnostic or future index</w:t>
            </w:r>
          </w:p>
        </w:tc>
      </w:tr>
      <w:tr>
        <w:tc>
          <w:tcPr/>
          <w:p>
            <w:pPr>
              <w:pStyle w:val="Compact"/>
            </w:pPr>
            <w:hyperlink r:id="rId92">
              <w:r>
                <w:rPr>
                  <w:rStyle w:val="Hyperlink"/>
                </w:rPr>
                <w:t xml:space="preserve">CPUE standardisation offshore fleet</w:t>
              </w:r>
            </w:hyperlink>
          </w:p>
        </w:tc>
        <w:tc>
          <w:tcPr/>
          <w:p>
            <w:pPr>
              <w:pStyle w:val="Compact"/>
            </w:pPr>
            <w:r>
              <w:t xml:space="preserve">Presentation only; related to offshore CPUE assessment treatment</w:t>
            </w:r>
          </w:p>
        </w:tc>
        <w:tc>
          <w:tcPr/>
          <w:p>
            <w:pPr>
              <w:pStyle w:val="Compact"/>
            </w:pPr>
            <w:r>
              <w:t xml:space="preserve">Offshore fleet CPUE standardization, including treatment of a 2021 catchability break and environmental or catchability interpretation.</w:t>
            </w:r>
          </w:p>
        </w:tc>
        <w:tc>
          <w:tcPr/>
          <w:p>
            <w:pPr>
              <w:pStyle w:val="Compact"/>
            </w:pPr>
            <w:r>
              <w:t xml:space="preserve">Presentation only / model-treatment diagnostic</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2026-05-21T02:32:45Z</dcterms:created>
  <dcterms:modified xsi:type="dcterms:W3CDTF">2026-05-21T02:32:45Z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