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9.png" ContentType="image/png"/>
  <Override PartName="/word/media/rId130.png" ContentType="image/png"/>
  <Override PartName="/word/media/rId138.png" ContentType="image/png"/>
  <Override PartName="/word/media/rId134.png" ContentType="image/png"/>
  <Override PartName="/word/media/rId123.png" ContentType="image/png"/>
  <Override PartName="/word/media/rId143.png" ContentType="image/png"/>
  <Override PartName="/word/media/rId43.png" ContentType="image/png"/>
  <Override PartName="/word/media/rId39.png" ContentType="image/png"/>
  <Override PartName="/word/media/rId70.png" ContentType="image/png"/>
  <Override PartName="/word/media/rId66.png" ContentType="image/png"/>
  <Override PartName="/word/media/rId57.png" ContentType="image/png"/>
  <Override PartName="/word/media/rId61.png" ContentType="image/png"/>
  <Override PartName="/word/media/rId85.png" ContentType="image/png"/>
  <Override PartName="/word/media/rId89.png" ContentType="image/png"/>
  <Override PartName="/word/media/rId74.png" ContentType="image/png"/>
  <Override PartName="/word/media/rId104.png" ContentType="image/png"/>
  <Override PartName="/word/media/rId108.png" ContentType="image/png"/>
  <Override PartName="/word/media/rId95.png" ContentType="image/png"/>
  <Override PartName="/word/media/rId100.png" ContentType="image/png"/>
  <Override PartName="/word/media/rId1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SCW16/Paper-01</w:t>
      </w:r>
    </w:p>
    <w:p>
      <w:pPr>
        <w:pStyle w:val="BodyText"/>
      </w:pPr>
      <w:r>
        <w:t xml:space="preserve">06 April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50"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SCW16-Paper-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SCW16-Paper-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SCW16-Paper-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SCW16-Paper-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SCW16-Paper-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SCW16-Paper-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electivity-sc-allowance-ssb"/>
          <w:p>
            <w:pPr>
              <w:pStyle w:val="Compact"/>
              <w:jc w:val="center"/>
            </w:pPr>
            <w:r>
              <w:drawing>
                <wp:inline>
                  <wp:extent cx="5334000" cy="3194843"/>
                  <wp:effectExtent b="0" l="0" r="0" t="0"/>
                  <wp:docPr descr="" title="" id="75" name="Picture"/>
                  <a:graphic>
                    <a:graphicData uri="http://schemas.openxmlformats.org/drawingml/2006/picture">
                      <pic:pic>
                        <pic:nvPicPr>
                          <pic:cNvPr descr="SCW16-Paper-01_files/figure-docx/fig-selectivity-sc-allowance-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7"/>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8"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8"/>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7</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82" w:name="fig-h1-index-fits"/>
          <w:p>
            <w:pPr>
              <w:pStyle w:val="Compact"/>
              <w:jc w:val="center"/>
            </w:pPr>
            <w:r>
              <w:drawing>
                <wp:inline>
                  <wp:extent cx="5334000" cy="4333875"/>
                  <wp:effectExtent b="0" l="0" r="0" t="0"/>
                  <wp:docPr descr="" title="" id="80" name="Picture"/>
                  <a:graphic>
                    <a:graphicData uri="http://schemas.openxmlformats.org/drawingml/2006/picture">
                      <pic:pic>
                        <pic:nvPicPr>
                          <pic:cNvPr descr="SCW16-Paper-01_files/figure-docx/fig-h1-index-fits-1.png" id="81" name="Picture"/>
                          <pic:cNvPicPr>
                            <a:picLocks noChangeArrowheads="1" noChangeAspect="1"/>
                          </pic:cNvPicPr>
                        </pic:nvPicPr>
                        <pic:blipFill>
                          <a:blip r:embed="rId7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82"/>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6</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SCW16-Paper-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SCW16-Paper-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12</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98" w:name="fig-selectivity-sc5-index-fits"/>
          <w:p>
            <w:pPr>
              <w:pStyle w:val="Compact"/>
              <w:jc w:val="center"/>
            </w:pPr>
            <w:r>
              <w:drawing>
                <wp:inline>
                  <wp:extent cx="5334000" cy="4333875"/>
                  <wp:effectExtent b="0" l="0" r="0" t="0"/>
                  <wp:docPr descr="" title="" id="96" name="Picture"/>
                  <a:graphic>
                    <a:graphicData uri="http://schemas.openxmlformats.org/drawingml/2006/picture">
                      <pic:pic>
                        <pic:nvPicPr>
                          <pic:cNvPr descr="SCW16-Paper-01_files/figure-docx/fig-selectivity-sc5-index-fits-1.png" id="97" name="Picture"/>
                          <pic:cNvPicPr>
                            <a:picLocks noChangeArrowheads="1" noChangeAspect="1"/>
                          </pic:cNvPicPr>
                        </pic:nvPicPr>
                        <pic:blipFill>
                          <a:blip r:embed="rId9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98"/>
        </w:tc>
      </w:tr>
    </w:tbl>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99"/>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10</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03" w:name="fig-selectivity-sc5-qtrend"/>
          <w:p>
            <w:pPr>
              <w:pStyle w:val="Compact"/>
              <w:jc w:val="center"/>
            </w:pPr>
            <w:r>
              <w:drawing>
                <wp:inline>
                  <wp:extent cx="5334000" cy="3194843"/>
                  <wp:effectExtent b="0" l="0" r="0" t="0"/>
                  <wp:docPr descr="" title="" id="101" name="Picture"/>
                  <a:graphic>
                    <a:graphicData uri="http://schemas.openxmlformats.org/drawingml/2006/picture">
                      <pic:pic>
                        <pic:nvPicPr>
                          <pic:cNvPr descr="SCW16-Paper-01_files/figure-docx/fig-selectivity-sc5-qtrend-1.png" id="102" name="Picture"/>
                          <pic:cNvPicPr>
                            <a:picLocks noChangeArrowheads="1" noChangeAspect="1"/>
                          </pic:cNvPicPr>
                        </pic:nvPicPr>
                        <pic:blipFill>
                          <a:blip r:embed="rId10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03"/>
        </w:tc>
      </w:tr>
    </w:tbl>
    <w:bookmarkStart w:id="112"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7" w:name="fig-selectivity-sc5-compare-1"/>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SCW16-Paper-01_files/figure-docx/fig-selectivity-sc5-compare-1.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7"/>
              </w:tc>
            </w:tr>
          </w:tbl>
          <w:p/>
        </w:tc>
        <w:tc>
          <w:tcPr/>
          <w:tbl>
            <w:tblPr>
              <w:tblStyle w:val="Table"/>
              <w:tblW w:type="pct" w:w="4900"/>
              <w:tblLayout w:type="fixed"/>
              <w:tblLook w:firstRow="0" w:lastRow="0" w:firstColumn="0" w:lastColumn="0" w:noHBand="0" w:noVBand="0" w:val="0000"/>
            </w:tblPr>
            <w:tblGrid>
              <w:gridCol w:w="7761"/>
            </w:tblGrid>
            <w:tr>
              <w:tc>
                <w:tcPr/>
                <w:bookmarkStart w:id="111" w:name="fig-selectivity-sc5-compare-2"/>
                <w:p>
                  <w:pPr>
                    <w:pStyle w:val="Compact"/>
                    <w:jc w:val="center"/>
                    <w:jc w:val="left"/>
                  </w:pPr>
                  <w:r>
                    <w:drawing>
                      <wp:inline>
                        <wp:extent cx="2971800" cy="4754880"/>
                        <wp:effectExtent b="0" l="0" r="0" t="0"/>
                        <wp:docPr descr="" title="" id="109" name="Picture"/>
                        <a:graphic>
                          <a:graphicData uri="http://schemas.openxmlformats.org/drawingml/2006/picture">
                            <pic:pic>
                              <pic:nvPicPr>
                                <pic:cNvPr descr="SCW16-Paper-01_files/figure-docx/fig-selectivity-sc5-compare-2.png" id="110" name="Picture"/>
                                <pic:cNvPicPr>
                                  <a:picLocks noChangeArrowheads="1" noChangeAspect="1"/>
                                </pic:cNvPicPr>
                              </pic:nvPicPr>
                              <pic:blipFill>
                                <a:blip r:embed="rId10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1"/>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2"/>
    <w:tbl>
      <w:tblPr>
        <w:tblStyle w:val="Table"/>
        <w:tblW w:type="pct" w:w="5000"/>
        <w:tblLayout w:type="fixed"/>
        <w:tblLook w:firstRow="0" w:lastRow="0" w:firstColumn="0" w:lastColumn="0" w:noHBand="0" w:noVBand="0" w:val="0000"/>
      </w:tblPr>
      <w:tblGrid>
        <w:gridCol w:w="7920"/>
      </w:tblGrid>
      <w:tr>
        <w:tc>
          <w:tcPr/>
          <w:bookmarkStart w:id="116" w:name="fig-selectivity-sc5-ssb"/>
          <w:p>
            <w:pPr>
              <w:pStyle w:val="Compact"/>
              <w:jc w:val="center"/>
            </w:pPr>
            <w:r>
              <w:drawing>
                <wp:inline>
                  <wp:extent cx="5334000" cy="3194843"/>
                  <wp:effectExtent b="0" l="0" r="0" t="0"/>
                  <wp:docPr descr="" title="" id="114" name="Picture"/>
                  <a:graphic>
                    <a:graphicData uri="http://schemas.openxmlformats.org/drawingml/2006/picture">
                      <pic:pic>
                        <pic:nvPicPr>
                          <pic:cNvPr descr="SCW16-Paper-01_files/figure-docx/fig-selectivity-sc5-ssb-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SCW16-Paper-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SCW16-Paper-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SCW16-Paper-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SCW16-Paper-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9"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p>
      <w:pPr>
        <w:pStyle w:val="BodyText"/>
      </w:pPr>
      <w:r>
        <w:rPr>
          <w:b/>
          <w:bCs/>
        </w:rPr>
        <w:t xml:space="preserve">91.</w:t>
      </w:r>
      <w:r>
        <w:t xml:space="preserve"> </w:t>
      </w:r>
      <w:r>
        <w:t xml:space="preserve">As an additional diagnostic of selectivity dynamics, the fishery-combined mean selected age can be tracked through time:</w:t>
      </w:r>
    </w:p>
    <w:p>
      <w:pPr>
        <w:pStyle w:val="BodyText"/>
      </w:pPr>
      <m:oMathPara>
        <m:oMathParaPr>
          <m:jc m:val="center"/>
        </m:oMathParaPr>
        <m:oMath>
          <m:sSub>
            <m:e>
              <m:acc>
                <m:accPr>
                  <m:chr m:val="‾"/>
                </m:accPr>
                <m:e>
                  <m:r>
                    <m:t>a</m:t>
                  </m:r>
                </m:e>
              </m:acc>
            </m:e>
            <m:sub>
              <m:r>
                <m:t>t</m:t>
              </m:r>
            </m:sub>
          </m:sSub>
          <m:r>
            <m:rPr>
              <m:sty m:val="p"/>
            </m:rPr>
            <m:t>=</m:t>
          </m:r>
          <m:f>
            <m:fPr>
              <m:type m:val="bar"/>
            </m:fPr>
            <m:num>
              <m:nary>
                <m:naryPr>
                  <m:chr m:val="∑"/>
                  <m:limLoc m:val="undOvr"/>
                  <m:subHide m:val="off"/>
                  <m:supHide m:val="on"/>
                </m:naryPr>
                <m:sub>
                  <m:r>
                    <m:t>a</m:t>
                  </m:r>
                </m:sub>
                <m:sup>
                  <m:r>
                    <m:t>​</m:t>
                  </m:r>
                </m:sup>
                <m:e>
                  <m:sSub>
                    <m:e>
                      <m:r>
                        <m:t>F</m:t>
                      </m:r>
                    </m:e>
                    <m:sub>
                      <m:r>
                        <m:t>a</m:t>
                      </m:r>
                      <m:r>
                        <m:rPr>
                          <m:sty m:val="p"/>
                        </m:rPr>
                        <m:t>,</m:t>
                      </m:r>
                      <m:r>
                        <m:t>t</m:t>
                      </m:r>
                    </m:sub>
                  </m:sSub>
                </m:e>
              </m:nary>
              <m:r>
                <m:t>a</m:t>
              </m:r>
            </m:num>
            <m:den>
              <m:nary>
                <m:naryPr>
                  <m:chr m:val="∑"/>
                  <m:limLoc m:val="undOvr"/>
                  <m:subHide m:val="off"/>
                  <m:supHide m:val="on"/>
                </m:naryPr>
                <m:sub>
                  <m:r>
                    <m:t>a</m:t>
                  </m:r>
                </m:sub>
                <m:sup>
                  <m:r>
                    <m:t>​</m:t>
                  </m:r>
                </m:sup>
                <m:e>
                  <m:sSub>
                    <m:e>
                      <m:r>
                        <m:t>F</m:t>
                      </m:r>
                    </m:e>
                    <m:sub>
                      <m:r>
                        <m:t>a</m:t>
                      </m:r>
                      <m:r>
                        <m:rPr>
                          <m:sty m:val="p"/>
                        </m:rPr>
                        <m:t>,</m:t>
                      </m:r>
                      <m:r>
                        <m:t>t</m:t>
                      </m:r>
                    </m:sub>
                  </m:sSub>
                </m:e>
              </m:nary>
            </m:den>
          </m:f>
          <m:r>
            <m:rPr>
              <m:sty m:val="p"/>
            </m:rPr>
            <m:t>,</m:t>
          </m:r>
        </m:oMath>
      </m:oMathPara>
    </w:p>
    <w:p>
      <w:pPr>
        <w:pStyle w:val="FirstParagraph"/>
      </w:pPr>
      <w:r>
        <w:t xml:space="preserve">where</w:t>
      </w:r>
      <w:r>
        <w:t xml:space="preserve"> </w:t>
      </w:r>
      <m:oMath>
        <m:sSub>
          <m:e>
            <m:r>
              <m:t>F</m:t>
            </m:r>
          </m:e>
          <m:sub>
            <m:r>
              <m:t>a</m:t>
            </m:r>
            <m:r>
              <m:rPr>
                <m:sty m:val="p"/>
              </m:rPr>
              <m:t>,</m:t>
            </m:r>
            <m:r>
              <m:t>t</m:t>
            </m:r>
          </m:sub>
        </m:sSub>
      </m:oMath>
      <w:r>
        <w:t xml:space="preserve"> </w:t>
      </w:r>
      <w:r>
        <w:t xml:space="preserve">is total fishing mortality at age in year</w:t>
      </w:r>
      <w:r>
        <w:t xml:space="preserve"> </w:t>
      </w:r>
      <m:oMath>
        <m:r>
          <m:t>t</m:t>
        </m:r>
      </m:oMath>
      <w:r>
        <w:t xml:space="preserve">. The resulting trend for the SC13 single-stock model is shown in</w:t>
      </w:r>
      <w:r>
        <w:t xml:space="preserve"> </w:t>
      </w:r>
      <w:hyperlink w:anchor="fig-mean-selected-age">
        <w:r>
          <w:rPr>
            <w:rStyle w:val="Hyperlink"/>
          </w:rPr>
          <w:t xml:space="preserve">Figure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mean-selected-age"/>
          <w:p>
            <w:pPr>
              <w:pStyle w:val="Compact"/>
              <w:jc w:val="center"/>
            </w:pPr>
            <w:r>
              <w:drawing>
                <wp:inline>
                  <wp:extent cx="5334000" cy="3062882"/>
                  <wp:effectExtent b="0" l="0" r="0" t="0"/>
                  <wp:docPr descr="" title="" id="144" name="Picture"/>
                  <a:graphic>
                    <a:graphicData uri="http://schemas.openxmlformats.org/drawingml/2006/picture">
                      <pic:pic>
                        <pic:nvPicPr>
                          <pic:cNvPr descr="SCW16-Paper-01_files/figure-docx/fig-mean-selected-age-1.png" id="145" name="Picture"/>
                          <pic:cNvPicPr>
                            <a:picLocks noChangeArrowheads="1" noChangeAspect="1"/>
                          </pic:cNvPicPr>
                        </pic:nvPicPr>
                        <pic:blipFill>
                          <a:blip r:embed="rId143"/>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Time trend in fishery-combined mean selected age for</w:t>
            </w:r>
            <w:r>
              <w:t xml:space="preserve"> </w:t>
            </w:r>
            <w:r>
              <w:rPr>
                <w:rStyle w:val="VerbatimChar"/>
              </w:rPr>
              <w:t xml:space="preserve">h1_1.14</w:t>
            </w:r>
            <w:r>
              <w:t xml:space="preserve">, computed as</w:t>
            </w:r>
            <w:r>
              <w:t xml:space="preserve"> </w:t>
            </w:r>
            <m:oMath>
              <m:sSub>
                <m:e>
                  <m:acc>
                    <m:accPr>
                      <m:chr m:val="‾"/>
                    </m:accPr>
                    <m:e>
                      <m:r>
                        <m:t>a</m:t>
                      </m:r>
                    </m:e>
                  </m:acc>
                </m:e>
                <m:sub>
                  <m:r>
                    <m:t>t</m:t>
                  </m:r>
                </m:sub>
              </m:sSub>
              <m:r>
                <m:rPr>
                  <m:sty m:val="p"/>
                </m:rPr>
                <m:t>=</m:t>
              </m:r>
              <m:nary>
                <m:naryPr>
                  <m:chr m:val="∑"/>
                  <m:limLoc m:val="undOvr"/>
                  <m:subHide m:val="off"/>
                  <m:supHide m:val="on"/>
                </m:naryPr>
                <m:sub>
                  <m:r>
                    <m:t>a</m:t>
                  </m:r>
                </m:sub>
                <m:sup>
                  <m:r>
                    <m:t>​</m:t>
                  </m:r>
                </m:sup>
                <m:e>
                  <m:sSub>
                    <m:e>
                      <m:r>
                        <m:t>F</m:t>
                      </m:r>
                    </m:e>
                    <m:sub>
                      <m:r>
                        <m:t>a</m:t>
                      </m:r>
                      <m:r>
                        <m:rPr>
                          <m:sty m:val="p"/>
                        </m:rPr>
                        <m:t>,</m:t>
                      </m:r>
                      <m:r>
                        <m:t>t</m:t>
                      </m:r>
                    </m:sub>
                  </m:sSub>
                </m:e>
              </m:nary>
              <m:r>
                <m:t>a</m:t>
              </m:r>
              <m:r>
                <m:rPr>
                  <m:sty m:val="p"/>
                </m:rPr>
                <m:t>/</m:t>
              </m:r>
              <m:nary>
                <m:naryPr>
                  <m:chr m:val="∑"/>
                  <m:limLoc m:val="undOvr"/>
                  <m:subHide m:val="off"/>
                  <m:supHide m:val="on"/>
                </m:naryPr>
                <m:sub>
                  <m:r>
                    <m:t>a</m:t>
                  </m:r>
                </m:sub>
                <m:sup>
                  <m:r>
                    <m:t>​</m:t>
                  </m:r>
                </m:sup>
                <m:e>
                  <m:sSub>
                    <m:e>
                      <m:r>
                        <m:t>F</m:t>
                      </m:r>
                    </m:e>
                    <m:sub>
                      <m:r>
                        <m:t>a</m:t>
                      </m:r>
                      <m:r>
                        <m:rPr>
                          <m:sty m:val="p"/>
                        </m:rPr>
                        <m:t>,</m:t>
                      </m:r>
                      <m:r>
                        <m:t>t</m:t>
                      </m:r>
                    </m:sub>
                  </m:sSub>
                </m:e>
              </m:nary>
            </m:oMath>
            <w:r>
              <w:t xml:space="preserve">.</w:t>
            </w:r>
          </w:p>
          <w:bookmarkEnd w:id="146"/>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note.png" id="14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92.</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93.</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9"/>
    <w:bookmarkEnd w:id="150"/>
    <w:bookmarkStart w:id="151" w:name="summary"/>
    <w:p>
      <w:pPr>
        <w:pStyle w:val="Heading1"/>
      </w:pPr>
      <w:r>
        <w:t xml:space="preserve">7. Summary</w:t>
      </w:r>
    </w:p>
    <w:p>
      <w:pPr>
        <w:pStyle w:val="FirstParagraph"/>
      </w:pPr>
      <w:r>
        <w:rPr>
          <w:b/>
          <w:bCs/>
        </w:rPr>
        <w:t xml:space="preserve">94.</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95.</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51"/>
    <w:bookmarkStart w:id="161"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52"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52"/>
    <w:bookmarkStart w:id="153"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53"/>
    <w:bookmarkStart w:id="154"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4"/>
    <w:bookmarkStart w:id="155"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5"/>
    <w:bookmarkStart w:id="156"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6"/>
    <w:bookmarkStart w:id="157"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7"/>
    <w:bookmarkStart w:id="158"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8"/>
    <w:bookmarkStart w:id="159"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9"/>
    <w:bookmarkStart w:id="160"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60"/>
    <w:bookmarkEnd w:id="161"/>
    <w:bookmarkStart w:id="190" w:name="references"/>
    <w:p>
      <w:pPr>
        <w:pStyle w:val="Heading1"/>
      </w:pPr>
      <w:r>
        <w:t xml:space="preserve">References</w:t>
      </w:r>
    </w:p>
    <w:bookmarkStart w:id="189" w:name="refs"/>
    <w:bookmarkStart w:id="162"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62"/>
    <w:bookmarkStart w:id="164"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63">
        <w:r>
          <w:rPr>
            <w:rStyle w:val="Hyperlink"/>
          </w:rPr>
          <w:t xml:space="preserve">https://doi.org/10.1006/jmsc.1999.0532</w:t>
        </w:r>
      </w:hyperlink>
    </w:p>
    <w:bookmarkEnd w:id="164"/>
    <w:bookmarkStart w:id="166"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5">
        <w:r>
          <w:rPr>
            <w:rStyle w:val="Hyperlink"/>
          </w:rPr>
          <w:t xml:space="preserve">https://www.iccat.int/Documents/CVSP/CV081_2024/n_2/CV08102149.pdf</w:t>
        </w:r>
      </w:hyperlink>
    </w:p>
    <w:bookmarkEnd w:id="166"/>
    <w:bookmarkStart w:id="168"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7">
        <w:r>
          <w:rPr>
            <w:rStyle w:val="Hyperlink"/>
          </w:rPr>
          <w:t xml:space="preserve">https://doi.org/10.1080/10556788.2011.597854</w:t>
        </w:r>
      </w:hyperlink>
    </w:p>
    <w:bookmarkEnd w:id="168"/>
    <w:bookmarkStart w:id="170"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9">
        <w:r>
          <w:rPr>
            <w:rStyle w:val="Hyperlink"/>
          </w:rPr>
          <w:t xml:space="preserve">https://doi.org/10.1139/f82-157</w:t>
        </w:r>
      </w:hyperlink>
    </w:p>
    <w:bookmarkEnd w:id="170"/>
    <w:bookmarkStart w:id="172"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71">
        <w:r>
          <w:rPr>
            <w:rStyle w:val="Hyperlink"/>
          </w:rPr>
          <w:t xml:space="preserve">https://doi.org/10.1139/f2011-025</w:t>
        </w:r>
      </w:hyperlink>
    </w:p>
    <w:bookmarkEnd w:id="172"/>
    <w:bookmarkStart w:id="174"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73">
        <w:r>
          <w:rPr>
            <w:rStyle w:val="Hyperlink"/>
          </w:rPr>
          <w:t xml:space="preserve">https://doi.org/10.1007/978-1-4615-3598-0</w:t>
        </w:r>
      </w:hyperlink>
    </w:p>
    <w:bookmarkEnd w:id="174"/>
    <w:bookmarkStart w:id="176"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5">
        <w:r>
          <w:rPr>
            <w:rStyle w:val="Hyperlink"/>
          </w:rPr>
          <w:t xml:space="preserve">https://doi.org/10.1093/icesjms/fsq173</w:t>
        </w:r>
      </w:hyperlink>
    </w:p>
    <w:bookmarkEnd w:id="176"/>
    <w:bookmarkStart w:id="178"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7">
        <w:r>
          <w:rPr>
            <w:rStyle w:val="Hyperlink"/>
          </w:rPr>
          <w:t xml:space="preserve">https://doi.org/10.1111/faf.12104</w:t>
        </w:r>
      </w:hyperlink>
    </w:p>
    <w:bookmarkEnd w:id="178"/>
    <w:bookmarkStart w:id="180"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9">
        <w:r>
          <w:rPr>
            <w:rStyle w:val="Hyperlink"/>
          </w:rPr>
          <w:t xml:space="preserve">https://doi.org/10.1073/pnas.1820344116</w:t>
        </w:r>
      </w:hyperlink>
    </w:p>
    <w:bookmarkEnd w:id="180"/>
    <w:bookmarkStart w:id="182"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81">
        <w:r>
          <w:rPr>
            <w:rStyle w:val="Hyperlink"/>
          </w:rPr>
          <w:t xml:space="preserve">https://doi.org/10.1139/f95-800</w:t>
        </w:r>
      </w:hyperlink>
    </w:p>
    <w:bookmarkEnd w:id="182"/>
    <w:bookmarkStart w:id="184"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83">
        <w:r>
          <w:rPr>
            <w:rStyle w:val="Hyperlink"/>
          </w:rPr>
          <w:t xml:space="preserve">https://doi.org/10.1111/faf.12579</w:t>
        </w:r>
      </w:hyperlink>
    </w:p>
    <w:bookmarkEnd w:id="184"/>
    <w:bookmarkStart w:id="186"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5">
        <w:r>
          <w:rPr>
            <w:rStyle w:val="Hyperlink"/>
          </w:rPr>
          <w:t xml:space="preserve">https://www.sprfmo.int/assets/Meetings/02-SC/13th-SC-2025/Jack-Mackerel/SC13-JM09-Report-of-the-JMWG-Management-Strategy-Evaluation-Technical-Workshop.pdf</w:t>
        </w:r>
      </w:hyperlink>
    </w:p>
    <w:bookmarkEnd w:id="186"/>
    <w:bookmarkStart w:id="188"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7">
        <w:r>
          <w:rPr>
            <w:rStyle w:val="Hyperlink"/>
          </w:rPr>
          <w:t xml:space="preserve">https://sprfmo.int/assets/Meetings/02-SC/13th-SC-2025/SC13-Report-Annex-11_final.pdf</w:t>
        </w:r>
      </w:hyperlink>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143" Target="media/rId14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hyperlink" Id="rId163" Target="https://doi.org/10.1006/jmsc.1999.0532" TargetMode="External" /><Relationship Type="http://schemas.openxmlformats.org/officeDocument/2006/relationships/hyperlink" Id="rId173" Target="https://doi.org/10.1007/978-1-4615-3598-0" TargetMode="External" /><Relationship Type="http://schemas.openxmlformats.org/officeDocument/2006/relationships/hyperlink" Id="rId179" Target="https://doi.org/10.1073/pnas.1820344116" TargetMode="External" /><Relationship Type="http://schemas.openxmlformats.org/officeDocument/2006/relationships/hyperlink" Id="rId167" Target="https://doi.org/10.1080/10556788.2011.597854" TargetMode="External" /><Relationship Type="http://schemas.openxmlformats.org/officeDocument/2006/relationships/hyperlink" Id="rId175" Target="https://doi.org/10.1093/icesjms/fsq173" TargetMode="External" /><Relationship Type="http://schemas.openxmlformats.org/officeDocument/2006/relationships/hyperlink" Id="rId177" Target="https://doi.org/10.1111/faf.12104" TargetMode="External" /><Relationship Type="http://schemas.openxmlformats.org/officeDocument/2006/relationships/hyperlink" Id="rId183" Target="https://doi.org/10.1111/faf.12579" TargetMode="External" /><Relationship Type="http://schemas.openxmlformats.org/officeDocument/2006/relationships/hyperlink" Id="rId171" Target="https://doi.org/10.1139/f2011-025" TargetMode="External" /><Relationship Type="http://schemas.openxmlformats.org/officeDocument/2006/relationships/hyperlink" Id="rId169" Target="https://doi.org/10.1139/f82-157" TargetMode="External" /><Relationship Type="http://schemas.openxmlformats.org/officeDocument/2006/relationships/hyperlink" Id="rId181"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7" Target="https://sprfmo.int/assets/Meetings/02-SC/13th-SC-2025/SC13-Report-Annex-11_final.pdf" TargetMode="External" /><Relationship Type="http://schemas.openxmlformats.org/officeDocument/2006/relationships/hyperlink" Id="rId165" Target="https://www.iccat.int/Documents/CVSP/CV081_2024/n_2/CV08102149.pdf" TargetMode="External" /><Relationship Type="http://schemas.openxmlformats.org/officeDocument/2006/relationships/hyperlink" Id="rId185"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63" Target="https://doi.org/10.1006/jmsc.1999.0532" TargetMode="External" /><Relationship Type="http://schemas.openxmlformats.org/officeDocument/2006/relationships/hyperlink" Id="rId173" Target="https://doi.org/10.1007/978-1-4615-3598-0" TargetMode="External" /><Relationship Type="http://schemas.openxmlformats.org/officeDocument/2006/relationships/hyperlink" Id="rId179" Target="https://doi.org/10.1073/pnas.1820344116" TargetMode="External" /><Relationship Type="http://schemas.openxmlformats.org/officeDocument/2006/relationships/hyperlink" Id="rId167" Target="https://doi.org/10.1080/10556788.2011.597854" TargetMode="External" /><Relationship Type="http://schemas.openxmlformats.org/officeDocument/2006/relationships/hyperlink" Id="rId175" Target="https://doi.org/10.1093/icesjms/fsq173" TargetMode="External" /><Relationship Type="http://schemas.openxmlformats.org/officeDocument/2006/relationships/hyperlink" Id="rId177" Target="https://doi.org/10.1111/faf.12104" TargetMode="External" /><Relationship Type="http://schemas.openxmlformats.org/officeDocument/2006/relationships/hyperlink" Id="rId183" Target="https://doi.org/10.1111/faf.12579" TargetMode="External" /><Relationship Type="http://schemas.openxmlformats.org/officeDocument/2006/relationships/hyperlink" Id="rId171" Target="https://doi.org/10.1139/f2011-025" TargetMode="External" /><Relationship Type="http://schemas.openxmlformats.org/officeDocument/2006/relationships/hyperlink" Id="rId169" Target="https://doi.org/10.1139/f82-157" TargetMode="External" /><Relationship Type="http://schemas.openxmlformats.org/officeDocument/2006/relationships/hyperlink" Id="rId181"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7" Target="https://sprfmo.int/assets/Meetings/02-SC/13th-SC-2025/SC13-Report-Annex-11_final.pdf" TargetMode="External" /><Relationship Type="http://schemas.openxmlformats.org/officeDocument/2006/relationships/hyperlink" Id="rId165" Target="https://www.iccat.int/Documents/CVSP/CV081_2024/n_2/CV08102149.pdf" TargetMode="External" /><Relationship Type="http://schemas.openxmlformats.org/officeDocument/2006/relationships/hyperlink" Id="rId185"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2026-04-07T04:55:32Z</dcterms:created>
  <dcterms:modified xsi:type="dcterms:W3CDTF">2026-04-07T04:55:32Z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