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Risk</w:t>
      </w:r>
      <w:r>
        <w:t xml:space="preserve"> </w:t>
      </w:r>
      <w:r>
        <w:t xml:space="preserve">Tables</w:t>
      </w:r>
    </w:p>
    <w:p>
      <w:pPr>
        <w:pStyle w:val="Author"/>
      </w:pPr>
      <w:r>
        <w:t xml:space="preserve">South</w:t>
      </w:r>
      <w:r>
        <w:t xml:space="preserve"> </w:t>
      </w:r>
      <w:r>
        <w:t xml:space="preserve">Pacific</w:t>
      </w:r>
      <w:r>
        <w:t xml:space="preserve"> </w:t>
      </w:r>
      <w:r>
        <w:t xml:space="preserve">Regional</w:t>
      </w:r>
      <w:r>
        <w:t xml:space="preserve"> </w:t>
      </w:r>
      <w:r>
        <w:t xml:space="preserve">Fisheries</w:t>
      </w:r>
      <w:r>
        <w:t xml:space="preserve"> </w:t>
      </w:r>
      <w:r>
        <w:t xml:space="preserve">Management</w:t>
      </w:r>
      <w:r>
        <w:t xml:space="preserve"> </w:t>
      </w:r>
      <w:r>
        <w:t xml:space="preserve">Organisation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Stock_1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7"/>
        <w:gridCol w:w="528"/>
        <w:gridCol w:w="1218"/>
        <w:gridCol w:w="528"/>
        <w:gridCol w:w="1218"/>
        <w:gridCol w:w="528"/>
        <w:gridCol w:w="1218"/>
        <w:gridCol w:w="771"/>
        <w:gridCol w:w="771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Multiplier of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2022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2024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2024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2028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2028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2032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2032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2023 (kt)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2024 (kt)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16784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19946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21436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10968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8304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7771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49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3074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2634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15154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15300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15418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762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841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14664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14174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14097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1080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1.25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14198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13200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12991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1240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1301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Tables</dc:title>
  <dc:creator>South Pacific Regional Fisheries Management Organisation</dc:creator>
  <cp:keywords/>
  <dcterms:created xsi:type="dcterms:W3CDTF">2022-10-26T02:39:37Z</dcterms:created>
  <dcterms:modified xsi:type="dcterms:W3CDTF">2022-10-26T02:39:37Z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  <property fmtid="{D5CDD505-2E9C-101B-9397-08002B2CF9AE}" pid="3" name="output">
    <vt:lpwstr/>
  </property>
</Properties>
</file>