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Override PartName="/word/media/rId37.png" ContentType="image/png"/>
  <Override PartName="/word/media/rId70.png" ContentType="image/png"/>
  <Override PartName="/word/media/rId66.png" ContentType="image/png"/>
  <Override PartName="/word/media/rId55.png" ContentType="image/png"/>
  <Override PartName="/word/media/rId5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Working paper JM-WP-BM-01</w:t>
      </w:r>
    </w:p>
    <w:bookmarkStart w:id="24" w:name="abstract"/>
    <w:p>
      <w:pPr>
        <w:pStyle w:val="Heading1"/>
      </w:pPr>
      <w:r>
        <w:t xml:space="preserve">Abstract</w:t>
      </w:r>
    </w:p>
    <w:p>
      <w:pPr>
        <w:pStyle w:val="FirstParagraph"/>
      </w:pP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t xml:space="preserve">The immediate justification for beginning this work is to avoid carrying into MSE several complicated features that were identified during the</w:t>
      </w:r>
      <w:r>
        <w:t xml:space="preserve"> </w:t>
      </w:r>
      <w:hyperlink r:id="rId23">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i/>
          <w:iCs/>
        </w:rPr>
        <w:t xml:space="preserve">This revision incorporates comments from Iago Mosqueira (IPSC/JRC) on selectivity uncertainty, index influence, recruitment regimes, reference point consistency, and northern stock harmonization. Reviewer observations appear in callout boxes throughout Section 6.</w:t>
      </w:r>
    </w:p>
    <w:bookmarkEnd w:id="24"/>
    <w:bookmarkStart w:id="25" w:name="introduction"/>
    <w:p>
      <w:pPr>
        <w:pStyle w:val="Heading1"/>
      </w:pPr>
      <w:r>
        <w:t xml:space="preserve">1. Introduction</w:t>
      </w:r>
    </w:p>
    <w:p>
      <w:pPr>
        <w:pStyle w:val="FirstParagraph"/>
      </w:pP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5"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4" w:name="summary-comparison"/>
    <w:p>
      <w:pPr>
        <w:pStyle w:val="Heading2"/>
      </w:pPr>
      <w:r>
        <w:t xml:space="preserve">4.3 Summary Comparison</w:t>
      </w:r>
    </w:p>
    <w:p>
      <w:pPr>
        <w:pStyle w:val="FirstParagraph"/>
      </w:pPr>
      <w:r>
        <w:t xml:space="preserve">Table 1 summarizes the main structural differences between the two SC13 advice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h1_1.14</w:t>
            </w:r>
          </w:p>
        </w:tc>
        <w:tc>
          <w:tcPr/>
          <w:p>
            <w:pPr>
              <w:pStyle w:val="Compact"/>
            </w:pPr>
            <w:r>
              <w:rPr>
                <w:rStyle w:val="VerbatimChar"/>
              </w:rPr>
              <w:t xml:space="preserve">h2_1.14</w:t>
            </w:r>
          </w:p>
        </w:tc>
      </w:tr>
      <w:tr>
        <w:tc>
          <w:tcPr/>
          <w:p>
            <w:pPr>
              <w:pStyle w:val="Compact"/>
            </w:pPr>
            <w:r>
              <w:t xml:space="preserve">Stock hypothesis</w:t>
            </w:r>
          </w:p>
        </w:tc>
        <w:tc>
          <w:tcPr/>
          <w:p>
            <w:pPr>
              <w:pStyle w:val="Compact"/>
            </w:pPr>
            <w:r>
              <w:t xml:space="preserve">Single shared stock</w:t>
            </w:r>
          </w:p>
        </w:tc>
        <w:tc>
          <w:tcPr/>
          <w:p>
            <w:pPr>
              <w:pStyle w:val="Compact"/>
            </w:pPr>
            <w:r>
              <w:t xml:space="preserve">Southern stock plus far north stock</w:t>
            </w:r>
          </w:p>
        </w:tc>
      </w:tr>
      <w:tr>
        <w:tc>
          <w:tcPr/>
          <w:p>
            <w:pPr>
              <w:pStyle w:val="Compact"/>
            </w:pPr>
            <w:r>
              <w:t xml:space="preserve">Number of modeled stocks</w:t>
            </w:r>
          </w:p>
        </w:tc>
        <w:tc>
          <w:tcPr/>
          <w:p>
            <w:pPr>
              <w:pStyle w:val="Compact"/>
            </w:pPr>
            <w:r>
              <w:t xml:space="preserve">1</w:t>
            </w:r>
          </w:p>
        </w:tc>
        <w:tc>
          <w:tcPr/>
          <w:p>
            <w:pPr>
              <w:pStyle w:val="Compact"/>
            </w:pPr>
            <w:r>
              <w:t xml:space="preserve">2</w:t>
            </w:r>
          </w:p>
        </w:tc>
      </w:tr>
      <w:tr>
        <w:tc>
          <w:tcPr/>
          <w:p>
            <w:pPr>
              <w:pStyle w:val="Compact"/>
            </w:pPr>
            <w:r>
              <w:t xml:space="preserve">Data file</w:t>
            </w:r>
          </w:p>
        </w:tc>
        <w:tc>
          <w:tcPr/>
          <w:p>
            <w:pPr>
              <w:pStyle w:val="Compact"/>
            </w:pPr>
            <w:r>
              <w:rPr>
                <w:rStyle w:val="VerbatimChar"/>
              </w:rPr>
              <w:t xml:space="preserve">assessment/input/1.14.dat</w:t>
            </w:r>
          </w:p>
        </w:tc>
        <w:tc>
          <w:tcPr/>
          <w:p>
            <w:pPr>
              <w:pStyle w:val="Compact"/>
            </w:pPr>
            <w:r>
              <w:rPr>
                <w:rStyle w:val="VerbatimChar"/>
              </w:rPr>
              <w:t xml:space="preserve">assessment/input/1.14.dat</w:t>
            </w:r>
          </w:p>
        </w:tc>
      </w:tr>
      <w:tr>
        <w:tc>
          <w:tcPr/>
          <w:p>
            <w:pPr>
              <w:pStyle w:val="Compact"/>
            </w:pPr>
            <w:r>
              <w:t xml:space="preserve">Natural mortality</w:t>
            </w:r>
          </w:p>
        </w:tc>
        <w:tc>
          <w:tcPr/>
          <w:p>
            <w:pPr>
              <w:pStyle w:val="Compact"/>
            </w:pPr>
            <w:r>
              <w:t xml:space="preserve">0.28</w:t>
            </w:r>
          </w:p>
        </w:tc>
        <w:tc>
          <w:tcPr/>
          <w:p>
            <w:pPr>
              <w:pStyle w:val="Compact"/>
            </w:pPr>
            <w:r>
              <w:t xml:space="preserve">0.28 and 0.33</w:t>
            </w:r>
          </w:p>
        </w:tc>
      </w:tr>
      <w:tr>
        <w:tc>
          <w:tcPr/>
          <w:p>
            <w:pPr>
              <w:pStyle w:val="Compact"/>
            </w:pPr>
            <w:r>
              <w:t xml:space="preserve">Maturity schedule</w:t>
            </w:r>
          </w:p>
        </w:tc>
        <w:tc>
          <w:tcPr/>
          <w:p>
            <w:pPr>
              <w:pStyle w:val="Compact"/>
            </w:pPr>
            <w:r>
              <w:t xml:space="preserve">One schedule</w:t>
            </w:r>
          </w:p>
        </w:tc>
        <w:tc>
          <w:tcPr/>
          <w:p>
            <w:pPr>
              <w:pStyle w:val="Compact"/>
            </w:pPr>
            <w:r>
              <w:t xml:space="preserve">Stock-specific schedules</w:t>
            </w:r>
          </w:p>
        </w:tc>
      </w:tr>
      <w:tr>
        <w:tc>
          <w:tcPr/>
          <w:p>
            <w:pPr>
              <w:pStyle w:val="Compact"/>
            </w:pPr>
            <w:r>
              <w:t xml:space="preserve">Population weight-at-age</w:t>
            </w:r>
          </w:p>
        </w:tc>
        <w:tc>
          <w:tcPr/>
          <w:p>
            <w:pPr>
              <w:pStyle w:val="Compact"/>
            </w:pPr>
            <w:r>
              <w:t xml:space="preserve">One schedule</w:t>
            </w:r>
          </w:p>
        </w:tc>
        <w:tc>
          <w:tcPr/>
          <w:p>
            <w:pPr>
              <w:pStyle w:val="Compact"/>
            </w:pPr>
            <w:r>
              <w:t xml:space="preserve">Stock-specific schedules</w:t>
            </w:r>
          </w:p>
        </w:tc>
      </w:tr>
      <w:tr>
        <w:tc>
          <w:tcPr/>
          <w:p>
            <w:pPr>
              <w:pStyle w:val="Compact"/>
            </w:pPr>
            <w:r>
              <w:t xml:space="preserve">Recruitment structure</w:t>
            </w:r>
          </w:p>
        </w:tc>
        <w:tc>
          <w:tcPr/>
          <w:p>
            <w:pPr>
              <w:pStyle w:val="Compact"/>
            </w:pPr>
            <w:r>
              <w:t xml:space="preserve">One curve, 2000-2022</w:t>
            </w:r>
          </w:p>
        </w:tc>
        <w:tc>
          <w:tcPr/>
          <w:p>
            <w:pPr>
              <w:pStyle w:val="Compact"/>
            </w:pPr>
            <w:r>
              <w:t xml:space="preserve">Three assignments with a 1999 regime shift</w:t>
            </w:r>
          </w:p>
        </w:tc>
      </w:tr>
      <w:tr>
        <w:tc>
          <w:tcPr/>
          <w:p>
            <w:pPr>
              <w:pStyle w:val="Compact"/>
            </w:pPr>
            <w:r>
              <w:t xml:space="preserve">Far North selectivity</w:t>
            </w:r>
          </w:p>
        </w:tc>
        <w:tc>
          <w:tcPr/>
          <w:p>
            <w:pPr>
              <w:pStyle w:val="Compact"/>
            </w:pPr>
            <w:r>
              <w:t xml:space="preserve">Annual variation from 1981</w:t>
            </w:r>
          </w:p>
        </w:tc>
        <w:tc>
          <w:tcPr/>
          <w:p>
            <w:pPr>
              <w:pStyle w:val="Compact"/>
            </w:pPr>
            <w:r>
              <w:t xml:space="preserve">Simplified regime treatment centered on 2002</w:t>
            </w:r>
          </w:p>
        </w:tc>
      </w:tr>
      <w:tr>
        <w:tc>
          <w:tcPr/>
          <w:p>
            <w:pPr>
              <w:pStyle w:val="Compact"/>
            </w:pPr>
            <w:r>
              <w:t xml:space="preserve">Projection horizon</w:t>
            </w:r>
          </w:p>
        </w:tc>
        <w:tc>
          <w:tcPr/>
          <w:p>
            <w:pPr>
              <w:pStyle w:val="Compact"/>
            </w:pPr>
            <w:r>
              <w:t xml:space="preserve">20 years</w:t>
            </w:r>
          </w:p>
        </w:tc>
        <w:tc>
          <w:tcPr/>
          <w:p>
            <w:pPr>
              <w:pStyle w:val="Compact"/>
            </w:pPr>
            <w:r>
              <w:t xml:space="preserve">20 years</w:t>
            </w:r>
          </w:p>
        </w:tc>
      </w:tr>
    </w:tbl>
    <w:p>
      <w:pPr>
        <w:pStyle w:val="BodyText"/>
      </w:pP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4"/>
    <w:bookmarkEnd w:id="35"/>
    <w:bookmarkStart w:id="36" w:name="Xdf21a61c1b4d59d91b08b247089ff271b7fcfe4"/>
    <w:p>
      <w:pPr>
        <w:pStyle w:val="Heading1"/>
      </w:pPr>
      <w:r>
        <w:t xml:space="preserve">5. Why the SC13 Base Model Is Difficult to Transfer Directly into MSE</w:t>
      </w:r>
    </w:p>
    <w:p>
      <w:pPr>
        <w:pStyle w:val="FirstParagraph"/>
      </w:pPr>
      <w:r>
        <w:t xml:space="preserve">The July 2025 MSE workshop concluded that the base assessment should first be documented and then simplified before being used as an MSE operating model. The repository materials support that conclusion.</w:t>
      </w:r>
    </w:p>
    <w:p>
      <w:pPr>
        <w:pStyle w:val="BodyText"/>
      </w:pPr>
      <w:r>
        <w:t xml:space="preserve">The SC13 base model uses extensive time-varying selectivity. This was increased further in the 2025 assessment to improve fits for the south-central Chile and offshore fleets. Time-varying selectivity may be necessary in annual assessments, but it can make MSE results difficult to interpret because changes in management performance may reflect selectivity specification as much as underlying stock dynamics</w:t>
      </w:r>
      <w:r>
        <w:t xml:space="preserve"> </w:t>
      </w:r>
      <w:r>
        <w:t xml:space="preserve">(Linton &amp; Bence, 2011)</w:t>
      </w:r>
      <w:r>
        <w:t xml:space="preserve">.</w:t>
      </w:r>
    </w:p>
    <w:p>
      <w:pPr>
        <w:pStyle w:val="BodyText"/>
      </w:pP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 depend on terminal-year conditions, especially relative catch shares, selectivity-at-age, and weights-at-age.</w:t>
      </w:r>
      <w:r>
        <w:t xml:space="preserve"> </w:t>
      </w:r>
      <w:r>
        <w:t xml:space="preserve">This makes stock status and advice partly conditional on the most recent fitted 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t xml:space="preserve">Similarly, the projection assumptions differ from the fitting assumptions. The projection scripts</w:t>
      </w:r>
      <w:r>
        <w:t xml:space="preserve"> </w:t>
      </w:r>
      <w:r>
        <w:t xml:space="preserve">show that future calculations rely on fixed selectivity and, in some scenarios, a shortened low-productivity recruitment history. This means that advice is generated from a model in which the fitting phase and the projection phase are intentionally not identical. In MSE, that layering needs to be explicit and deliberate rather than inherited as an assessment convention</w:t>
      </w:r>
      <w:r>
        <w:t xml:space="preserve"> </w:t>
      </w:r>
      <w:r>
        <w:t xml:space="preserve">(Punt et al., 2016; Siple et al., 2021)</w:t>
      </w:r>
      <w:r>
        <w:t xml:space="preserve">.</w:t>
      </w:r>
    </w:p>
    <w:p>
      <w:pPr>
        <w:pStyle w:val="BodyText"/>
      </w:pP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 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6"/>
    <w:bookmarkStart w:id="86" w:name="proposed-simplified-alternatives"/>
    <w:p>
      <w:pPr>
        <w:pStyle w:val="Heading1"/>
      </w:pPr>
      <w:r>
        <w:t xml:space="preserve">6. Proposed Simplified Alternatives</w:t>
      </w:r>
    </w:p>
    <w:p>
      <w:pPr>
        <w:pStyle w:val="FirstParagraph"/>
      </w:pPr>
      <w:r>
        <w:t xml:space="preserve">The SC13 base model should therefore be regarded as the reference assessment formulation. Simplified alternatives should be judged according to how much of the essential behavior of the base model they retain while reducing structural complexity that is not strictly necessary for MSE.</w:t>
      </w:r>
    </w:p>
    <w:p>
      <w:pPr>
        <w:pStyle w:val="BodyText"/>
      </w:pPr>
      <w:r>
        <w:t xml:space="preserve">A practical first set of alternatives is as follows.</w:t>
      </w:r>
    </w:p>
    <w:bookmarkStart w:id="48" w:name="reduced-number-of-indices"/>
    <w:p>
      <w:pPr>
        <w:pStyle w:val="Heading2"/>
      </w:pPr>
      <w:r>
        <w:t xml:space="preserve">6.1 Reduced number of indices</w:t>
      </w:r>
    </w:p>
    <w:p>
      <w:pPr>
        <w:pStyle w:val="FirstParagraph"/>
      </w:pP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0" w:name="fig-reduced-indices-ssb"/>
          <w:p>
            <w:pPr>
              <w:pStyle w:val="Compact"/>
              <w:jc w:val="center"/>
            </w:pPr>
            <w:r>
              <w:drawing>
                <wp:inline>
                  <wp:extent cx="5334000" cy="3194843"/>
                  <wp:effectExtent b="0" l="0" r="0" t="0"/>
                  <wp:docPr descr="" title="" id="38" name="Picture"/>
                  <a:graphic>
                    <a:graphicData uri="http://schemas.openxmlformats.org/drawingml/2006/picture">
                      <pic:pic>
                        <pic:nvPicPr>
                          <pic:cNvPr descr="JM-WP-BM-01_files/figure-docx/fig-reduced-indices-ssb-1.png" id="39" name="Picture"/>
                          <pic:cNvPicPr>
                            <a:picLocks noChangeArrowheads="1" noChangeAspect="1"/>
                          </pic:cNvPicPr>
                        </pic:nvPicPr>
                        <pic:blipFill>
                          <a:blip r:embed="rId37"/>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reduced-indices-rec"/>
          <w:p>
            <w:pPr>
              <w:pStyle w:val="Compact"/>
              <w:jc w:val="center"/>
            </w:pPr>
            <w:r>
              <w:drawing>
                <wp:inline>
                  <wp:extent cx="5334000" cy="3194843"/>
                  <wp:effectExtent b="0" l="0" r="0" t="0"/>
                  <wp:docPr descr="" title="" id="42" name="Picture"/>
                  <a:graphic>
                    <a:graphicData uri="http://schemas.openxmlformats.org/drawingml/2006/picture">
                      <pic:pic>
                        <pic:nvPicPr>
                          <pic:cNvPr descr="JM-WP-BM-01_files/figure-docx/fig-reduced-indices-rec-1.png" id="43" name="Picture"/>
                          <pic:cNvPicPr>
                            <a:picLocks noChangeArrowheads="1" noChangeAspect="1"/>
                          </pic:cNvPicPr>
                        </pic:nvPicPr>
                        <pic:blipFill>
                          <a:blip r:embed="rId41"/>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4"/>
        </w:tc>
      </w:tr>
    </w:tbl>
    <w:p>
      <w:pPr>
        <w:pStyle w:val="BodyText"/>
      </w:pP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48"/>
    <w:bookmarkStart w:id="76" w:name="simplified-selectivity-alternatives"/>
    <w:p>
      <w:pPr>
        <w:pStyle w:val="Heading2"/>
      </w:pPr>
      <w:r>
        <w:t xml:space="preserve">6.2 Simplified Selectivity Alternatives</w:t>
      </w:r>
    </w:p>
    <w:p>
      <w:pPr>
        <w:pStyle w:val="FirstParagraph"/>
      </w:pP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75" w:name="X518721fe55853f821d30f8adb270621fb439ada"/>
    <w:p>
      <w:pPr>
        <w:pStyle w:val="Heading3"/>
      </w:pPr>
      <w:r>
        <w:t xml:space="preserve">Selectivity Time-Block Reduction by Fleet</w:t>
      </w:r>
    </w:p>
    <w:p>
      <w:pPr>
        <w:pStyle w:val="FirstParagraph"/>
      </w:pP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49" w:name="fleet-1-north-chile"/>
    <w:p>
      <w:pPr>
        <w:pStyle w:val="Heading4"/>
      </w:pPr>
      <w:r>
        <w:t xml:space="preserve">Fleet 1 — North Chile</w:t>
      </w:r>
    </w:p>
    <w:p>
      <w:pPr>
        <w:pStyle w:val="FirstParagraph"/>
      </w:pP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t xml:space="preserve">The main structural breaks for this fleet are around 1987 and 2016, which is also consistent with the increase in mean age shown in Annex Figure 31.</w:t>
      </w:r>
    </w:p>
    <w:bookmarkEnd w:id="49"/>
    <w:bookmarkStart w:id="50" w:name="fleet-2-south-central-chile"/>
    <w:p>
      <w:pPr>
        <w:pStyle w:val="Heading4"/>
      </w:pPr>
      <w:r>
        <w:t xml:space="preserve">Fleet 2 — South-Central Chile</w:t>
      </w:r>
    </w:p>
    <w:p>
      <w:pPr>
        <w:pStyle w:val="FirstParagraph"/>
      </w:pP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t xml:space="preserve">These blocks are consistent with the gradual aging trend noted elsewhere in the report, including the increase in mean age over the last decade.</w:t>
      </w:r>
    </w:p>
    <w:bookmarkEnd w:id="50"/>
    <w:bookmarkStart w:id="51" w:name="fleet-3-far-north"/>
    <w:p>
      <w:pPr>
        <w:pStyle w:val="Heading4"/>
      </w:pPr>
      <w:r>
        <w:t xml:space="preserve">Fleet 3 — Far North</w:t>
      </w:r>
    </w:p>
    <w:p>
      <w:pPr>
        <w:pStyle w:val="FirstParagraph"/>
      </w:pP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1"/>
    <w:bookmarkStart w:id="52" w:name="fleet-4-offshore-trawl"/>
    <w:p>
      <w:pPr>
        <w:pStyle w:val="Heading4"/>
      </w:pPr>
      <w:r>
        <w:t xml:space="preserve">Fleet 4 — Offshore trawl</w:t>
      </w:r>
    </w:p>
    <w:p>
      <w:pPr>
        <w:pStyle w:val="FirstParagraph"/>
      </w:pP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t xml:space="preserve">These changes are consistent with the recent selectivity changes noted in the SC13 sensitivity runs.</w:t>
      </w:r>
    </w:p>
    <w:bookmarkEnd w:id="52"/>
    <w:bookmarkStart w:id="53" w:name="cross-fleet-simplification"/>
    <w:p>
      <w:pPr>
        <w:pStyle w:val="Heading4"/>
      </w:pPr>
      <w:r>
        <w:t xml:space="preserve">Cross-Fleet Simplification</w:t>
      </w:r>
    </w:p>
    <w:p>
      <w:pPr>
        <w:pStyle w:val="FirstParagraph"/>
      </w:pP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3"/>
    <w:bookmarkStart w:id="54" w:name="key-insight"/>
    <w:p>
      <w:pPr>
        <w:pStyle w:val="Heading4"/>
      </w:pPr>
      <w:r>
        <w:t xml:space="preserve">Key Insight</w:t>
      </w:r>
    </w:p>
    <w:p>
      <w:pPr>
        <w:pStyle w:val="FirstParagraph"/>
      </w:pPr>
      <w:r>
        <w:t xml:space="preserve">Across fleets, the main broad pattern is a recent shift toward older fish after about 2015, with the offshore fleet as the main exception because it shows more recent spikes in younger selectivity.</w:t>
      </w:r>
    </w:p>
    <w:p>
      <w:pPr>
        <w:pStyle w:val="BodyText"/>
      </w:pP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t xml:space="preserve">These broad breakpoints also align with changes in fishing pressure, the stock rebuilding phase, and the model note that recent selectivity favors older fish.</w:t>
      </w:r>
    </w:p>
    <w:bookmarkEnd w:id="54"/>
    <w:bookmarkStart w:id="74" w:name="illustrative-fit-with-selectivity-blocks"/>
    <w:p>
      <w:pPr>
        <w:pStyle w:val="Heading4"/>
      </w:pPr>
      <w:r>
        <w:t xml:space="preserve">Illustrative fit with selectivity blocks</w:t>
      </w:r>
    </w:p>
    <w:p>
      <w:pPr>
        <w:pStyle w:val="FirstParagraph"/>
      </w:pP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3"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8" w:name="fig-selectivity-fishery-compare-1"/>
                <w:p>
                  <w:pPr>
                    <w:pStyle w:val="Compact"/>
                    <w:jc w:val="center"/>
                    <w:jc w:val="left"/>
                  </w:pPr>
                  <w:r>
                    <w:drawing>
                      <wp:inline>
                        <wp:extent cx="2971800" cy="4754880"/>
                        <wp:effectExtent b="0" l="0" r="0" t="0"/>
                        <wp:docPr descr="" title="" id="56" name="Picture"/>
                        <a:graphic>
                          <a:graphicData uri="http://schemas.openxmlformats.org/drawingml/2006/picture">
                            <pic:pic>
                              <pic:nvPicPr>
                                <pic:cNvPr descr="JM-WP-BM-01_files/figure-docx/fig-selectivity-fishery-compare-1.png" id="57" name="Picture"/>
                                <pic:cNvPicPr>
                                  <a:picLocks noChangeArrowheads="1" noChangeAspect="1"/>
                                </pic:cNvPicPr>
                              </pic:nvPicPr>
                              <pic:blipFill>
                                <a:blip r:embed="rId5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58"/>
              </w:tc>
            </w:tr>
          </w:tbl>
          <w:p/>
        </w:tc>
        <w:tc>
          <w:tcPr/>
          <w:tbl>
            <w:tblPr>
              <w:tblStyle w:val="Table"/>
              <w:tblW w:type="pct" w:w="4900"/>
              <w:tblLayout w:type="fixed"/>
              <w:tblLook w:firstRow="0" w:lastRow="0" w:firstColumn="0" w:lastColumn="0" w:noHBand="0" w:noVBand="0" w:val="0000"/>
            </w:tblPr>
            <w:tblGrid>
              <w:gridCol w:w="7761"/>
            </w:tblGrid>
            <w:tr>
              <w:tc>
                <w:tcPr/>
                <w:bookmarkStart w:id="62" w:name="fig-selectivity-fishery-compare-2"/>
                <w:p>
                  <w:pPr>
                    <w:pStyle w:val="Compact"/>
                    <w:jc w:val="center"/>
                    <w:jc w:val="left"/>
                  </w:pPr>
                  <w:r>
                    <w:drawing>
                      <wp:inline>
                        <wp:extent cx="2971800" cy="4754880"/>
                        <wp:effectExtent b="0" l="0" r="0" t="0"/>
                        <wp:docPr descr="" title="" id="60" name="Picture"/>
                        <a:graphic>
                          <a:graphicData uri="http://schemas.openxmlformats.org/drawingml/2006/picture">
                            <pic:pic>
                              <pic:nvPicPr>
                                <pic:cNvPr descr="JM-WP-BM-01_files/figure-docx/fig-selectivity-fishery-compare-2.png" id="61" name="Picture"/>
                                <pic:cNvPicPr>
                                  <a:picLocks noChangeArrowheads="1" noChangeAspect="1"/>
                                </pic:cNvPicPr>
                              </pic:nvPicPr>
                              <pic:blipFill>
                                <a:blip r:embed="rId5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2"/>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3"/>
    <w:p>
      <w:pPr>
        <w:pStyle w:val="BodyText"/>
      </w:pP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4</w:t>
        </w:r>
      </w:hyperlink>
      <w:r>
        <w:t xml:space="preserve"> </w:t>
      </w:r>
      <w:r>
        <w:t xml:space="preserve">and</w:t>
      </w:r>
      <w:r>
        <w:t xml:space="preserve"> </w:t>
      </w:r>
      <w:hyperlink w:anchor="fig-selectivity-blocks-rec">
        <w:r>
          <w:rPr>
            <w:rStyle w:val="Hyperlink"/>
          </w:rPr>
          <w:t xml:space="preserve">Figure 5</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69" w:name="fig-selectivity-blocks-ssb"/>
          <w:p>
            <w:pPr>
              <w:pStyle w:val="Compact"/>
              <w:jc w:val="center"/>
            </w:pPr>
            <w:r>
              <w:drawing>
                <wp:inline>
                  <wp:extent cx="5334000" cy="3194843"/>
                  <wp:effectExtent b="0" l="0" r="0" t="0"/>
                  <wp:docPr descr="" title="" id="67" name="Picture"/>
                  <a:graphic>
                    <a:graphicData uri="http://schemas.openxmlformats.org/drawingml/2006/picture">
                      <pic:pic>
                        <pic:nvPicPr>
                          <pic:cNvPr descr="JM-WP-BM-01_files/figure-docx/fig-selectivity-blocks-ssb-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blocks-rec"/>
          <w:p>
            <w:pPr>
              <w:pStyle w:val="Compact"/>
              <w:jc w:val="center"/>
            </w:pPr>
            <w:r>
              <w:drawing>
                <wp:inline>
                  <wp:extent cx="5334000" cy="3194843"/>
                  <wp:effectExtent b="0" l="0" r="0" t="0"/>
                  <wp:docPr descr="" title="" id="71" name="Picture"/>
                  <a:graphic>
                    <a:graphicData uri="http://schemas.openxmlformats.org/drawingml/2006/picture">
                      <pic:pic>
                        <pic:nvPicPr>
                          <pic:cNvPr descr="JM-WP-BM-01_files/figure-docx/fig-selectivity-blocks-rec-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3"/>
        </w:tc>
      </w:tr>
    </w:tbl>
    <w:bookmarkEnd w:id="74"/>
    <w:bookmarkEnd w:id="75"/>
    <w:bookmarkEnd w:id="76"/>
    <w:bookmarkStart w:id="79" w:name="simplified-recruitment-alternatives"/>
    <w:p>
      <w:pPr>
        <w:pStyle w:val="Heading2"/>
      </w:pPr>
      <w:r>
        <w:t xml:space="preserve">6.3 Simplified Recruitment Alternatives</w:t>
      </w:r>
    </w:p>
    <w:p>
      <w:pPr>
        <w:pStyle w:val="FirstParagraph"/>
      </w:pPr>
      <w:r>
        <w:t xml:space="preserve">A second option is to reduce recruitment complexity by using one recruitment relationship per stock hypothesis, or one per stock under the two-stock model, without additional regime splitting unless that feature is shown to be essential for management performance. The preferred approach is therefore to fit a single Beverton-Holt relationship per stock in the simplified operating model, and then 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bookmarkEnd w:id="79"/>
    <w:bookmarkStart w:id="82" w:name="fixed-reference-point-alternatives"/>
    <w:p>
      <w:pPr>
        <w:pStyle w:val="Heading2"/>
      </w:pPr>
      <w:r>
        <w:t xml:space="preserve">6.4 Fixed-Reference-Point Alternatives</w:t>
      </w:r>
    </w:p>
    <w:p>
      <w:pPr>
        <w:pStyle w:val="FirstParagraph"/>
      </w:pPr>
      <w:r>
        <w:t xml:space="preserve">A third option is to evaluate MSE performance relative to fixed biomass and harvest-rate benchmarks rather than dynamic reference points estimated from terminal-year conditions. This would make the interpretation of management performance much clearer while still allowing later comparison back to the SC13 assessment convention.</w:t>
      </w:r>
    </w:p>
    <w:p>
      <w:pPr>
        <w:pStyle w:val="BodyText"/>
      </w:pP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 with terminal-year selectivity and weight-at-age — is appropriate in the annual assessment context but problematic for MSE. If reference points change every year as a function of the operating model state, it becomes difficult to distinguish genuine changes in stock productivity from artefacts of the 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82"/>
    <w:bookmarkStart w:id="85" w:name="harmonized-northern-treatment"/>
    <w:p>
      <w:pPr>
        <w:pStyle w:val="Heading2"/>
      </w:pPr>
      <w:r>
        <w:t xml:space="preserve">6.5 Harmonized Northern Treatment</w:t>
      </w:r>
    </w:p>
    <w:p>
      <w:pPr>
        <w:pStyle w:val="FirstParagraph"/>
      </w:pP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bookmarkEnd w:id="85"/>
    <w:bookmarkEnd w:id="86"/>
    <w:bookmarkStart w:id="87" w:name="conclusions"/>
    <w:p>
      <w:pPr>
        <w:pStyle w:val="Heading1"/>
      </w:pPr>
      <w:r>
        <w:t xml:space="preserve">7. Conclusions</w:t>
      </w:r>
    </w:p>
    <w:p>
      <w:pPr>
        <w:pStyle w:val="FirstParagraph"/>
      </w:pPr>
      <w:r>
        <w:t xml:space="preserve">The materials in this assessment directory show that</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are not merely two alternative labels for the same model. They are two distinct but closely related assessment formulations built on a common JJM framework, a common SC13 data set, and a common logic for annual advice. Both models are technically rich and both are appropriate starting points for MSE precisely because they represent the current assessment basis used for advice.</w:t>
      </w:r>
    </w:p>
    <w:p>
      <w:pPr>
        <w:pStyle w:val="BodyText"/>
      </w:pPr>
      <w:r>
        <w:t xml:space="preserve">At the same time, both models contain features that make them difficult to carry directly into MSE. The most important of these are time-varying selectivity, dynamic reference points, differing fitting and projection assumptions, and confounding between stock-structure uncertainty and other structural differences. The main conclusion of this working paper is therefore that the SC13 base model should be retained as the benchmark for comparison, but not assumed to be the final operating model for MSE.</w:t>
      </w:r>
    </w:p>
    <w:p>
      <w:pPr>
        <w:pStyle w:val="BodyText"/>
      </w:pPr>
      <w:r>
        <w:t xml:space="preserve">Following the reviewer comments incorporated in this revision, a clearer set of priorities has emerged for the simplified operating models:</w:t>
      </w:r>
    </w:p>
    <w:p>
      <w:pPr>
        <w:pStyle w:val="Compact"/>
        <w:numPr>
          <w:ilvl w:val="0"/>
          <w:numId w:val="1011"/>
        </w:numPr>
      </w:pPr>
      <w:r>
        <w:rPr>
          <w:b/>
          <w:bCs/>
        </w:rPr>
        <w:t xml:space="preserve">Selectivity block structure</w:t>
      </w:r>
      <w:r>
        <w:t xml:space="preserve"> </w:t>
      </w:r>
      <w:r>
        <w:t xml:space="preserve">should be the primary simplification, reducing annual deviations to a tractable number of regime periods per fleet.</w:t>
      </w:r>
    </w:p>
    <w:p>
      <w:pPr>
        <w:pStyle w:val="Compact"/>
        <w:numPr>
          <w:ilvl w:val="0"/>
          <w:numId w:val="1011"/>
        </w:numPr>
      </w:pPr>
      <w:r>
        <w:rPr>
          <w:b/>
          <w:bCs/>
        </w:rPr>
        <w:t xml:space="preserve">Projection-period selectivity uncertainty</w:t>
      </w:r>
      <w:r>
        <w:t xml:space="preserve"> </w:t>
      </w:r>
      <w:r>
        <w:t xml:space="preserve">should be represented by a range of averaging-period options (1, 5, 10, 15, 20 years), evaluated as robustness operating models.</w:t>
      </w:r>
    </w:p>
    <w:p>
      <w:pPr>
        <w:pStyle w:val="Compact"/>
        <w:numPr>
          <w:ilvl w:val="0"/>
          <w:numId w:val="1011"/>
        </w:numPr>
      </w:pPr>
      <w:r>
        <w:rPr>
          <w:b/>
          <w:bCs/>
        </w:rPr>
        <w:t xml:space="preserve">Index influence</w:t>
      </w:r>
      <w:r>
        <w:t xml:space="preserve"> </w:t>
      </w:r>
      <w:r>
        <w:t xml:space="preserve">— particularly from the Chilean acoustic survey — should be examined through a leave-one-out robustness axis, noting that</w:t>
      </w:r>
      <w:r>
        <w:t xml:space="preserve"> </w:t>
      </w:r>
      <w:r>
        <w:rPr>
          <w:rStyle w:val="VerbatimChar"/>
        </w:rPr>
        <w:t xml:space="preserve">cjm.oem</w:t>
      </w:r>
      <w:r>
        <w:t xml:space="preserve"> </w:t>
      </w:r>
      <w:r>
        <w:t xml:space="preserve">already supports this infrastructure.</w:t>
      </w:r>
    </w:p>
    <w:p>
      <w:pPr>
        <w:pStyle w:val="Compact"/>
        <w:numPr>
          <w:ilvl w:val="0"/>
          <w:numId w:val="1011"/>
        </w:numPr>
      </w:pPr>
      <w:r>
        <w:rPr>
          <w:b/>
          <w:bCs/>
        </w:rPr>
        <w:t xml:space="preserve">Recruitment regime differences</w:t>
      </w:r>
      <w:r>
        <w:t xml:space="preserve"> </w:t>
      </w:r>
      <w:r>
        <w:t xml:space="preserve">should be preserved in</w:t>
      </w:r>
      <w:r>
        <w:t xml:space="preserve"> </w:t>
      </w:r>
      <w:r>
        <w:rPr>
          <w:rStyle w:val="VerbatimChar"/>
        </w:rPr>
        <w:t xml:space="preserve">h2</w:t>
      </w:r>
      <w:r>
        <w:t xml:space="preserve"> </w:t>
      </w:r>
      <w:r>
        <w:t xml:space="preserve">and examined as a robustness dimension in</w:t>
      </w:r>
      <w:r>
        <w:t xml:space="preserve"> </w:t>
      </w:r>
      <w:r>
        <w:rPr>
          <w:rStyle w:val="VerbatimChar"/>
        </w:rPr>
        <w:t xml:space="preserve">h1</w:t>
      </w:r>
      <w:r>
        <w:t xml:space="preserve">, with explicit attention to recent above-curve recruitments.</w:t>
      </w:r>
    </w:p>
    <w:p>
      <w:pPr>
        <w:pStyle w:val="Compact"/>
        <w:numPr>
          <w:ilvl w:val="0"/>
          <w:numId w:val="1011"/>
        </w:numPr>
      </w:pPr>
      <w:r>
        <w:rPr>
          <w:b/>
          <w:bCs/>
        </w:rPr>
        <w:t xml:space="preserve">Reference points</w:t>
      </w:r>
      <w:r>
        <w:t xml:space="preserve"> </w:t>
      </w:r>
      <w:r>
        <w:t xml:space="preserve">should be fixed using the terminal selectivity block, calculated once before MSE simulation begins, to ensure internal consistency.</w:t>
      </w:r>
    </w:p>
    <w:p>
      <w:pPr>
        <w:pStyle w:val="Compact"/>
        <w:numPr>
          <w:ilvl w:val="0"/>
          <w:numId w:val="1011"/>
        </w:numPr>
      </w:pPr>
      <w:r>
        <w:rPr>
          <w:b/>
          <w:bCs/>
        </w:rPr>
        <w:t xml:space="preserve">Far North selectivity</w:t>
      </w:r>
      <w:r>
        <w:t xml:space="preserve"> </w:t>
      </w:r>
      <w:r>
        <w:t xml:space="preserve">should be harmonized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before operating model comparisons, while retaining the biological differences (M, maturity, weight-at-age) that motivate the two-stock hypothesis.</w:t>
      </w:r>
    </w:p>
    <w:p>
      <w:pPr>
        <w:pStyle w:val="Compact"/>
        <w:numPr>
          <w:ilvl w:val="0"/>
          <w:numId w:val="1011"/>
        </w:numPr>
      </w:pPr>
      <w:r>
        <w:rPr>
          <w:b/>
          <w:bCs/>
        </w:rPr>
        <w:t xml:space="preserve">Northern stock biology uncertainty</w:t>
      </w:r>
      <w:r>
        <w:t xml:space="preserve"> </w:t>
      </w:r>
      <w:r>
        <w:t xml:space="preserve">(growth, M) should be noted as a candidate robustness scenario for later phases of the MSE programme.</w:t>
      </w:r>
    </w:p>
    <w:p>
      <w:pPr>
        <w:pStyle w:val="FirstParagraph"/>
      </w:pPr>
      <w:r>
        <w:t xml:space="preserve">The next step is to construct and compare simplified alternatives that remain faithful to the broad SC13 assessment picture while avoiding the complicated issues identified during the July 2025 MSE workshop. The reviewer comments documented here provide a prioritized roadmap for that work.</w:t>
      </w:r>
    </w:p>
    <w:bookmarkEnd w:id="87"/>
    <w:bookmarkStart w:id="9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8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88"/>
    <w:bookmarkStart w:id="8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89"/>
    <w:bookmarkStart w:id="9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90"/>
    <w:bookmarkStart w:id="9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91"/>
    <w:bookmarkStart w:id="9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92"/>
    <w:bookmarkStart w:id="9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93"/>
    <w:bookmarkStart w:id="9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94"/>
    <w:bookmarkStart w:id="9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95"/>
    <w:bookmarkStart w:id="9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96"/>
    <w:bookmarkEnd w:id="97"/>
    <w:bookmarkStart w:id="131" w:name="references"/>
    <w:p>
      <w:pPr>
        <w:pStyle w:val="Heading1"/>
      </w:pPr>
      <w:r>
        <w:t xml:space="preserve">References</w:t>
      </w:r>
    </w:p>
    <w:bookmarkStart w:id="130" w:name="refs"/>
    <w:bookmarkStart w:id="99"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98">
        <w:r>
          <w:rPr>
            <w:rStyle w:val="Hyperlink"/>
          </w:rPr>
          <w:t xml:space="preserve">https://doi.org/10.1086/401873</w:t>
        </w:r>
      </w:hyperlink>
    </w:p>
    <w:bookmarkEnd w:id="99"/>
    <w:bookmarkStart w:id="100"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00"/>
    <w:bookmarkStart w:id="102"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01">
        <w:r>
          <w:rPr>
            <w:rStyle w:val="Hyperlink"/>
          </w:rPr>
          <w:t xml:space="preserve">https://doi.org/10.1006/jmsc.1999.0532</w:t>
        </w:r>
      </w:hyperlink>
    </w:p>
    <w:bookmarkEnd w:id="102"/>
    <w:bookmarkStart w:id="104"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03">
        <w:r>
          <w:rPr>
            <w:rStyle w:val="Hyperlink"/>
          </w:rPr>
          <w:t xml:space="preserve">https://www.iccat.int/Documents/CVSP/CV081_2024/n_2/CV08102149.pdf</w:t>
        </w:r>
      </w:hyperlink>
    </w:p>
    <w:bookmarkEnd w:id="104"/>
    <w:bookmarkStart w:id="106"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05">
        <w:r>
          <w:rPr>
            <w:rStyle w:val="Hyperlink"/>
          </w:rPr>
          <w:t xml:space="preserve">https://doi.org/10.1080/10556788.2011.597854</w:t>
        </w:r>
      </w:hyperlink>
    </w:p>
    <w:bookmarkEnd w:id="106"/>
    <w:bookmarkStart w:id="108"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07">
        <w:r>
          <w:rPr>
            <w:rStyle w:val="Hyperlink"/>
          </w:rPr>
          <w:t xml:space="preserve">https://doi.org/10.1139/f82-157</w:t>
        </w:r>
      </w:hyperlink>
    </w:p>
    <w:bookmarkEnd w:id="108"/>
    <w:bookmarkStart w:id="110"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09">
        <w:r>
          <w:rPr>
            <w:rStyle w:val="Hyperlink"/>
          </w:rPr>
          <w:t xml:space="preserve">https://doi.org/10.1139/f2011-025</w:t>
        </w:r>
      </w:hyperlink>
    </w:p>
    <w:bookmarkEnd w:id="110"/>
    <w:bookmarkStart w:id="112"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11">
        <w:r>
          <w:rPr>
            <w:rStyle w:val="Hyperlink"/>
          </w:rPr>
          <w:t xml:space="preserve">https://doi.org/10.1007/978-1-4615-3598-0</w:t>
        </w:r>
      </w:hyperlink>
    </w:p>
    <w:bookmarkEnd w:id="112"/>
    <w:bookmarkStart w:id="114"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13">
        <w:r>
          <w:rPr>
            <w:rStyle w:val="Hyperlink"/>
          </w:rPr>
          <w:t xml:space="preserve">https://doi.org/10.1093/icesjms/fsq173</w:t>
        </w:r>
      </w:hyperlink>
    </w:p>
    <w:bookmarkEnd w:id="114"/>
    <w:bookmarkStart w:id="115"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15"/>
    <w:bookmarkStart w:id="117"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16">
        <w:r>
          <w:rPr>
            <w:rStyle w:val="Hyperlink"/>
          </w:rPr>
          <w:t xml:space="preserve">https://doi.org/10.2307/2344614</w:t>
        </w:r>
      </w:hyperlink>
    </w:p>
    <w:bookmarkEnd w:id="117"/>
    <w:bookmarkStart w:id="119"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18">
        <w:r>
          <w:rPr>
            <w:rStyle w:val="Hyperlink"/>
          </w:rPr>
          <w:t xml:space="preserve">https://doi.org/10.1111/faf.12104</w:t>
        </w:r>
      </w:hyperlink>
    </w:p>
    <w:bookmarkEnd w:id="119"/>
    <w:bookmarkStart w:id="121"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20">
        <w:r>
          <w:rPr>
            <w:rStyle w:val="Hyperlink"/>
          </w:rPr>
          <w:t xml:space="preserve">https://doi.org/10.1073/pnas.1820344116</w:t>
        </w:r>
      </w:hyperlink>
    </w:p>
    <w:bookmarkEnd w:id="121"/>
    <w:bookmarkStart w:id="123"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22">
        <w:r>
          <w:rPr>
            <w:rStyle w:val="Hyperlink"/>
          </w:rPr>
          <w:t xml:space="preserve">https://doi.org/10.1139/f95-800</w:t>
        </w:r>
      </w:hyperlink>
    </w:p>
    <w:bookmarkEnd w:id="123"/>
    <w:bookmarkStart w:id="125"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24">
        <w:r>
          <w:rPr>
            <w:rStyle w:val="Hyperlink"/>
          </w:rPr>
          <w:t xml:space="preserve">https://doi.org/10.1111/faf.12579</w:t>
        </w:r>
      </w:hyperlink>
    </w:p>
    <w:bookmarkEnd w:id="125"/>
    <w:bookmarkStart w:id="127"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26">
        <w:r>
          <w:rPr>
            <w:rStyle w:val="Hyperlink"/>
          </w:rPr>
          <w:t xml:space="preserve">https://www.sprfmo.int/assets/Meetings/02-SC/13th-SC-2025/Jack-Mackerel/SC13-JM09-Report-of-the-JMWG-Management-Strategy-Evaluation-Technical-Workshop.pdf</w:t>
        </w:r>
      </w:hyperlink>
    </w:p>
    <w:bookmarkEnd w:id="127"/>
    <w:bookmarkStart w:id="129"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28">
        <w:r>
          <w:rPr>
            <w:rStyle w:val="Hyperlink"/>
          </w:rPr>
          <w:t xml:space="preserve">https://sprfmo.int/assets/Meetings/02-SC/13th-SC-2025/SC13-Report-Annex-11_final.pdf</w:t>
        </w:r>
      </w:hyperlink>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0" Target="media/rId20.png" /><Relationship Type="http://schemas.openxmlformats.org/officeDocument/2006/relationships/hyperlink" Id="rId101" Target="https://doi.org/10.1006/jmsc.1999.0532" TargetMode="External" /><Relationship Type="http://schemas.openxmlformats.org/officeDocument/2006/relationships/hyperlink" Id="rId111" Target="https://doi.org/10.1007/978-1-4615-3598-0" TargetMode="External" /><Relationship Type="http://schemas.openxmlformats.org/officeDocument/2006/relationships/hyperlink" Id="rId120" Target="https://doi.org/10.1073/pnas.1820344116" TargetMode="External" /><Relationship Type="http://schemas.openxmlformats.org/officeDocument/2006/relationships/hyperlink" Id="rId105" Target="https://doi.org/10.1080/10556788.2011.597854" TargetMode="External" /><Relationship Type="http://schemas.openxmlformats.org/officeDocument/2006/relationships/hyperlink" Id="rId98" Target="https://doi.org/10.1086/401873" TargetMode="External" /><Relationship Type="http://schemas.openxmlformats.org/officeDocument/2006/relationships/hyperlink" Id="rId113" Target="https://doi.org/10.1093/icesjms/fsq173" TargetMode="External" /><Relationship Type="http://schemas.openxmlformats.org/officeDocument/2006/relationships/hyperlink" Id="rId118" Target="https://doi.org/10.1111/faf.12104" TargetMode="External" /><Relationship Type="http://schemas.openxmlformats.org/officeDocument/2006/relationships/hyperlink" Id="rId124" Target="https://doi.org/10.1111/faf.12579" TargetMode="External" /><Relationship Type="http://schemas.openxmlformats.org/officeDocument/2006/relationships/hyperlink" Id="rId109" Target="https://doi.org/10.1139/f2011-025" TargetMode="External" /><Relationship Type="http://schemas.openxmlformats.org/officeDocument/2006/relationships/hyperlink" Id="rId107" Target="https://doi.org/10.1139/f82-157" TargetMode="External" /><Relationship Type="http://schemas.openxmlformats.org/officeDocument/2006/relationships/hyperlink" Id="rId122" Target="https://doi.org/10.1139/f95-800" TargetMode="External" /><Relationship Type="http://schemas.openxmlformats.org/officeDocument/2006/relationships/hyperlink" Id="rId116" Target="https://doi.org/10.2307/2344614" TargetMode="External" /><Relationship Type="http://schemas.openxmlformats.org/officeDocument/2006/relationships/hyperlink" Id="rId23" Target="https://sprfmo.github.io/SCW15_report/" TargetMode="External" /><Relationship Type="http://schemas.openxmlformats.org/officeDocument/2006/relationships/hyperlink" Id="rId128" Target="https://sprfmo.int/assets/Meetings/02-SC/13th-SC-2025/SC13-Report-Annex-11_final.pdf" TargetMode="External" /><Relationship Type="http://schemas.openxmlformats.org/officeDocument/2006/relationships/hyperlink" Id="rId103" Target="https://www.iccat.int/Documents/CVSP/CV081_2024/n_2/CV08102149.pdf" TargetMode="External" /><Relationship Type="http://schemas.openxmlformats.org/officeDocument/2006/relationships/hyperlink" Id="rId126"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6/jmsc.1999.0532" TargetMode="External" /><Relationship Type="http://schemas.openxmlformats.org/officeDocument/2006/relationships/hyperlink" Id="rId111" Target="https://doi.org/10.1007/978-1-4615-3598-0" TargetMode="External" /><Relationship Type="http://schemas.openxmlformats.org/officeDocument/2006/relationships/hyperlink" Id="rId120" Target="https://doi.org/10.1073/pnas.1820344116" TargetMode="External" /><Relationship Type="http://schemas.openxmlformats.org/officeDocument/2006/relationships/hyperlink" Id="rId105" Target="https://doi.org/10.1080/10556788.2011.597854" TargetMode="External" /><Relationship Type="http://schemas.openxmlformats.org/officeDocument/2006/relationships/hyperlink" Id="rId98" Target="https://doi.org/10.1086/401873" TargetMode="External" /><Relationship Type="http://schemas.openxmlformats.org/officeDocument/2006/relationships/hyperlink" Id="rId113" Target="https://doi.org/10.1093/icesjms/fsq173" TargetMode="External" /><Relationship Type="http://schemas.openxmlformats.org/officeDocument/2006/relationships/hyperlink" Id="rId118" Target="https://doi.org/10.1111/faf.12104" TargetMode="External" /><Relationship Type="http://schemas.openxmlformats.org/officeDocument/2006/relationships/hyperlink" Id="rId124" Target="https://doi.org/10.1111/faf.12579" TargetMode="External" /><Relationship Type="http://schemas.openxmlformats.org/officeDocument/2006/relationships/hyperlink" Id="rId109" Target="https://doi.org/10.1139/f2011-025" TargetMode="External" /><Relationship Type="http://schemas.openxmlformats.org/officeDocument/2006/relationships/hyperlink" Id="rId107" Target="https://doi.org/10.1139/f82-157" TargetMode="External" /><Relationship Type="http://schemas.openxmlformats.org/officeDocument/2006/relationships/hyperlink" Id="rId122" Target="https://doi.org/10.1139/f95-800" TargetMode="External" /><Relationship Type="http://schemas.openxmlformats.org/officeDocument/2006/relationships/hyperlink" Id="rId116" Target="https://doi.org/10.2307/2344614" TargetMode="External" /><Relationship Type="http://schemas.openxmlformats.org/officeDocument/2006/relationships/hyperlink" Id="rId23" Target="https://sprfmo.github.io/SCW15_report/" TargetMode="External" /><Relationship Type="http://schemas.openxmlformats.org/officeDocument/2006/relationships/hyperlink" Id="rId128" Target="https://sprfmo.int/assets/Meetings/02-SC/13th-SC-2025/SC13-Report-Annex-11_final.pdf" TargetMode="External" /><Relationship Type="http://schemas.openxmlformats.org/officeDocument/2006/relationships/hyperlink" Id="rId103" Target="https://www.iccat.int/Documents/CVSP/CV081_2024/n_2/CV08102149.pdf" TargetMode="External" /><Relationship Type="http://schemas.openxmlformats.org/officeDocument/2006/relationships/hyperlink" Id="rId126"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2026-03-19T20:45:07Z</dcterms:created>
  <dcterms:modified xsi:type="dcterms:W3CDTF">2026-03-19T20:45:07Z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oc-title">
    <vt:lpwstr>Table of contents</vt:lpwstr>
  </property>
</Properties>
</file>