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9.png" ContentType="image/png"/>
  <Override PartName="/word/media/rId130.png" ContentType="image/png"/>
  <Override PartName="/word/media/rId138.png" ContentType="image/png"/>
  <Override PartName="/word/media/rId134.png" ContentType="image/png"/>
  <Override PartName="/word/media/rId123.png" ContentType="image/png"/>
  <Override PartName="/word/media/rId43.png" ContentType="image/png"/>
  <Override PartName="/word/media/rId39.png" ContentType="image/png"/>
  <Override PartName="/word/media/rId70.png" ContentType="image/png"/>
  <Override PartName="/word/media/rId66.png" ContentType="image/png"/>
  <Override PartName="/word/media/rId57.png" ContentType="image/png"/>
  <Override PartName="/word/media/rId61.png" ContentType="image/png"/>
  <Override PartName="/word/media/rId85.png" ContentType="image/png"/>
  <Override PartName="/word/media/rId89.png" ContentType="image/png"/>
  <Override PartName="/word/media/rId74.png" ContentType="image/png"/>
  <Override PartName="/word/media/rId104.png" ContentType="image/png"/>
  <Override PartName="/word/media/rId108.png" ContentType="image/png"/>
  <Override PartName="/word/media/rId95.png" ContentType="image/png"/>
  <Override PartName="/word/media/rId100.png" ContentType="image/png"/>
  <Override PartName="/word/media/rId11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SCW16/Paper-01</w:t>
      </w:r>
    </w:p>
    <w:p>
      <w:pPr>
        <w:pStyle w:val="BodyText"/>
      </w:pPr>
      <w:r>
        <w:t xml:space="preserve">04 April 2026</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46"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3"/>
              <w:gridCol w:w="293"/>
              <w:gridCol w:w="293"/>
              <w:gridCol w:w="2090"/>
              <w:gridCol w:w="2786"/>
              <w:gridCol w:w="227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r>
              <w:tc>
                <w:tcPr/>
                <w:p>
                  <w:pPr>
                    <w:pStyle w:val="Compact"/>
                    <w:jc w:val="left"/>
                    <w:jc w:val="center"/>
                  </w:pPr>
                  <w:r>
                    <w:t xml:space="preserve">h2_2.03</w:t>
                  </w:r>
                </w:p>
              </w:tc>
              <w:tc>
                <w:tcPr/>
                <w:p>
                  <w:pPr>
                    <w:pStyle w:val="Compact"/>
                    <w:jc w:val="left"/>
                    <w:jc w:val="center"/>
                  </w:pPr>
                  <w:r>
                    <w:t xml:space="preserve">h2_2.02</w:t>
                  </w:r>
                </w:p>
              </w:tc>
              <w:tc>
                <w:tcPr/>
                <w:p>
                  <w:pPr>
                    <w:pStyle w:val="Compact"/>
                    <w:jc w:val="left"/>
                    <w:jc w:val="center"/>
                  </w:pPr>
                  <w:r>
                    <w:t xml:space="preserve">Two stock</w:t>
                  </w:r>
                </w:p>
              </w:tc>
              <w:tc>
                <w:tcPr/>
                <w:p>
                  <w:pPr>
                    <w:pStyle w:val="Compact"/>
                    <w:jc w:val="left"/>
                    <w:jc w:val="center"/>
                  </w:pPr>
                  <w:r>
                    <w:t xml:space="preserve">Same reduced-index data and harmonized northern treatment as h2_2.02.</w:t>
                  </w:r>
                </w:p>
              </w:tc>
              <w:tc>
                <w:tcPr/>
                <w:p>
                  <w:pPr>
                    <w:pStyle w:val="Compact"/>
                    <w:jc w:val="left"/>
                    <w:jc w:val="center"/>
                  </w:pPr>
                  <w:r>
                    <w:t xml:space="preserve">No selectivity change relative to h2_2.02; instead collapses stock-2 recruitment to a single fitted regime.</w:t>
                  </w:r>
                </w:p>
              </w:tc>
              <w:tc>
                <w:tcPr/>
                <w:p>
                  <w:pPr>
                    <w:pStyle w:val="Compact"/>
                    <w:jc w:val="left"/>
                    <w:jc w:val="center"/>
                  </w:pPr>
                  <w:r>
                    <w:t xml:space="preserve">Tests whether the two-stock simplified framework can use one stock-2 stock-recruitment relationship instead of two regimes.</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t xml:space="preserve"> </w:t>
      </w:r>
      <w:r>
        <w:rPr>
          <w:rStyle w:val="VerbatimChar"/>
        </w:rPr>
        <w:t xml:space="preserve">h2_2.02</w:t>
      </w:r>
      <w:r>
        <w:t xml:space="preserve"> </w:t>
      </w:r>
      <w:r>
        <w:t xml:space="preserve">frames the</w:t>
      </w:r>
      <w:r>
        <w:t xml:space="preserve"> </w:t>
      </w:r>
      <w:r>
        <w:t xml:space="preserve">harmonized Far North selectivity treatment, and</w:t>
      </w:r>
      <w:r>
        <w:t xml:space="preserve"> </w:t>
      </w:r>
      <w:r>
        <w:rPr>
          <w:rStyle w:val="VerbatimChar"/>
        </w:rPr>
        <w:t xml:space="preserve">h2_2.03</w:t>
      </w:r>
      <w:r>
        <w:t xml:space="preserve"> </w:t>
      </w:r>
      <w:r>
        <w:t xml:space="preserve">extends that harmonized</w:t>
      </w:r>
      <w:r>
        <w:t xml:space="preserve"> </w:t>
      </w:r>
      <w:r>
        <w:t xml:space="preserve">two-stock setup by simplifying the stock-2 recruitment structure to a single fitted regime.</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SCW16-Paper-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SCW16-Paper-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SCW16-Paper-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SCW16-Paper-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SCW16-Paper-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SCW16-Paper-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electivity-sc-allowance-ssb"/>
          <w:p>
            <w:pPr>
              <w:pStyle w:val="Compact"/>
              <w:jc w:val="center"/>
            </w:pPr>
            <w:r>
              <w:drawing>
                <wp:inline>
                  <wp:extent cx="5334000" cy="3194843"/>
                  <wp:effectExtent b="0" l="0" r="0" t="0"/>
                  <wp:docPr descr="" title="" id="75" name="Picture"/>
                  <a:graphic>
                    <a:graphicData uri="http://schemas.openxmlformats.org/drawingml/2006/picture">
                      <pic:pic>
                        <pic:nvPicPr>
                          <pic:cNvPr descr="SCW16-Paper-01_files/figure-docx/fig-selectivity-sc-allowance-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77"/>
        </w:tc>
      </w:tr>
    </w:tbl>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78"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78"/>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7</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82" w:name="fig-h1-index-fits"/>
          <w:p>
            <w:pPr>
              <w:pStyle w:val="Compact"/>
              <w:jc w:val="center"/>
            </w:pPr>
            <w:r>
              <w:drawing>
                <wp:inline>
                  <wp:extent cx="5334000" cy="4333875"/>
                  <wp:effectExtent b="0" l="0" r="0" t="0"/>
                  <wp:docPr descr="" title="" id="80" name="Picture"/>
                  <a:graphic>
                    <a:graphicData uri="http://schemas.openxmlformats.org/drawingml/2006/picture">
                      <pic:pic>
                        <pic:nvPicPr>
                          <pic:cNvPr descr="SCW16-Paper-01_files/figure-docx/fig-h1-index-fits-1.png" id="81" name="Picture"/>
                          <pic:cNvPicPr>
                            <a:picLocks noChangeArrowheads="1" noChangeAspect="1"/>
                          </pic:cNvPicPr>
                        </pic:nvPicPr>
                        <pic:blipFill>
                          <a:blip r:embed="rId7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82"/>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6</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SCW16-Paper-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SCW16-Paper-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12</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11</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type="pct" w:w="5000"/>
        <w:tblLayout w:type="fixed"/>
        <w:tblLook w:firstRow="0" w:lastRow="0" w:firstColumn="0" w:lastColumn="0" w:noHBand="0" w:noVBand="0" w:val="0000"/>
      </w:tblPr>
      <w:tblGrid>
        <w:gridCol w:w="7920"/>
      </w:tblGrid>
      <w:tr>
        <w:tc>
          <w:tcPr/>
          <w:bookmarkStart w:id="98" w:name="fig-selectivity-sc5-index-fits"/>
          <w:p>
            <w:pPr>
              <w:pStyle w:val="Compact"/>
              <w:jc w:val="center"/>
            </w:pPr>
            <w:r>
              <w:drawing>
                <wp:inline>
                  <wp:extent cx="5334000" cy="4333875"/>
                  <wp:effectExtent b="0" l="0" r="0" t="0"/>
                  <wp:docPr descr="" title="" id="96" name="Picture"/>
                  <a:graphic>
                    <a:graphicData uri="http://schemas.openxmlformats.org/drawingml/2006/picture">
                      <pic:pic>
                        <pic:nvPicPr>
                          <pic:cNvPr descr="SCW16-Paper-01_files/figure-docx/fig-selectivity-sc5-index-fits-1.png" id="97" name="Picture"/>
                          <pic:cNvPicPr>
                            <a:picLocks noChangeArrowheads="1" noChangeAspect="1"/>
                          </pic:cNvPicPr>
                        </pic:nvPicPr>
                        <pic:blipFill>
                          <a:blip r:embed="rId95"/>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98"/>
        </w:tc>
      </w:tr>
    </w:tbl>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99"/>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10</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03" w:name="fig-selectivity-sc5-qtrend"/>
          <w:p>
            <w:pPr>
              <w:pStyle w:val="Compact"/>
              <w:jc w:val="center"/>
            </w:pPr>
            <w:r>
              <w:drawing>
                <wp:inline>
                  <wp:extent cx="5334000" cy="3194843"/>
                  <wp:effectExtent b="0" l="0" r="0" t="0"/>
                  <wp:docPr descr="" title="" id="101" name="Picture"/>
                  <a:graphic>
                    <a:graphicData uri="http://schemas.openxmlformats.org/drawingml/2006/picture">
                      <pic:pic>
                        <pic:nvPicPr>
                          <pic:cNvPr descr="SCW16-Paper-01_files/figure-docx/fig-selectivity-sc5-qtrend-1.png" id="102" name="Picture"/>
                          <pic:cNvPicPr>
                            <a:picLocks noChangeArrowheads="1" noChangeAspect="1"/>
                          </pic:cNvPicPr>
                        </pic:nvPicPr>
                        <pic:blipFill>
                          <a:blip r:embed="rId10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03"/>
        </w:tc>
      </w:tr>
    </w:tbl>
    <w:bookmarkStart w:id="112"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7" w:name="fig-selectivity-sc5-compare-1"/>
                <w:p>
                  <w:pPr>
                    <w:pStyle w:val="Compact"/>
                    <w:jc w:val="center"/>
                    <w:jc w:val="left"/>
                  </w:pPr>
                  <w:r>
                    <w:drawing>
                      <wp:inline>
                        <wp:extent cx="2971800" cy="4754880"/>
                        <wp:effectExtent b="0" l="0" r="0" t="0"/>
                        <wp:docPr descr="" title="" id="105" name="Picture"/>
                        <a:graphic>
                          <a:graphicData uri="http://schemas.openxmlformats.org/drawingml/2006/picture">
                            <pic:pic>
                              <pic:nvPicPr>
                                <pic:cNvPr descr="SCW16-Paper-01_files/figure-docx/fig-selectivity-sc5-compare-1.png" id="106" name="Picture"/>
                                <pic:cNvPicPr>
                                  <a:picLocks noChangeArrowheads="1" noChangeAspect="1"/>
                                </pic:cNvPicPr>
                              </pic:nvPicPr>
                              <pic:blipFill>
                                <a:blip r:embed="rId104"/>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7"/>
              </w:tc>
            </w:tr>
          </w:tbl>
          <w:p/>
        </w:tc>
        <w:tc>
          <w:tcPr/>
          <w:tbl>
            <w:tblPr>
              <w:tblStyle w:val="Table"/>
              <w:tblW w:type="pct" w:w="4900"/>
              <w:tblLayout w:type="fixed"/>
              <w:tblLook w:firstRow="0" w:lastRow="0" w:firstColumn="0" w:lastColumn="0" w:noHBand="0" w:noVBand="0" w:val="0000"/>
            </w:tblPr>
            <w:tblGrid>
              <w:gridCol w:w="7761"/>
            </w:tblGrid>
            <w:tr>
              <w:tc>
                <w:tcPr/>
                <w:bookmarkStart w:id="111" w:name="fig-selectivity-sc5-compare-2"/>
                <w:p>
                  <w:pPr>
                    <w:pStyle w:val="Compact"/>
                    <w:jc w:val="center"/>
                    <w:jc w:val="left"/>
                  </w:pPr>
                  <w:r>
                    <w:drawing>
                      <wp:inline>
                        <wp:extent cx="2971800" cy="4754880"/>
                        <wp:effectExtent b="0" l="0" r="0" t="0"/>
                        <wp:docPr descr="" title="" id="109" name="Picture"/>
                        <a:graphic>
                          <a:graphicData uri="http://schemas.openxmlformats.org/drawingml/2006/picture">
                            <pic:pic>
                              <pic:nvPicPr>
                                <pic:cNvPr descr="SCW16-Paper-01_files/figure-docx/fig-selectivity-sc5-compare-2.png" id="110" name="Picture"/>
                                <pic:cNvPicPr>
                                  <a:picLocks noChangeArrowheads="1" noChangeAspect="1"/>
                                </pic:cNvPicPr>
                              </pic:nvPicPr>
                              <pic:blipFill>
                                <a:blip r:embed="rId10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11"/>
              </w:tc>
            </w:tr>
          </w:tbl>
          <w:p/>
        </w:tc>
      </w:tr>
    </w:tbl>
    <w:p>
      <w:pPr>
        <w:pStyle w:val="BodyText"/>
      </w:pPr>
      <w:pPr>
        <w:spacing w:before="200"/>
        <w:pStyle w:val="ImageCaption"/>
      </w:pPr>
      <w:r>
        <w:t xml:space="preserve">Figure 11: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12"/>
    <w:tbl>
      <w:tblPr>
        <w:tblStyle w:val="Table"/>
        <w:tblW w:type="pct" w:w="5000"/>
        <w:tblLayout w:type="fixed"/>
        <w:tblLook w:firstRow="0" w:lastRow="0" w:firstColumn="0" w:lastColumn="0" w:noHBand="0" w:noVBand="0" w:val="0000"/>
      </w:tblPr>
      <w:tblGrid>
        <w:gridCol w:w="7920"/>
      </w:tblGrid>
      <w:tr>
        <w:tc>
          <w:tcPr/>
          <w:bookmarkStart w:id="116" w:name="fig-selectivity-sc5-ssb"/>
          <w:p>
            <w:pPr>
              <w:pStyle w:val="Compact"/>
              <w:jc w:val="center"/>
            </w:pPr>
            <w:r>
              <w:drawing>
                <wp:inline>
                  <wp:extent cx="5334000" cy="3194843"/>
                  <wp:effectExtent b="0" l="0" r="0" t="0"/>
                  <wp:docPr descr="" title="" id="114" name="Picture"/>
                  <a:graphic>
                    <a:graphicData uri="http://schemas.openxmlformats.org/drawingml/2006/picture">
                      <pic:pic>
                        <pic:nvPicPr>
                          <pic:cNvPr descr="SCW16-Paper-01_files/figure-docx/fig-selectivity-sc5-ssb-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SCW16-Paper-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SCW16-Paper-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SCW16-Paper-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SCW16-Paper-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5"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note.png" id="14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91.</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92.</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5"/>
    <w:bookmarkEnd w:id="146"/>
    <w:bookmarkStart w:id="147" w:name="summary"/>
    <w:p>
      <w:pPr>
        <w:pStyle w:val="Heading1"/>
      </w:pPr>
      <w:r>
        <w:t xml:space="preserve">7. Summary</w:t>
      </w:r>
    </w:p>
    <w:p>
      <w:pPr>
        <w:pStyle w:val="FirstParagraph"/>
      </w:pPr>
      <w:r>
        <w:rPr>
          <w:b/>
          <w:bCs/>
        </w:rPr>
        <w:t xml:space="preserve">93.</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94.</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47"/>
    <w:bookmarkStart w:id="157"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48"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48"/>
    <w:bookmarkStart w:id="149"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49"/>
    <w:bookmarkStart w:id="150"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0"/>
    <w:bookmarkStart w:id="151"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1"/>
    <w:bookmarkStart w:id="152"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2"/>
    <w:bookmarkStart w:id="153"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3"/>
    <w:bookmarkStart w:id="154"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4"/>
    <w:bookmarkStart w:id="155"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5"/>
    <w:bookmarkStart w:id="156"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56"/>
    <w:bookmarkEnd w:id="157"/>
    <w:bookmarkStart w:id="186" w:name="references"/>
    <w:p>
      <w:pPr>
        <w:pStyle w:val="Heading1"/>
      </w:pPr>
      <w:r>
        <w:t xml:space="preserve">References</w:t>
      </w:r>
    </w:p>
    <w:bookmarkStart w:id="185" w:name="refs"/>
    <w:bookmarkStart w:id="158"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58"/>
    <w:bookmarkStart w:id="160"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59">
        <w:r>
          <w:rPr>
            <w:rStyle w:val="Hyperlink"/>
          </w:rPr>
          <w:t xml:space="preserve">https://doi.org/10.1006/jmsc.1999.0532</w:t>
        </w:r>
      </w:hyperlink>
    </w:p>
    <w:bookmarkEnd w:id="160"/>
    <w:bookmarkStart w:id="162"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1">
        <w:r>
          <w:rPr>
            <w:rStyle w:val="Hyperlink"/>
          </w:rPr>
          <w:t xml:space="preserve">https://www.iccat.int/Documents/CVSP/CV081_2024/n_2/CV08102149.pdf</w:t>
        </w:r>
      </w:hyperlink>
    </w:p>
    <w:bookmarkEnd w:id="162"/>
    <w:bookmarkStart w:id="164"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3">
        <w:r>
          <w:rPr>
            <w:rStyle w:val="Hyperlink"/>
          </w:rPr>
          <w:t xml:space="preserve">https://doi.org/10.1080/10556788.2011.597854</w:t>
        </w:r>
      </w:hyperlink>
    </w:p>
    <w:bookmarkEnd w:id="164"/>
    <w:bookmarkStart w:id="166"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5">
        <w:r>
          <w:rPr>
            <w:rStyle w:val="Hyperlink"/>
          </w:rPr>
          <w:t xml:space="preserve">https://doi.org/10.1139/f82-157</w:t>
        </w:r>
      </w:hyperlink>
    </w:p>
    <w:bookmarkEnd w:id="166"/>
    <w:bookmarkStart w:id="168"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67">
        <w:r>
          <w:rPr>
            <w:rStyle w:val="Hyperlink"/>
          </w:rPr>
          <w:t xml:space="preserve">https://doi.org/10.1139/f2011-025</w:t>
        </w:r>
      </w:hyperlink>
    </w:p>
    <w:bookmarkEnd w:id="168"/>
    <w:bookmarkStart w:id="170"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69">
        <w:r>
          <w:rPr>
            <w:rStyle w:val="Hyperlink"/>
          </w:rPr>
          <w:t xml:space="preserve">https://doi.org/10.1007/978-1-4615-3598-0</w:t>
        </w:r>
      </w:hyperlink>
    </w:p>
    <w:bookmarkEnd w:id="170"/>
    <w:bookmarkStart w:id="172"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1">
        <w:r>
          <w:rPr>
            <w:rStyle w:val="Hyperlink"/>
          </w:rPr>
          <w:t xml:space="preserve">https://doi.org/10.1093/icesjms/fsq173</w:t>
        </w:r>
      </w:hyperlink>
    </w:p>
    <w:bookmarkEnd w:id="172"/>
    <w:bookmarkStart w:id="174"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3">
        <w:r>
          <w:rPr>
            <w:rStyle w:val="Hyperlink"/>
          </w:rPr>
          <w:t xml:space="preserve">https://doi.org/10.1111/faf.12104</w:t>
        </w:r>
      </w:hyperlink>
    </w:p>
    <w:bookmarkEnd w:id="174"/>
    <w:bookmarkStart w:id="176"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5">
        <w:r>
          <w:rPr>
            <w:rStyle w:val="Hyperlink"/>
          </w:rPr>
          <w:t xml:space="preserve">https://doi.org/10.1073/pnas.1820344116</w:t>
        </w:r>
      </w:hyperlink>
    </w:p>
    <w:bookmarkEnd w:id="176"/>
    <w:bookmarkStart w:id="178"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77">
        <w:r>
          <w:rPr>
            <w:rStyle w:val="Hyperlink"/>
          </w:rPr>
          <w:t xml:space="preserve">https://doi.org/10.1139/f95-800</w:t>
        </w:r>
      </w:hyperlink>
    </w:p>
    <w:bookmarkEnd w:id="178"/>
    <w:bookmarkStart w:id="180"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79">
        <w:r>
          <w:rPr>
            <w:rStyle w:val="Hyperlink"/>
          </w:rPr>
          <w:t xml:space="preserve">https://doi.org/10.1111/faf.12579</w:t>
        </w:r>
      </w:hyperlink>
    </w:p>
    <w:bookmarkEnd w:id="180"/>
    <w:bookmarkStart w:id="182"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1">
        <w:r>
          <w:rPr>
            <w:rStyle w:val="Hyperlink"/>
          </w:rPr>
          <w:t xml:space="preserve">https://www.sprfmo.int/assets/Meetings/02-SC/13th-SC-2025/Jack-Mackerel/SC13-JM09-Report-of-the-JMWG-Management-Strategy-Evaluation-Technical-Workshop.pdf</w:t>
        </w:r>
      </w:hyperlink>
    </w:p>
    <w:bookmarkEnd w:id="182"/>
    <w:bookmarkStart w:id="184"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3">
        <w:r>
          <w:rPr>
            <w:rStyle w:val="Hyperlink"/>
          </w:rPr>
          <w:t xml:space="preserve">https://sprfmo.int/assets/Meetings/02-SC/13th-SC-2025/SC13-Report-Annex-11_final.pdf</w:t>
        </w:r>
      </w:hyperlink>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6/jmsc.1999.0532" TargetMode="External" /><Relationship Type="http://schemas.openxmlformats.org/officeDocument/2006/relationships/hyperlink" Id="rId169" Target="https://doi.org/10.1007/978-1-4615-3598-0" TargetMode="External" /><Relationship Type="http://schemas.openxmlformats.org/officeDocument/2006/relationships/hyperlink" Id="rId175" Target="https://doi.org/10.1073/pnas.1820344116" TargetMode="External" /><Relationship Type="http://schemas.openxmlformats.org/officeDocument/2006/relationships/hyperlink" Id="rId163" Target="https://doi.org/10.1080/10556788.2011.597854" TargetMode="External" /><Relationship Type="http://schemas.openxmlformats.org/officeDocument/2006/relationships/hyperlink" Id="rId171" Target="https://doi.org/10.1093/icesjms/fsq173" TargetMode="External" /><Relationship Type="http://schemas.openxmlformats.org/officeDocument/2006/relationships/hyperlink" Id="rId173" Target="https://doi.org/10.1111/faf.12104" TargetMode="External" /><Relationship Type="http://schemas.openxmlformats.org/officeDocument/2006/relationships/hyperlink" Id="rId179" Target="https://doi.org/10.1111/faf.12579" TargetMode="External" /><Relationship Type="http://schemas.openxmlformats.org/officeDocument/2006/relationships/hyperlink" Id="rId167" Target="https://doi.org/10.1139/f2011-025" TargetMode="External" /><Relationship Type="http://schemas.openxmlformats.org/officeDocument/2006/relationships/hyperlink" Id="rId165" Target="https://doi.org/10.1139/f82-157" TargetMode="External" /><Relationship Type="http://schemas.openxmlformats.org/officeDocument/2006/relationships/hyperlink" Id="rId177"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3" Target="https://sprfmo.int/assets/Meetings/02-SC/13th-SC-2025/SC13-Report-Annex-11_final.pdf" TargetMode="External" /><Relationship Type="http://schemas.openxmlformats.org/officeDocument/2006/relationships/hyperlink" Id="rId161" Target="https://www.iccat.int/Documents/CVSP/CV081_2024/n_2/CV08102149.pdf" TargetMode="External" /><Relationship Type="http://schemas.openxmlformats.org/officeDocument/2006/relationships/hyperlink" Id="rId181"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2026-04-05T05:24:48Z</dcterms:created>
  <dcterms:modified xsi:type="dcterms:W3CDTF">2026-04-05T05:24:48Z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