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68.png" ContentType="image/png"/>
  <Override PartName="/word/media/rId88.png" ContentType="image/png"/>
  <Override PartName="/word/media/rId44.png" ContentType="image/png"/>
  <Override PartName="/word/media/rId40.png" ContentType="image/png"/>
  <Override PartName="/word/media/rId78.png" ContentType="image/png"/>
  <Override PartName="/word/media/rId74.png" ContentType="image/png"/>
  <Override PartName="/word/media/rId58.png" ContentType="image/png"/>
  <Override PartName="/word/media/rId6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i/>
          <w:iCs/>
        </w:rPr>
        <w:t xml:space="preserve">Working paper JM-WP-BM-01</w:t>
      </w:r>
    </w:p>
    <w:bookmarkStart w:id="23" w:name="Xb78923e3b7de4b1dec29c034e6cc76c9a9df775"/>
    <w:p>
      <w:pPr>
        <w:pStyle w:val="Heading2"/>
      </w:pPr>
      <w:r>
        <w:t xml:space="preserve">0.1 Extension of the base (SC13) models for benchmark and MSE considerations</w:t>
      </w:r>
    </w:p>
    <w:bookmarkEnd w:id="23"/>
    <w:bookmarkStart w:id="25" w:name="abstract"/>
    <w:p>
      <w:pPr>
        <w:pStyle w:val="Heading1"/>
      </w:pPr>
      <w:r>
        <w:t xml:space="preserve">Abstract</w:t>
      </w:r>
    </w:p>
    <w:p>
      <w:pPr>
        <w:pStyle w:val="FirstParagraph"/>
      </w:pP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p>
    <w:p>
      <w:pPr>
        <w:pStyle w:val="BodyText"/>
      </w:pPr>
      <w:r>
        <w:t xml:space="preserve">The immediate justification for beginning this work is to avoid carrying into MSE several complicated features that were identified during the</w:t>
      </w:r>
      <w:r>
        <w:t xml:space="preserve"> </w:t>
      </w:r>
      <w:hyperlink r:id="rId24">
        <w:r>
          <w:rPr>
            <w:rStyle w:val="Hyperlink"/>
          </w:rPr>
          <w:t xml:space="preserve">July 2025 MSE workshop</w:t>
        </w:r>
      </w:hyperlink>
      <w:r>
        <w:t xml:space="preserve">. These include extensive time-varying selectivity, dynamic reference points that depend on terminal-year model conditions, and projection assumptions that differ from the assumptions used during model fitting. The SC13 base model therefore serves here as the reference assessment formulation from which reduced alternatives can be developed and tested.</w:t>
      </w:r>
    </w:p>
    <w:p>
      <w:pPr>
        <w:pStyle w:val="BodyText"/>
      </w:pPr>
      <w:r>
        <w:rPr>
          <w:i/>
          <w:iCs/>
        </w:rPr>
        <w:t xml:space="preserve">This revision incorporates comments from Iago Mosqueira (IPSC/JRC) on selectivity uncertainty, index influence, recruitment regimes, reference point consistency, and northern stock harmonization. Reviewer observations appear in callout boxes throughout Section 6.</w:t>
      </w:r>
    </w:p>
    <w:bookmarkEnd w:id="25"/>
    <w:bookmarkStart w:id="26" w:name="introduction"/>
    <w:p>
      <w:pPr>
        <w:pStyle w:val="Heading1"/>
      </w:pPr>
      <w:r>
        <w:t xml:space="preserve">1. Introduction</w:t>
      </w:r>
    </w:p>
    <w:p>
      <w:pPr>
        <w:pStyle w:val="FirstParagraph"/>
      </w:pP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 The broader modelling approach also depends on standard growth and generalized linear model concepts used throughout fisheries science</w:t>
      </w:r>
      <w:r>
        <w:t xml:space="preserve"> </w:t>
      </w:r>
      <w:r>
        <w:t xml:space="preserve">(Bertalanffy, 1957; McCullagh &amp; Nelder, 1989; Nelder &amp; Wedderburn, 1972)</w:t>
      </w:r>
      <w:r>
        <w:t xml:space="preserve">.</w:t>
      </w:r>
    </w:p>
    <w:p>
      <w:pPr>
        <w:pStyle w:val="BodyText"/>
      </w:pP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6"/>
    <w:bookmarkStart w:id="27" w:name="materials-used-for-this-paper"/>
    <w:p>
      <w:pPr>
        <w:pStyle w:val="Heading1"/>
      </w:pPr>
      <w:r>
        <w:t xml:space="preserve">2. Materials Used for This Paper</w:t>
      </w:r>
    </w:p>
    <w:p>
      <w:pPr>
        <w:pStyle w:val="FirstParagraph"/>
      </w:pP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t xml:space="preserve">The objective here is not to reproduce every detail already contained in the annex. Rather, the objective is to extract from those materials a concise but technically defensible description of the SC13 base model for later MSE use.</w:t>
      </w:r>
    </w:p>
    <w:bookmarkEnd w:id="27"/>
    <w:bookmarkStart w:id="32" w:name="X05d1c5f8a92b183aa42d2fe77eeb661c4d500c9"/>
    <w:p>
      <w:pPr>
        <w:pStyle w:val="Heading1"/>
      </w:pPr>
      <w:r>
        <w:t xml:space="preserve">3. General Structure of the JJM Used for SC13</w:t>
      </w:r>
    </w:p>
    <w:bookmarkStart w:id="28" w:name="overview"/>
    <w:p>
      <w:pPr>
        <w:pStyle w:val="Heading2"/>
      </w:pPr>
      <w:r>
        <w:t xml:space="preserve">3.1 Overview</w:t>
      </w:r>
    </w:p>
    <w:p>
      <w:pPr>
        <w:pStyle w:val="FirstParagraph"/>
      </w:pP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8"/>
    <w:bookmarkStart w:id="29" w:name="data-structure"/>
    <w:p>
      <w:pPr>
        <w:pStyle w:val="Heading2"/>
      </w:pPr>
      <w:r>
        <w:t xml:space="preserve">3.2 Data Structure</w:t>
      </w:r>
    </w:p>
    <w:p>
      <w:pPr>
        <w:pStyle w:val="FirstParagraph"/>
      </w:pP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9"/>
    <w:bookmarkStart w:id="30" w:name="Xe1264284f219cfec9758543d78372ab59f24161"/>
    <w:p>
      <w:pPr>
        <w:pStyle w:val="Heading2"/>
      </w:pPr>
      <w:r>
        <w:t xml:space="preserve">3.3 Population Dynamics and Observation Model</w:t>
      </w:r>
    </w:p>
    <w:p>
      <w:pPr>
        <w:pStyle w:val="FirstParagraph"/>
      </w:pPr>
      <w:r>
        <w:t xml:space="preserve">The annex and control files together indicate a standard age-structured population dynamic framework with stock recruitment, natural mortality, growth, maturity, fleet selectivity, survey selectivity, and catchability. The growth component follows the usual fisheries implementation of the von Bertalanffy growth relationship</w:t>
      </w:r>
      <w:r>
        <w:t xml:space="preserve"> </w:t>
      </w:r>
      <w:r>
        <w:t xml:space="preserve">(Bertalanffy, 1957; Beverton &amp; Holt, 1957)</w:t>
      </w:r>
      <w:r>
        <w:t xml:space="preserve">. The Far North fleet is modelled through predicted length compositions derived from the age-structured population and the specified growth schedule.</w:t>
      </w:r>
    </w:p>
    <w:p>
      <w:pPr>
        <w:pStyle w:val="BodyText"/>
      </w:pP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t xml:space="preserve">A compact mathematical summary of the core model structure is provided in the appendix so that the main text can stay focused on the SC13 implementation choices rather than on notation.</w:t>
      </w:r>
    </w:p>
    <w:bookmarkEnd w:id="30"/>
    <w:bookmarkStart w:id="31" w:name="reference-points-and-projections"/>
    <w:p>
      <w:pPr>
        <w:pStyle w:val="Heading2"/>
      </w:pPr>
      <w:r>
        <w:t xml:space="preserve">3.4 Reference Points and Projections</w:t>
      </w:r>
    </w:p>
    <w:p>
      <w:pPr>
        <w:pStyle w:val="FirstParagraph"/>
      </w:pPr>
      <w:r>
        <w:t xml:space="preserve">The SC13 annex states that</w:t>
      </w:r>
      <w:r>
        <w:t xml:space="preserve"> </w:t>
      </w:r>
      <w:r>
        <w:rPr>
          <w:rStyle w:val="VerbatimChar"/>
        </w:rPr>
        <w:t xml:space="preserve">MSY</w:t>
      </w:r>
      <w:r>
        <w:t xml:space="preserve">,</w:t>
      </w:r>
      <w:r>
        <w:t xml:space="preserve"> </w:t>
      </w:r>
      <w:r>
        <w:rPr>
          <w:rStyle w:val="VerbatimChar"/>
        </w:rPr>
        <w:t xml:space="preserve">FMSY</w:t>
      </w:r>
      <w:r>
        <w:t xml:space="preserve">, and</w:t>
      </w:r>
      <w:r>
        <w:t xml:space="preserve"> </w:t>
      </w:r>
      <w:r>
        <w:rPr>
          <w:rStyle w:val="VerbatimChar"/>
        </w:rPr>
        <w:t xml:space="preserve">BMSY</w:t>
      </w:r>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w:r>
        <w:rPr>
          <w:rStyle w:val="VerbatimChar"/>
        </w:rPr>
        <w:t xml:space="preserve">BMSY</w:t>
      </w:r>
      <w:r>
        <w:t xml:space="preserve"> </w:t>
      </w:r>
      <w:r>
        <w:t xml:space="preserve">as the reference biomass quantity for comparison.</w:t>
      </w:r>
    </w:p>
    <w:p>
      <w:pPr>
        <w:pStyle w:val="BodyText"/>
      </w:pP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1"/>
    <w:bookmarkEnd w:id="32"/>
    <w:bookmarkStart w:id="37" w:name="the-sc13-base-advice-models"/>
    <w:p>
      <w:pPr>
        <w:pStyle w:val="Heading1"/>
      </w:pPr>
      <w:r>
        <w:t xml:space="preserve">4. The SC13 Base Advice Models</w:t>
      </w:r>
    </w:p>
    <w:bookmarkStart w:id="33" w:name="single-stock-hypothesis-h1_1.14"/>
    <w:p>
      <w:pPr>
        <w:pStyle w:val="Heading2"/>
      </w:pPr>
      <w:r>
        <w:t xml:space="preserve">4.1 Single-Stock Hypothesis:</w:t>
      </w:r>
      <w:r>
        <w:t xml:space="preserve"> </w:t>
      </w:r>
      <w:r>
        <w:rPr>
          <w:rStyle w:val="VerbatimChar"/>
        </w:rPr>
        <w:t xml:space="preserve">h1_1.14</w:t>
      </w:r>
    </w:p>
    <w:p>
      <w:pPr>
        <w:pStyle w:val="FirstParagraph"/>
      </w:pP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3"/>
    <w:bookmarkStart w:id="34" w:name="two-stock-hypothesis-h2_1.14"/>
    <w:p>
      <w:pPr>
        <w:pStyle w:val="Heading2"/>
      </w:pPr>
      <w:r>
        <w:t xml:space="preserve">4.2 Two-Stock Hypothesis:</w:t>
      </w:r>
      <w:r>
        <w:t xml:space="preserve"> </w:t>
      </w:r>
      <w:r>
        <w:rPr>
          <w:rStyle w:val="VerbatimChar"/>
        </w:rPr>
        <w:t xml:space="preserve">h2_1.14</w:t>
      </w:r>
    </w:p>
    <w:p>
      <w:pPr>
        <w:pStyle w:val="FirstParagraph"/>
      </w:pP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4"/>
    <w:bookmarkStart w:id="36" w:name="summary-comparison"/>
    <w:p>
      <w:pPr>
        <w:pStyle w:val="Heading2"/>
      </w:pPr>
      <w:r>
        <w:t xml:space="preserve">4.3 Summary Comparison</w:t>
      </w:r>
    </w:p>
    <w:p>
      <w:pPr>
        <w:pStyle w:val="FirstParagraph"/>
      </w:pP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5"/>
          <w:p/>
        </w:tc>
      </w:tr>
    </w:tbl>
    <w:p>
      <w:pPr>
        <w:pStyle w:val="BodyText"/>
      </w:pP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6"/>
    <w:bookmarkEnd w:id="37"/>
    <w:bookmarkStart w:id="38" w:name="base-model-considerations"/>
    <w:p>
      <w:pPr>
        <w:pStyle w:val="Heading1"/>
      </w:pPr>
      <w:r>
        <w:t xml:space="preserve">5. Base model considerations</w:t>
      </w:r>
    </w:p>
    <w:p>
      <w:pPr>
        <w:pStyle w:val="FirstParagraph"/>
      </w:pP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t xml:space="preserve">In the base model the reference points are dynamic.</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8"/>
    <w:bookmarkStart w:id="99" w:name="proposed-simplified-alternatives"/>
    <w:p>
      <w:pPr>
        <w:pStyle w:val="Heading1"/>
      </w:pPr>
      <w:r>
        <w:t xml:space="preserve">6. Proposed Simplified Alternatives</w:t>
      </w:r>
    </w:p>
    <w:p>
      <w:pPr>
        <w:pStyle w:val="FirstParagraph"/>
      </w:pP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9"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6"/>
              <w:gridCol w:w="373"/>
              <w:gridCol w:w="373"/>
              <w:gridCol w:w="2663"/>
              <w:gridCol w:w="2429"/>
              <w:gridCol w:w="1892"/>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bl>
          <w:bookmarkEnd w:id="39"/>
          <w:p/>
        </w:tc>
      </w:tr>
    </w:tbl>
    <w:p>
      <w:pPr>
        <w:pStyle w:val="BodyText"/>
      </w:pPr>
      <w:r>
        <w:t xml:space="preserve">The</w:t>
      </w:r>
      <w:r>
        <w:t xml:space="preserve"> </w:t>
      </w:r>
      <w:r>
        <w:rPr>
          <w:rStyle w:val="VerbatimChar"/>
        </w:rPr>
        <w:t xml:space="preserve">h2_2.00</w:t>
      </w:r>
      <w:r>
        <w:t xml:space="preserve"> </w:t>
      </w:r>
      <w:r>
        <w:t xml:space="preserve">serves as the two-stock reduced-index analogue,</w:t>
      </w:r>
      <w:r>
        <w:br/>
      </w:r>
      <w:r>
        <w:t xml:space="preserve">while</w:t>
      </w:r>
      <w:r>
        <w:t xml:space="preserve"> </w:t>
      </w:r>
      <w:r>
        <w:rPr>
          <w:rStyle w:val="VerbatimChar"/>
        </w:rPr>
        <w:t xml:space="preserve">h2_2.02</w:t>
      </w:r>
      <w:r>
        <w:t xml:space="preserve"> </w:t>
      </w:r>
      <w:r>
        <w:t xml:space="preserve">frames the harmonized Far North selectivity treatment.</w:t>
      </w:r>
    </w:p>
    <w:bookmarkStart w:id="51" w:name="reduced-number-of-indices"/>
    <w:p>
      <w:pPr>
        <w:pStyle w:val="Heading2"/>
      </w:pPr>
      <w:r>
        <w:t xml:space="preserve">6.1 Reduced number of indices</w:t>
      </w:r>
    </w:p>
    <w:p>
      <w:pPr>
        <w:pStyle w:val="FirstParagraph"/>
      </w:pP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3" w:name="fig-reduced-indices-ssb"/>
          <w:p>
            <w:pPr>
              <w:pStyle w:val="Compact"/>
              <w:jc w:val="center"/>
            </w:pPr>
            <w:r>
              <w:drawing>
                <wp:inline>
                  <wp:extent cx="5334000" cy="3194843"/>
                  <wp:effectExtent b="0" l="0" r="0" t="0"/>
                  <wp:docPr descr="" title="" id="41" name="Picture"/>
                  <a:graphic>
                    <a:graphicData uri="http://schemas.openxmlformats.org/drawingml/2006/picture">
                      <pic:pic>
                        <pic:nvPicPr>
                          <pic:cNvPr descr="JM-WP-BM-01_files/figure-docx/fig-reduced-indices-ssb-1.png" id="42" name="Picture"/>
                          <pic:cNvPicPr>
                            <a:picLocks noChangeArrowheads="1" noChangeAspect="1"/>
                          </pic:cNvPicPr>
                        </pic:nvPicPr>
                        <pic:blipFill>
                          <a:blip r:embed="rId4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reduced-indices-rec"/>
          <w:p>
            <w:pPr>
              <w:pStyle w:val="Compact"/>
              <w:jc w:val="center"/>
            </w:pPr>
            <w:r>
              <w:drawing>
                <wp:inline>
                  <wp:extent cx="5334000" cy="3194843"/>
                  <wp:effectExtent b="0" l="0" r="0" t="0"/>
                  <wp:docPr descr="" title="" id="45" name="Picture"/>
                  <a:graphic>
                    <a:graphicData uri="http://schemas.openxmlformats.org/drawingml/2006/picture">
                      <pic:pic>
                        <pic:nvPicPr>
                          <pic:cNvPr descr="JM-WP-BM-01_files/figure-docx/fig-reduced-indices-rec-1.png" id="46" name="Picture"/>
                          <pic:cNvPicPr>
                            <a:picLocks noChangeArrowheads="1" noChangeAspect="1"/>
                          </pic:cNvPicPr>
                        </pic:nvPicPr>
                        <pic:blipFill>
                          <a:blip r:embed="rId4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7"/>
        </w:tc>
      </w:tr>
    </w:tbl>
    <w:p>
      <w:pPr>
        <w:pStyle w:val="BodyText"/>
      </w:pP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1"/>
    <w:bookmarkStart w:id="84" w:name="simplified-selectivity-alternatives"/>
    <w:p>
      <w:pPr>
        <w:pStyle w:val="Heading2"/>
      </w:pPr>
      <w:r>
        <w:t xml:space="preserve">6.2 Simplified Selectivity Alternatives</w:t>
      </w:r>
    </w:p>
    <w:p>
      <w:pPr>
        <w:pStyle w:val="FirstParagraph"/>
      </w:pP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83" w:name="X518721fe55853f821d30f8adb270621fb439ada"/>
    <w:p>
      <w:pPr>
        <w:pStyle w:val="Heading3"/>
      </w:pPr>
      <w:r>
        <w:t xml:space="preserve">Selectivity Time-Block Reduction by Fleet</w:t>
      </w:r>
    </w:p>
    <w:p>
      <w:pPr>
        <w:pStyle w:val="FirstParagraph"/>
      </w:pP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2" w:name="fleet-1-north-chile"/>
    <w:p>
      <w:pPr>
        <w:pStyle w:val="Heading4"/>
      </w:pPr>
      <w:r>
        <w:t xml:space="preserve">Fleet 1 — North Chile</w:t>
      </w:r>
    </w:p>
    <w:p>
      <w:pPr>
        <w:pStyle w:val="FirstParagraph"/>
      </w:pP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t xml:space="preserve">The main structural breaks for this fleet are around 1987 and 2016, which is also consistent with the increase in mean age shown in Annex Figure 31.</w:t>
      </w:r>
    </w:p>
    <w:bookmarkEnd w:id="52"/>
    <w:bookmarkStart w:id="53" w:name="fleet-2-south-central-chile"/>
    <w:p>
      <w:pPr>
        <w:pStyle w:val="Heading4"/>
      </w:pPr>
      <w:r>
        <w:t xml:space="preserve">Fleet 2 — South-Central Chile</w:t>
      </w:r>
    </w:p>
    <w:p>
      <w:pPr>
        <w:pStyle w:val="FirstParagraph"/>
      </w:pP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t xml:space="preserve">These blocks are consistent with the gradual aging trend noted elsewhere in the report, including the increase in mean age over the last decade.</w:t>
      </w:r>
    </w:p>
    <w:bookmarkEnd w:id="53"/>
    <w:bookmarkStart w:id="54" w:name="fleet-3-far-north"/>
    <w:p>
      <w:pPr>
        <w:pStyle w:val="Heading4"/>
      </w:pPr>
      <w:r>
        <w:t xml:space="preserve">Fleet 3 — Far North</w:t>
      </w:r>
    </w:p>
    <w:p>
      <w:pPr>
        <w:pStyle w:val="FirstParagraph"/>
      </w:pP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4"/>
    <w:bookmarkStart w:id="55" w:name="fleet-4-offshore-trawl"/>
    <w:p>
      <w:pPr>
        <w:pStyle w:val="Heading4"/>
      </w:pPr>
      <w:r>
        <w:t xml:space="preserve">Fleet 4 — Offshore trawl</w:t>
      </w:r>
    </w:p>
    <w:p>
      <w:pPr>
        <w:pStyle w:val="FirstParagraph"/>
      </w:pP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t xml:space="preserve">These changes are consistent with the recent selectivity changes noted in the SC13 sensitivity runs.</w:t>
      </w:r>
    </w:p>
    <w:bookmarkEnd w:id="55"/>
    <w:bookmarkStart w:id="56" w:name="cross-fleet-simplification"/>
    <w:p>
      <w:pPr>
        <w:pStyle w:val="Heading4"/>
      </w:pPr>
      <w:r>
        <w:t xml:space="preserve">Cross-Fleet Simplification</w:t>
      </w:r>
    </w:p>
    <w:p>
      <w:pPr>
        <w:pStyle w:val="FirstParagraph"/>
      </w:pP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6"/>
    <w:bookmarkStart w:id="57" w:name="key-insight"/>
    <w:p>
      <w:pPr>
        <w:pStyle w:val="Heading4"/>
      </w:pPr>
      <w:r>
        <w:t xml:space="preserve">Key Insight</w:t>
      </w:r>
    </w:p>
    <w:p>
      <w:pPr>
        <w:pStyle w:val="FirstParagraph"/>
      </w:pPr>
      <w:r>
        <w:t xml:space="preserve">Across fleets, the main broad pattern is a recent shift toward older fish after about 2015, with the offshore fleet as the main exception because it shows more recent spikes in younger selectivity.</w:t>
      </w:r>
    </w:p>
    <w:p>
      <w:pPr>
        <w:pStyle w:val="BodyText"/>
      </w:pP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t xml:space="preserve">These broad breakpoints also align with changes in fishing pressure, the stock rebuilding phase, and the model note that recent selectivity favors older fish.</w:t>
      </w:r>
    </w:p>
    <w:bookmarkEnd w:id="57"/>
    <w:bookmarkStart w:id="82" w:name="illustrative-fit-with-selectivity-blocks"/>
    <w:p>
      <w:pPr>
        <w:pStyle w:val="Heading4"/>
      </w:pPr>
      <w:r>
        <w:t xml:space="preserve">Illustrative fit with selectivity blocks</w:t>
      </w:r>
    </w:p>
    <w:p>
      <w:pPr>
        <w:pStyle w:val="FirstParagraph"/>
      </w:pP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6"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1" w:name="fig-selectivity-fishery-compare-1"/>
                <w:p>
                  <w:pPr>
                    <w:pStyle w:val="Compact"/>
                    <w:jc w:val="center"/>
                    <w:jc w:val="left"/>
                  </w:pPr>
                  <w:r>
                    <w:drawing>
                      <wp:inline>
                        <wp:extent cx="2971800" cy="4754880"/>
                        <wp:effectExtent b="0" l="0" r="0" t="0"/>
                        <wp:docPr descr="" title="" id="59" name="Picture"/>
                        <a:graphic>
                          <a:graphicData uri="http://schemas.openxmlformats.org/drawingml/2006/picture">
                            <pic:pic>
                              <pic:nvPicPr>
                                <pic:cNvPr descr="JM-WP-BM-01_files/figure-docx/fig-selectivity-fishery-compare-1.png" id="60" name="Picture"/>
                                <pic:cNvPicPr>
                                  <a:picLocks noChangeArrowheads="1" noChangeAspect="1"/>
                                </pic:cNvPicPr>
                              </pic:nvPicPr>
                              <pic:blipFill>
                                <a:blip r:embed="rId5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1"/>
              </w:tc>
            </w:tr>
          </w:tbl>
          <w:p/>
        </w:tc>
        <w:tc>
          <w:tcPr/>
          <w:tbl>
            <w:tblPr>
              <w:tblStyle w:val="Table"/>
              <w:tblW w:type="pct" w:w="4900"/>
              <w:tblLayout w:type="fixed"/>
              <w:tblLook w:firstRow="0" w:lastRow="0" w:firstColumn="0" w:lastColumn="0" w:noHBand="0" w:noVBand="0" w:val="0000"/>
            </w:tblPr>
            <w:tblGrid>
              <w:gridCol w:w="7761"/>
            </w:tblGrid>
            <w:tr>
              <w:tc>
                <w:tcPr/>
                <w:bookmarkStart w:id="65" w:name="fig-selectivity-fishery-compare-2"/>
                <w:p>
                  <w:pPr>
                    <w:pStyle w:val="Compact"/>
                    <w:jc w:val="center"/>
                    <w:jc w:val="left"/>
                  </w:pPr>
                  <w:r>
                    <w:drawing>
                      <wp:inline>
                        <wp:extent cx="2971800" cy="4754880"/>
                        <wp:effectExtent b="0" l="0" r="0" t="0"/>
                        <wp:docPr descr="" title="" id="63" name="Picture"/>
                        <a:graphic>
                          <a:graphicData uri="http://schemas.openxmlformats.org/drawingml/2006/picture">
                            <pic:pic>
                              <pic:nvPicPr>
                                <pic:cNvPr descr="JM-WP-BM-01_files/figure-docx/fig-selectivity-fishery-compare-2.png" id="64" name="Picture"/>
                                <pic:cNvPicPr>
                                  <a:picLocks noChangeArrowheads="1" noChangeAspect="1"/>
                                </pic:cNvPicPr>
                              </pic:nvPicPr>
                              <pic:blipFill>
                                <a:blip r:embed="rId62"/>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5"/>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6"/>
    <w:p>
      <w:pPr>
        <w:pStyle w:val="BodyText"/>
      </w:pP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5</w:t>
        </w:r>
      </w:hyperlink>
      <w:r>
        <w:t xml:space="preserve"> </w:t>
      </w:r>
      <w:r>
        <w:t xml:space="preserve">and</w:t>
      </w:r>
      <w:r>
        <w:t xml:space="preserve"> </w:t>
      </w:r>
      <w:hyperlink w:anchor="fig-selectivity-blocks-rec">
        <w:r>
          <w:rPr>
            <w:rStyle w:val="Hyperlink"/>
          </w:rPr>
          <w:t xml:space="preserve">Figure 6</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67"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67"/>
        </w:tc>
      </w:tr>
    </w:tbl>
    <w:p>
      <w:pPr>
        <w:pStyle w:val="BodyText"/>
      </w:pP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t xml:space="preserve">The visual fit to the retained and comparable abundance indices is shown in</w:t>
      </w:r>
      <w:r>
        <w:t xml:space="preserve"> </w:t>
      </w:r>
      <w:hyperlink w:anchor="fig-h1-index-fits">
        <w:r>
          <w:rPr>
            <w:rStyle w:val="Hyperlink"/>
          </w:rPr>
          <w:t xml:space="preserve">Figure 4</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71" w:name="fig-h1-index-fits"/>
          <w:p>
            <w:pPr>
              <w:pStyle w:val="Compact"/>
              <w:jc w:val="center"/>
            </w:pPr>
            <w:r>
              <w:drawing>
                <wp:inline>
                  <wp:extent cx="5334000" cy="4333875"/>
                  <wp:effectExtent b="0" l="0" r="0" t="0"/>
                  <wp:docPr descr="" title="" id="69" name="Picture"/>
                  <a:graphic>
                    <a:graphicData uri="http://schemas.openxmlformats.org/drawingml/2006/picture">
                      <pic:pic>
                        <pic:nvPicPr>
                          <pic:cNvPr descr="JM-WP-BM-01_files/figure-docx/fig-h1-index-fits-1.png" id="70" name="Picture"/>
                          <pic:cNvPicPr>
                            <a:picLocks noChangeArrowheads="1" noChangeAspect="1"/>
                          </pic:cNvPicPr>
                        </pic:nvPicPr>
                        <pic:blipFill>
                          <a:blip r:embed="rId6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71"/>
        </w:tc>
      </w:tr>
    </w:tbl>
    <w:p>
      <w:pPr>
        <w:pStyle w:val="BodyText"/>
      </w:pP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tbl>
      <w:tblPr>
        <w:tblStyle w:val="Table"/>
        <w:tblW w:type="pct" w:w="5000"/>
        <w:tblLayout w:type="fixed"/>
        <w:tblLook w:firstRow="0" w:lastRow="0" w:firstColumn="0" w:lastColumn="0" w:noHBand="0" w:noVBand="0" w:val="0000"/>
      </w:tblPr>
      <w:tblGrid>
        <w:gridCol w:w="7920"/>
      </w:tblGrid>
      <w:tr>
        <w:tc>
          <w:tcPr/>
          <w:bookmarkStart w:id="77" w:name="fig-selectivity-blocks-ssb"/>
          <w:p>
            <w:pPr>
              <w:pStyle w:val="Compact"/>
              <w:jc w:val="center"/>
            </w:pPr>
            <w:r>
              <w:drawing>
                <wp:inline>
                  <wp:extent cx="5334000" cy="3194843"/>
                  <wp:effectExtent b="0" l="0" r="0" t="0"/>
                  <wp:docPr descr="" title="" id="75" name="Picture"/>
                  <a:graphic>
                    <a:graphicData uri="http://schemas.openxmlformats.org/drawingml/2006/picture">
                      <pic:pic>
                        <pic:nvPicPr>
                          <pic:cNvPr descr="JM-WP-BM-01_files/figure-docx/fig-selectivity-blocks-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selectivity-blocks-rec"/>
          <w:p>
            <w:pPr>
              <w:pStyle w:val="Compact"/>
              <w:jc w:val="center"/>
            </w:pPr>
            <w:r>
              <w:drawing>
                <wp:inline>
                  <wp:extent cx="5334000" cy="3194843"/>
                  <wp:effectExtent b="0" l="0" r="0" t="0"/>
                  <wp:docPr descr="" title="" id="79" name="Picture"/>
                  <a:graphic>
                    <a:graphicData uri="http://schemas.openxmlformats.org/drawingml/2006/picture">
                      <pic:pic>
                        <pic:nvPicPr>
                          <pic:cNvPr descr="JM-WP-BM-01_files/figure-docx/fig-selectivity-blocks-rec-1.png" id="80" name="Picture"/>
                          <pic:cNvPicPr>
                            <a:picLocks noChangeArrowheads="1" noChangeAspect="1"/>
                          </pic:cNvPicPr>
                        </pic:nvPicPr>
                        <pic:blipFill>
                          <a:blip r:embed="rId78"/>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81"/>
        </w:tc>
      </w:tr>
    </w:tbl>
    <w:bookmarkEnd w:id="82"/>
    <w:bookmarkEnd w:id="83"/>
    <w:bookmarkEnd w:id="84"/>
    <w:bookmarkStart w:id="92" w:name="harmonized-northern-treatment"/>
    <w:p>
      <w:pPr>
        <w:pStyle w:val="Heading2"/>
      </w:pPr>
      <w:r>
        <w:t xml:space="preserve">6.3 Harmonized Northern Treatment</w:t>
      </w:r>
    </w:p>
    <w:p>
      <w:pPr>
        <w:pStyle w:val="FirstParagraph"/>
      </w:pP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The harmonization objective should be to align the</w:t>
            </w:r>
            <w:r>
              <w:t xml:space="preserve"> </w:t>
            </w:r>
            <w:r>
              <w:rPr>
                <w:b/>
                <w:bCs/>
              </w:rPr>
              <w:t xml:space="preserve">selectivity structure</w:t>
            </w:r>
            <w:r>
              <w:t xml:space="preserve"> </w:t>
            </w:r>
            <w:r>
              <w:t xml:space="preserve">of the Far North 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 the two-stock hypothesis. In practice, this means that differences in natural mortality, growth, maturity, and weight-at-age should be preserved in</w:t>
            </w:r>
            <w:r>
              <w:t xml:space="preserve"> </w:t>
            </w:r>
            <w:r>
              <w:rPr>
                <w:rStyle w:val="VerbatimChar"/>
              </w:rPr>
              <w:t xml:space="preserve">h2</w:t>
            </w:r>
            <w:r>
              <w:t xml:space="preserve"> </w:t>
            </w:r>
            <w:r>
              <w:t xml:space="preserve">as currently specified. What should be harmonized is the structural form and degree of flexibility allowed in Far North fleet selectivity, so that a comparison of h1 and h2 MSE outcomes reflects stock structure rather than selectivity regularization.</w:t>
            </w:r>
          </w:p>
          <w:p>
            <w:pPr>
              <w:pStyle w:val="BodyText"/>
            </w:pPr>
            <w:pPr>
              <w:spacing w:after="16"/>
            </w:pPr>
            <w:r>
              <w:t xml:space="preserve">One additional area that has been discussed but not yet implemented is explicit uncertainty in northern stock biology, particularly growth. The two-stock hypothesis implies different population dynamics for the northern component, but the current implementation draws on growth parameters estimated from combined data without formal uncertainty in the stock-specific parameters. Uncertainty in northern growth or natural mortality could be incorporated as candidate robustness scenarios in later MSE phases if data become available to support alternative parameterizations.</w:t>
            </w:r>
          </w:p>
          <w:p/>
        </w:tc>
      </w:tr>
    </w:tbl>
    <w:p>
      <w:pPr>
        <w:pStyle w:val="BodyText"/>
      </w:pPr>
      <w:r>
        <w:t xml:space="preserve">Implementing the selectivity harmonization will likely require re-fitting</w:t>
      </w:r>
      <w:r>
        <w:t xml:space="preserve"> </w:t>
      </w:r>
      <w:r>
        <w:rPr>
          <w:rStyle w:val="VerbatimChar"/>
        </w:rPr>
        <w:t xml:space="preserve">h1_1.14</w:t>
      </w:r>
      <w:r>
        <w:t xml:space="preserve"> </w:t>
      </w:r>
      <w:r>
        <w:t xml:space="preserve">with a simplified Far North selectivity structure that mirrors the</w:t>
      </w:r>
      <w:r>
        <w:t xml:space="preserve"> </w:t>
      </w:r>
      <w:r>
        <w:rPr>
          <w:rStyle w:val="VerbatimChar"/>
        </w:rPr>
        <w:t xml:space="preserve">h2</w:t>
      </w:r>
      <w:r>
        <w:t xml:space="preserve"> </w:t>
      </w:r>
      <w:r>
        <w:t xml:space="preserve">treatment, or equivalently 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 most defensible given the available data and model diagnostics.</w:t>
      </w:r>
    </w:p>
    <w:p>
      <w:pPr>
        <w:pStyle w:val="BodyText"/>
      </w:pPr>
      <w:r>
        <w:t xml:space="preserve">To examine that issue more directly, I fitted two harmonized variants using the 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 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 selectivity treatment. The resulting likelihood comparison is shown in</w:t>
      </w:r>
      <w:r>
        <w:t xml:space="preserve"> </w:t>
      </w:r>
      <w:hyperlink w:anchor="tbl-north-harmonized-like-components">
        <w:r>
          <w:rPr>
            <w:rStyle w:val="Hyperlink"/>
          </w:rPr>
          <w:t xml:space="preserve">Table 4</w:t>
        </w:r>
      </w:hyperlink>
      <w:r>
        <w:t xml:space="preserve">, and the corresponding retained-index fits are shown in</w:t>
      </w:r>
      <w:r>
        <w:t xml:space="preserve"> </w:t>
      </w:r>
      <w:hyperlink w:anchor="fig-harmonized-index-fit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north-harmonized-like-components"/>
          <w:p>
            <w:pPr>
              <w:jc w:val="center"/>
            </w:pPr>
            <w:pPr>
              <w:jc w:val="left"/>
              <w:spacing w:before="200"/>
              <w:pStyle w:val="ImageCaption"/>
            </w:pPr>
            <w:r>
              <w:t xml:space="preserve">Table 4: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87"/>
        </w:tc>
      </w:tr>
    </w:tbl>
    <w:p>
      <w:pPr>
        <w:pStyle w:val="BodyText"/>
      </w:pPr>
      <w:r>
        <w:t xml:space="preserve">The retained comparable index fits for these harmonized models are shown in</w:t>
      </w:r>
      <w:r>
        <w:t xml:space="preserve"> </w:t>
      </w:r>
      <w:hyperlink w:anchor="fig-harmonized-index-fits">
        <w:r>
          <w:rPr>
            <w:rStyle w:val="Hyperlink"/>
          </w:rPr>
          <w:t xml:space="preserve">Figure 7</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91" w:name="fig-harmonized-index-fits"/>
          <w:p>
            <w:pPr>
              <w:pStyle w:val="Compact"/>
              <w:jc w:val="center"/>
            </w:pPr>
            <w:r>
              <w:drawing>
                <wp:inline>
                  <wp:extent cx="5334000" cy="4333875"/>
                  <wp:effectExtent b="0" l="0" r="0" t="0"/>
                  <wp:docPr descr="" title="" id="89" name="Picture"/>
                  <a:graphic>
                    <a:graphicData uri="http://schemas.openxmlformats.org/drawingml/2006/picture">
                      <pic:pic>
                        <pic:nvPicPr>
                          <pic:cNvPr descr="JM-WP-BM-01_files/figure-docx/fig-harmonized-index-fits-1.png" id="90" name="Picture"/>
                          <pic:cNvPicPr>
                            <a:picLocks noChangeArrowheads="1" noChangeAspect="1"/>
                          </pic:cNvPicPr>
                        </pic:nvPicPr>
                        <pic:blipFill>
                          <a:blip r:embed="rId88"/>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91"/>
        </w:tc>
      </w:tr>
    </w:tbl>
    <w:bookmarkEnd w:id="92"/>
    <w:bookmarkStart w:id="95" w:name="simplified-recruitment-alternatives"/>
    <w:p>
      <w:pPr>
        <w:pStyle w:val="Heading2"/>
      </w:pPr>
      <w:r>
        <w:t xml:space="preserve">6.4 Simplified Recruitment Alternatives</w:t>
      </w:r>
    </w:p>
    <w:p>
      <w:pPr>
        <w:pStyle w:val="FirstParagraph"/>
      </w:pPr>
      <w:r>
        <w:t xml:space="preserve">A second option is to reduce recruitment complexity by using one recruitment relationship per stock hypothesis, or one per stock under the two-stock model, without additional regime splitting unless that feature is shown to be essential for management performance. The preferred approach is therefore to fit a single Beverton-Holt relationship per stock in the simplified operating model, and then 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pP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bookmarkEnd w:id="95"/>
    <w:bookmarkStart w:id="98" w:name="fixed-reference-point-alternatives"/>
    <w:p>
      <w:pPr>
        <w:pStyle w:val="Heading2"/>
      </w:pPr>
      <w:r>
        <w:t xml:space="preserve">6.5 Fixed-Reference-Point Alternatives</w:t>
      </w:r>
    </w:p>
    <w:p>
      <w:pPr>
        <w:pStyle w:val="FirstParagraph"/>
      </w:pPr>
      <w:r>
        <w:t xml:space="preserve">A third option is to evaluate MSE performance relative to fixed biomass and harvest-rate benchmarks rather than dynamic reference points estimated from terminal-year conditions. This would make the interpretation of management performance much clearer while still allowing later comparison back to the SC13 assessment convention.</w:t>
      </w:r>
    </w:p>
    <w:p>
      <w:pPr>
        <w:pStyle w:val="BodyText"/>
      </w:pPr>
      <w:r>
        <w:t xml:space="preserve">The dynamic reference point system in the JJM — where</w:t>
      </w:r>
      <w:r>
        <w:t xml:space="preserve"> </w:t>
      </w:r>
      <w:r>
        <w:rPr>
          <w:rStyle w:val="VerbatimChar"/>
        </w:rPr>
        <w:t xml:space="preserve">BMSY</w:t>
      </w:r>
      <w:r>
        <w:t xml:space="preserve"> </w:t>
      </w:r>
      <w:r>
        <w:t xml:space="preserve">and</w:t>
      </w:r>
      <w:r>
        <w:t xml:space="preserve"> </w:t>
      </w:r>
      <w:r>
        <w:rPr>
          <w:rStyle w:val="VerbatimChar"/>
        </w:rPr>
        <w:t xml:space="preserve">FMSY</w:t>
      </w:r>
      <w:r>
        <w:t xml:space="preserve"> </w:t>
      </w:r>
      <w:r>
        <w:t xml:space="preserve">shift with terminal-year selectivity and weight-at-age — is appropriate in the annual assessment context but problematic for MSE. If reference points change every year as a function of the operating model state, it becomes difficult to distinguish genuine changes in stock productivity from artefacts of the simulation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Reviewer comment (I. Mosqueira)</w:t>
            </w:r>
          </w:p>
        </w:tc>
      </w:tr>
      <w:tr>
        <w:trPr>
          <w:cantSplit/>
        </w:trPr>
        <w:tc>
          <w:tcPr>
            <w:tcMar>
              <w:top w:w="108" w:type="dxa"/>
              <w:bottom w:w="108" w:type="dxa"/>
            </w:tcMar>
          </w:tcPr>
          <w:p>
            <w:pPr>
              <w:pStyle w:val="BodyText"/>
            </w:pPr>
            <w:pPr>
              <w:spacing w:before="16" w:after="16"/>
            </w:pPr>
            <w:r>
              <w:t xml:space="preserve">If the simplified selectivity alternative adopts block-based selectivity, then reference points should be calculated using the selectivity pattern from the</w:t>
            </w:r>
            <w:r>
              <w:t xml:space="preserve"> </w:t>
            </w:r>
            <w:r>
              <w:rPr>
                <w:b/>
                <w:bCs/>
              </w:rPr>
              <w:t xml:space="preserve">final block period</w:t>
            </w:r>
            <w:r>
              <w:t xml:space="preserve"> </w:t>
            </w:r>
            <w:r>
              <w:t xml:space="preserve">for all future projections. This is internally consistent: the operating model should use the same selectivity for calculating</w:t>
            </w:r>
            <w:r>
              <w:t xml:space="preserve"> </w:t>
            </w:r>
            <w:r>
              <w:rPr>
                <w:rStyle w:val="VerbatimChar"/>
              </w:rPr>
              <w:t xml:space="preserve">FMSY</w:t>
            </w:r>
            <w:r>
              <w:t xml:space="preserve"> </w:t>
            </w:r>
            <w:r>
              <w:t xml:space="preserve">and</w:t>
            </w:r>
            <w:r>
              <w:t xml:space="preserve"> </w:t>
            </w:r>
            <w:r>
              <w:rPr>
                <w:rStyle w:val="VerbatimChar"/>
              </w:rPr>
              <w:t xml:space="preserve">BMSY</w:t>
            </w:r>
            <w:r>
              <w:t xml:space="preserve"> </w:t>
            </w:r>
            <w:r>
              <w:t xml:space="preserve">as it uses for projecting future mortality. Using the last block’s selectivity as the reference configuration avoids the problem of reference points shifting mid-simulation as selectivity changes, and it is analogous to the fixed-reference-point convention already applied in several RFMO MSE programmes.</w:t>
            </w:r>
          </w:p>
          <w:p/>
        </w:tc>
      </w:tr>
    </w:tbl>
    <w:p>
      <w:pPr>
        <w:pStyle w:val="BodyText"/>
      </w:pP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98"/>
    <w:bookmarkEnd w:id="99"/>
    <w:bookmarkStart w:id="100" w:name="summary"/>
    <w:p>
      <w:pPr>
        <w:pStyle w:val="Heading1"/>
      </w:pPr>
      <w:r>
        <w:t xml:space="preserve">7. Summary</w:t>
      </w:r>
    </w:p>
    <w:p>
      <w:pPr>
        <w:pStyle w:val="FirstParagraph"/>
      </w:pPr>
      <w:r>
        <w:t xml:space="preserve">The evaluations presented here are meant as discussion items leading into the benchmark workshop.</w:t>
      </w:r>
      <w:r>
        <w:t xml:space="preserve"> </w:t>
      </w:r>
      <w:r>
        <w:t xml:space="preserve">One set of potential issue has emerged for further consideration by the group:</w:t>
      </w:r>
    </w:p>
    <w:p>
      <w:pPr>
        <w:pStyle w:val="Compact"/>
        <w:numPr>
          <w:ilvl w:val="0"/>
          <w:numId w:val="1011"/>
        </w:numPr>
      </w:pPr>
      <w:r>
        <w:rPr>
          <w:b/>
          <w:bCs/>
        </w:rPr>
        <w:t xml:space="preserve">Selectivity block structure</w:t>
      </w:r>
      <w:r>
        <w:t xml:space="preserve"> </w:t>
      </w:r>
      <w:r>
        <w:t xml:space="preserve">should be the primary simplification, reducing annual deviations to a tractable number of regime periods per fleet.</w:t>
      </w:r>
    </w:p>
    <w:p>
      <w:pPr>
        <w:pStyle w:val="Compact"/>
        <w:numPr>
          <w:ilvl w:val="0"/>
          <w:numId w:val="1011"/>
        </w:numPr>
      </w:pPr>
      <w:r>
        <w:rPr>
          <w:b/>
          <w:bCs/>
        </w:rPr>
        <w:t xml:space="preserve">Projection-period selectivity uncertainty</w:t>
      </w:r>
      <w:r>
        <w:t xml:space="preserve"> </w:t>
      </w:r>
      <w:r>
        <w:t xml:space="preserve">should be represented by a range of averaging-period options (1, 5, 10, 15, 20 years), evaluated as robustness operating models.</w:t>
      </w:r>
    </w:p>
    <w:p>
      <w:pPr>
        <w:pStyle w:val="Compact"/>
        <w:numPr>
          <w:ilvl w:val="0"/>
          <w:numId w:val="1011"/>
        </w:numPr>
      </w:pPr>
      <w:r>
        <w:rPr>
          <w:b/>
          <w:bCs/>
        </w:rPr>
        <w:t xml:space="preserve">Index influence</w:t>
      </w:r>
      <w:r>
        <w:t xml:space="preserve"> </w:t>
      </w:r>
      <w:r>
        <w:t xml:space="preserve">— particularly from the Chilean acoustic survey — should be examined through a leave-one-out robustness axis, noting that</w:t>
      </w:r>
      <w:r>
        <w:t xml:space="preserve"> </w:t>
      </w:r>
      <w:r>
        <w:rPr>
          <w:rStyle w:val="VerbatimChar"/>
        </w:rPr>
        <w:t xml:space="preserve">cjm.oem</w:t>
      </w:r>
      <w:r>
        <w:t xml:space="preserve"> </w:t>
      </w:r>
      <w:r>
        <w:t xml:space="preserve">already supports this infrastructure.</w:t>
      </w:r>
    </w:p>
    <w:p>
      <w:pPr>
        <w:pStyle w:val="Compact"/>
        <w:numPr>
          <w:ilvl w:val="0"/>
          <w:numId w:val="1011"/>
        </w:numPr>
      </w:pPr>
      <w:r>
        <w:rPr>
          <w:b/>
          <w:bCs/>
        </w:rPr>
        <w:t xml:space="preserve">Recruitment regime differences</w:t>
      </w:r>
      <w:r>
        <w:t xml:space="preserve"> </w:t>
      </w:r>
      <w:r>
        <w:t xml:space="preserve">should be preserved in</w:t>
      </w:r>
      <w:r>
        <w:t xml:space="preserve"> </w:t>
      </w:r>
      <w:r>
        <w:rPr>
          <w:rStyle w:val="VerbatimChar"/>
        </w:rPr>
        <w:t xml:space="preserve">h2</w:t>
      </w:r>
      <w:r>
        <w:t xml:space="preserve"> </w:t>
      </w:r>
      <w:r>
        <w:t xml:space="preserve">and examined as a robustness dimension in</w:t>
      </w:r>
      <w:r>
        <w:t xml:space="preserve"> </w:t>
      </w:r>
      <w:r>
        <w:rPr>
          <w:rStyle w:val="VerbatimChar"/>
        </w:rPr>
        <w:t xml:space="preserve">h1</w:t>
      </w:r>
      <w:r>
        <w:t xml:space="preserve">, with explicit attention to recent above-curve recruitments.</w:t>
      </w:r>
    </w:p>
    <w:p>
      <w:pPr>
        <w:pStyle w:val="Compact"/>
        <w:numPr>
          <w:ilvl w:val="0"/>
          <w:numId w:val="1011"/>
        </w:numPr>
      </w:pPr>
      <w:r>
        <w:rPr>
          <w:b/>
          <w:bCs/>
        </w:rPr>
        <w:t xml:space="preserve">Reference points</w:t>
      </w:r>
      <w:r>
        <w:t xml:space="preserve"> </w:t>
      </w:r>
      <w:r>
        <w:t xml:space="preserve">should be fixed using the terminal selectivity block, calculated once before MSE simulation begins, to ensure internal consistency.</w:t>
      </w:r>
    </w:p>
    <w:p>
      <w:pPr>
        <w:pStyle w:val="Compact"/>
        <w:numPr>
          <w:ilvl w:val="0"/>
          <w:numId w:val="1011"/>
        </w:numPr>
      </w:pPr>
      <w:r>
        <w:rPr>
          <w:b/>
          <w:bCs/>
        </w:rPr>
        <w:t xml:space="preserve">Far North selectivity</w:t>
      </w:r>
      <w:r>
        <w:t xml:space="preserve"> </w:t>
      </w:r>
      <w:r>
        <w:t xml:space="preserve">should be harmonized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before operating model comparisons, while retaining the biological differences (M, maturity, weight-at-age) that motivate the two-stock hypothesis.</w:t>
      </w:r>
    </w:p>
    <w:p>
      <w:pPr>
        <w:pStyle w:val="Compact"/>
        <w:numPr>
          <w:ilvl w:val="0"/>
          <w:numId w:val="1011"/>
        </w:numPr>
      </w:pPr>
      <w:r>
        <w:rPr>
          <w:b/>
          <w:bCs/>
        </w:rPr>
        <w:t xml:space="preserve">Northern stock biology uncertainty</w:t>
      </w:r>
      <w:r>
        <w:t xml:space="preserve"> </w:t>
      </w:r>
      <w:r>
        <w:t xml:space="preserve">(growth, M) should be noted as a candidate robustness scenario for later phases of the MSE programme.</w:t>
      </w:r>
    </w:p>
    <w:p>
      <w:pPr>
        <w:pStyle w:val="FirstParagraph"/>
      </w:pPr>
      <w:r>
        <w:t xml:space="preserve">The next step is to construct and compare simplified alternatives that remain faithful to the broad SC13 assessment picture while avoiding the complicated issues identified during the July 2025 MSE workshop. The reviewer comments documented here provide a prioritized roadmap for that work.</w:t>
      </w:r>
    </w:p>
    <w:bookmarkEnd w:id="100"/>
    <w:bookmarkStart w:id="110"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01"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01"/>
    <w:bookmarkStart w:id="102"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02"/>
    <w:bookmarkStart w:id="103"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03"/>
    <w:bookmarkStart w:id="104"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04"/>
    <w:bookmarkStart w:id="105"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05"/>
    <w:bookmarkStart w:id="106"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06"/>
    <w:bookmarkStart w:id="107"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07"/>
    <w:bookmarkStart w:id="108"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08"/>
    <w:bookmarkStart w:id="109"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w:r>
        <w:rPr>
          <w:rStyle w:val="VerbatimChar"/>
        </w:rPr>
        <w:t xml:space="preserve">FMSY</w:t>
      </w:r>
      <w:r>
        <w:t xml:space="preserve">,</w:t>
      </w:r>
      <w:r>
        <w:t xml:space="preserve"> </w:t>
      </w:r>
      <w:r>
        <w:rPr>
          <w:rStyle w:val="VerbatimChar"/>
        </w:rPr>
        <w:t xml:space="preserve">MSY</w:t>
      </w:r>
      <w:r>
        <w:t xml:space="preserve">, and</w:t>
      </w:r>
      <w:r>
        <w:t xml:space="preserve"> </w:t>
      </w:r>
      <w:r>
        <w:rPr>
          <w:rStyle w:val="VerbatimChar"/>
        </w:rPr>
        <w:t xml:space="preserve">BMSY</w:t>
      </w:r>
      <w:r>
        <w:t xml:space="preserve"> </w:t>
      </w:r>
      <w:r>
        <w:t xml:space="preserve">vary through time in the SC13 assessment rather than remaining fixed constants.</w:t>
      </w:r>
    </w:p>
    <w:bookmarkEnd w:id="109"/>
    <w:bookmarkEnd w:id="110"/>
    <w:bookmarkStart w:id="144" w:name="references"/>
    <w:p>
      <w:pPr>
        <w:pStyle w:val="Heading1"/>
      </w:pPr>
      <w:r>
        <w:t xml:space="preserve">References</w:t>
      </w:r>
    </w:p>
    <w:bookmarkStart w:id="143" w:name="refs"/>
    <w:bookmarkStart w:id="112" w:name="ref-vonbertalanffy1957growth"/>
    <w:p>
      <w:pPr>
        <w:pStyle w:val="Bibliography"/>
      </w:pPr>
      <w:r>
        <w:t xml:space="preserve">Bertalanffy, L. von. (1957). Quantitative laws in metabolism and growth.</w:t>
      </w:r>
      <w:r>
        <w:t xml:space="preserve"> </w:t>
      </w:r>
      <w:r>
        <w:rPr>
          <w:i/>
          <w:iCs/>
        </w:rPr>
        <w:t xml:space="preserve">The Quarterly Review of Biology</w:t>
      </w:r>
      <w:r>
        <w:t xml:space="preserve">,</w:t>
      </w:r>
      <w:r>
        <w:t xml:space="preserve"> </w:t>
      </w:r>
      <w:r>
        <w:rPr>
          <w:i/>
          <w:iCs/>
        </w:rPr>
        <w:t xml:space="preserve">32</w:t>
      </w:r>
      <w:r>
        <w:t xml:space="preserve">(3), 217–231.</w:t>
      </w:r>
      <w:r>
        <w:t xml:space="preserve"> </w:t>
      </w:r>
      <w:hyperlink r:id="rId111">
        <w:r>
          <w:rPr>
            <w:rStyle w:val="Hyperlink"/>
          </w:rPr>
          <w:t xml:space="preserve">https://doi.org/10.1086/401873</w:t>
        </w:r>
      </w:hyperlink>
    </w:p>
    <w:bookmarkEnd w:id="112"/>
    <w:bookmarkStart w:id="113"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13"/>
    <w:bookmarkStart w:id="115"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14">
        <w:r>
          <w:rPr>
            <w:rStyle w:val="Hyperlink"/>
          </w:rPr>
          <w:t xml:space="preserve">https://doi.org/10.1006/jmsc.1999.0532</w:t>
        </w:r>
      </w:hyperlink>
    </w:p>
    <w:bookmarkEnd w:id="115"/>
    <w:bookmarkStart w:id="117"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16">
        <w:r>
          <w:rPr>
            <w:rStyle w:val="Hyperlink"/>
          </w:rPr>
          <w:t xml:space="preserve">https://www.iccat.int/Documents/CVSP/CV081_2024/n_2/CV08102149.pdf</w:t>
        </w:r>
      </w:hyperlink>
    </w:p>
    <w:bookmarkEnd w:id="117"/>
    <w:bookmarkStart w:id="119"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18">
        <w:r>
          <w:rPr>
            <w:rStyle w:val="Hyperlink"/>
          </w:rPr>
          <w:t xml:space="preserve">https://doi.org/10.1080/10556788.2011.597854</w:t>
        </w:r>
      </w:hyperlink>
    </w:p>
    <w:bookmarkEnd w:id="119"/>
    <w:bookmarkStart w:id="121"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20">
        <w:r>
          <w:rPr>
            <w:rStyle w:val="Hyperlink"/>
          </w:rPr>
          <w:t xml:space="preserve">https://doi.org/10.1139/f82-157</w:t>
        </w:r>
      </w:hyperlink>
    </w:p>
    <w:bookmarkEnd w:id="121"/>
    <w:bookmarkStart w:id="123"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22">
        <w:r>
          <w:rPr>
            <w:rStyle w:val="Hyperlink"/>
          </w:rPr>
          <w:t xml:space="preserve">https://doi.org/10.1139/f2011-025</w:t>
        </w:r>
      </w:hyperlink>
    </w:p>
    <w:bookmarkEnd w:id="123"/>
    <w:bookmarkStart w:id="125"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24">
        <w:r>
          <w:rPr>
            <w:rStyle w:val="Hyperlink"/>
          </w:rPr>
          <w:t xml:space="preserve">https://doi.org/10.1007/978-1-4615-3598-0</w:t>
        </w:r>
      </w:hyperlink>
    </w:p>
    <w:bookmarkEnd w:id="125"/>
    <w:bookmarkStart w:id="127"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26">
        <w:r>
          <w:rPr>
            <w:rStyle w:val="Hyperlink"/>
          </w:rPr>
          <w:t xml:space="preserve">https://doi.org/10.1093/icesjms/fsq173</w:t>
        </w:r>
      </w:hyperlink>
    </w:p>
    <w:bookmarkEnd w:id="127"/>
    <w:bookmarkStart w:id="128" w:name="ref-mccullagh1989glm"/>
    <w:p>
      <w:pPr>
        <w:pStyle w:val="Bibliography"/>
      </w:pPr>
      <w:r>
        <w:t xml:space="preserve">McCullagh, P., &amp; Nelder, J. A. (1989).</w:t>
      </w:r>
      <w:r>
        <w:t xml:space="preserve"> </w:t>
      </w:r>
      <w:r>
        <w:rPr>
          <w:i/>
          <w:iCs/>
        </w:rPr>
        <w:t xml:space="preserve">Generalized linear models</w:t>
      </w:r>
      <w:r>
        <w:t xml:space="preserve"> </w:t>
      </w:r>
      <w:r>
        <w:t xml:space="preserve">(2nd ed.). Chapman; Hall.</w:t>
      </w:r>
    </w:p>
    <w:bookmarkEnd w:id="128"/>
    <w:bookmarkStart w:id="130" w:name="ref-nelder1972glm"/>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129">
        <w:r>
          <w:rPr>
            <w:rStyle w:val="Hyperlink"/>
          </w:rPr>
          <w:t xml:space="preserve">https://doi.org/10.2307/2344614</w:t>
        </w:r>
      </w:hyperlink>
    </w:p>
    <w:bookmarkEnd w:id="130"/>
    <w:bookmarkStart w:id="132"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31">
        <w:r>
          <w:rPr>
            <w:rStyle w:val="Hyperlink"/>
          </w:rPr>
          <w:t xml:space="preserve">https://doi.org/10.1111/faf.12104</w:t>
        </w:r>
      </w:hyperlink>
    </w:p>
    <w:bookmarkEnd w:id="132"/>
    <w:bookmarkStart w:id="134"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33">
        <w:r>
          <w:rPr>
            <w:rStyle w:val="Hyperlink"/>
          </w:rPr>
          <w:t xml:space="preserve">https://doi.org/10.1073/pnas.1820344116</w:t>
        </w:r>
      </w:hyperlink>
    </w:p>
    <w:bookmarkEnd w:id="134"/>
    <w:bookmarkStart w:id="136"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35">
        <w:r>
          <w:rPr>
            <w:rStyle w:val="Hyperlink"/>
          </w:rPr>
          <w:t xml:space="preserve">https://doi.org/10.1139/f95-800</w:t>
        </w:r>
      </w:hyperlink>
    </w:p>
    <w:bookmarkEnd w:id="136"/>
    <w:bookmarkStart w:id="138"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37">
        <w:r>
          <w:rPr>
            <w:rStyle w:val="Hyperlink"/>
          </w:rPr>
          <w:t xml:space="preserve">https://doi.org/10.1111/faf.12579</w:t>
        </w:r>
      </w:hyperlink>
    </w:p>
    <w:bookmarkEnd w:id="138"/>
    <w:bookmarkStart w:id="140"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39">
        <w:r>
          <w:rPr>
            <w:rStyle w:val="Hyperlink"/>
          </w:rPr>
          <w:t xml:space="preserve">https://www.sprfmo.int/assets/Meetings/02-SC/13th-SC-2025/Jack-Mackerel/SC13-JM09-Report-of-the-JMWG-Management-Strategy-Evaluation-Technical-Workshop.pdf</w:t>
        </w:r>
      </w:hyperlink>
    </w:p>
    <w:bookmarkEnd w:id="140"/>
    <w:bookmarkStart w:id="142"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41">
        <w:r>
          <w:rPr>
            <w:rStyle w:val="Hyperlink"/>
          </w:rPr>
          <w:t xml:space="preserve">https://sprfmo.int/assets/Meetings/02-SC/13th-SC-2025/SC13-Report-Annex-11_final.pdf</w:t>
        </w:r>
      </w:hyperlink>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88" Target="media/rId8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hyperlink" Id="rId114" Target="https://doi.org/10.1006/jmsc.1999.0532" TargetMode="External" /><Relationship Type="http://schemas.openxmlformats.org/officeDocument/2006/relationships/hyperlink" Id="rId124" Target="https://doi.org/10.1007/978-1-4615-3598-0" TargetMode="External" /><Relationship Type="http://schemas.openxmlformats.org/officeDocument/2006/relationships/hyperlink" Id="rId133" Target="https://doi.org/10.1073/pnas.1820344116" TargetMode="External" /><Relationship Type="http://schemas.openxmlformats.org/officeDocument/2006/relationships/hyperlink" Id="rId118" Target="https://doi.org/10.1080/10556788.2011.597854" TargetMode="External" /><Relationship Type="http://schemas.openxmlformats.org/officeDocument/2006/relationships/hyperlink" Id="rId111" Target="https://doi.org/10.1086/401873" TargetMode="External" /><Relationship Type="http://schemas.openxmlformats.org/officeDocument/2006/relationships/hyperlink" Id="rId126" Target="https://doi.org/10.1093/icesjms/fsq173" TargetMode="External" /><Relationship Type="http://schemas.openxmlformats.org/officeDocument/2006/relationships/hyperlink" Id="rId131" Target="https://doi.org/10.1111/faf.12104" TargetMode="External" /><Relationship Type="http://schemas.openxmlformats.org/officeDocument/2006/relationships/hyperlink" Id="rId137" Target="https://doi.org/10.1111/faf.12579" TargetMode="External" /><Relationship Type="http://schemas.openxmlformats.org/officeDocument/2006/relationships/hyperlink" Id="rId122" Target="https://doi.org/10.1139/f2011-025" TargetMode="External" /><Relationship Type="http://schemas.openxmlformats.org/officeDocument/2006/relationships/hyperlink" Id="rId120" Target="https://doi.org/10.1139/f82-157" TargetMode="External" /><Relationship Type="http://schemas.openxmlformats.org/officeDocument/2006/relationships/hyperlink" Id="rId135" Target="https://doi.org/10.1139/f95-800" TargetMode="External" /><Relationship Type="http://schemas.openxmlformats.org/officeDocument/2006/relationships/hyperlink" Id="rId129"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41" Target="https://sprfmo.int/assets/Meetings/02-SC/13th-SC-2025/SC13-Report-Annex-11_final.pdf" TargetMode="External" /><Relationship Type="http://schemas.openxmlformats.org/officeDocument/2006/relationships/hyperlink" Id="rId116" Target="https://www.iccat.int/Documents/CVSP/CV081_2024/n_2/CV08102149.pdf" TargetMode="External" /><Relationship Type="http://schemas.openxmlformats.org/officeDocument/2006/relationships/hyperlink" Id="rId139"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6/jmsc.1999.0532" TargetMode="External" /><Relationship Type="http://schemas.openxmlformats.org/officeDocument/2006/relationships/hyperlink" Id="rId124" Target="https://doi.org/10.1007/978-1-4615-3598-0" TargetMode="External" /><Relationship Type="http://schemas.openxmlformats.org/officeDocument/2006/relationships/hyperlink" Id="rId133" Target="https://doi.org/10.1073/pnas.1820344116" TargetMode="External" /><Relationship Type="http://schemas.openxmlformats.org/officeDocument/2006/relationships/hyperlink" Id="rId118" Target="https://doi.org/10.1080/10556788.2011.597854" TargetMode="External" /><Relationship Type="http://schemas.openxmlformats.org/officeDocument/2006/relationships/hyperlink" Id="rId111" Target="https://doi.org/10.1086/401873" TargetMode="External" /><Relationship Type="http://schemas.openxmlformats.org/officeDocument/2006/relationships/hyperlink" Id="rId126" Target="https://doi.org/10.1093/icesjms/fsq173" TargetMode="External" /><Relationship Type="http://schemas.openxmlformats.org/officeDocument/2006/relationships/hyperlink" Id="rId131" Target="https://doi.org/10.1111/faf.12104" TargetMode="External" /><Relationship Type="http://schemas.openxmlformats.org/officeDocument/2006/relationships/hyperlink" Id="rId137" Target="https://doi.org/10.1111/faf.12579" TargetMode="External" /><Relationship Type="http://schemas.openxmlformats.org/officeDocument/2006/relationships/hyperlink" Id="rId122" Target="https://doi.org/10.1139/f2011-025" TargetMode="External" /><Relationship Type="http://schemas.openxmlformats.org/officeDocument/2006/relationships/hyperlink" Id="rId120" Target="https://doi.org/10.1139/f82-157" TargetMode="External" /><Relationship Type="http://schemas.openxmlformats.org/officeDocument/2006/relationships/hyperlink" Id="rId135" Target="https://doi.org/10.1139/f95-800" TargetMode="External" /><Relationship Type="http://schemas.openxmlformats.org/officeDocument/2006/relationships/hyperlink" Id="rId129" Target="https://doi.org/10.2307/2344614" TargetMode="External" /><Relationship Type="http://schemas.openxmlformats.org/officeDocument/2006/relationships/hyperlink" Id="rId24" Target="https://sprfmo.github.io/SCW15_report/" TargetMode="External" /><Relationship Type="http://schemas.openxmlformats.org/officeDocument/2006/relationships/hyperlink" Id="rId141" Target="https://sprfmo.int/assets/Meetings/02-SC/13th-SC-2025/SC13-Report-Annex-11_final.pdf" TargetMode="External" /><Relationship Type="http://schemas.openxmlformats.org/officeDocument/2006/relationships/hyperlink" Id="rId116" Target="https://www.iccat.int/Documents/CVSP/CV081_2024/n_2/CV08102149.pdf" TargetMode="External" /><Relationship Type="http://schemas.openxmlformats.org/officeDocument/2006/relationships/hyperlink" Id="rId139"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2026-03-20T00:08:31Z</dcterms:created>
  <dcterms:modified xsi:type="dcterms:W3CDTF">2026-03-20T00:08:31Z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shorttitle">
    <vt:lpwstr>Working paper JM-WP-BM-01</vt:lpwstr>
  </property>
  <property fmtid="{D5CDD505-2E9C-101B-9397-08002B2CF9AE}" pid="12" name="title-block">
    <vt:lpwstr>False</vt:lpwstr>
  </property>
  <property fmtid="{D5CDD505-2E9C-101B-9397-08002B2CF9AE}" pid="13" name="toc-title">
    <vt:lpwstr>Table of contents</vt:lpwstr>
  </property>
</Properties>
</file>