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7.png" ContentType="image/png"/>
  <Override PartName="/word/media/rId130.png" ContentType="image/png"/>
  <Override PartName="/word/media/rId138.png" ContentType="image/png"/>
  <Override PartName="/word/media/rId134.png" ContentType="image/png"/>
  <Override PartName="/word/media/rId123.png" ContentType="image/png"/>
  <Override PartName="/word/media/rId43.png" ContentType="image/png"/>
  <Override PartName="/word/media/rId39.png" ContentType="image/png"/>
  <Override PartName="/word/media/rId77.png" ContentType="image/png"/>
  <Override PartName="/word/media/rId73.png" ContentType="image/png"/>
  <Override PartName="/word/media/rId57.png" ContentType="image/png"/>
  <Override PartName="/word/media/rId61.png" ContentType="image/png"/>
  <Override PartName="/word/media/rId85.png" ContentType="image/png"/>
  <Override PartName="/word/media/rId89.png" ContentType="image/png"/>
  <Override PartName="/word/media/rId81.png" ContentType="image/png"/>
  <Override PartName="/word/media/rId99.png" ContentType="image/png"/>
  <Override PartName="/word/media/rId103.png" ContentType="image/png"/>
  <Override PartName="/word/media/rId109.png" ContentType="image/png"/>
  <Override PartName="/word/media/rId113.png" ContentType="image/png"/>
  <Override PartName="/word/media/rId9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Working paper JM-WP-BM-01</w:t>
      </w:r>
    </w:p>
    <w:bookmarkStart w:id="24"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rPr>
          <w:b/>
          <w:bCs/>
        </w:rPr>
        <w:t xml:space="preserve">3.</w:t>
      </w:r>
      <w:r>
        <w:t xml:space="preserve"> </w:t>
      </w:r>
      <w:r>
        <w:t xml:space="preserve">The immediate justification for beginning this work is to avoid carrying into MSE several complicated features that were identified during the</w:t>
      </w:r>
      <w:r>
        <w:t xml:space="preserve"> </w:t>
      </w:r>
      <w:hyperlink r:id="rId23">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b/>
          <w:bCs/>
        </w:rPr>
        <w:t xml:space="preserve">4.</w:t>
      </w:r>
      <w:r>
        <w:t xml:space="preserve"> </w:t>
      </w:r>
      <w:r>
        <w:rPr>
          <w:i/>
          <w:iCs/>
        </w:rPr>
        <w:t xml:space="preserve">This revision incorporates comments from Iago Mosqueira (IPSC/JRC) on selectivity uncertainty, index influence, recruitment regimes, reference point consistency, and northern stock harmonization. Notes appear in callout boxes throughout Section 6.</w:t>
      </w:r>
    </w:p>
    <w:bookmarkEnd w:id="24"/>
    <w:bookmarkStart w:id="25" w:name="introduction"/>
    <w:p>
      <w:pPr>
        <w:pStyle w:val="Heading1"/>
      </w:pPr>
      <w:r>
        <w:t xml:space="preserve">1. Introduction</w:t>
      </w:r>
    </w:p>
    <w:p>
      <w:pPr>
        <w:pStyle w:val="FirstParagraph"/>
      </w:pPr>
      <w:r>
        <w:rPr>
          <w:b/>
          <w:bCs/>
        </w:rPr>
        <w:t xml:space="preserve">5.</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rPr>
          <w:b/>
          <w:bCs/>
        </w:rPr>
        <w:t xml:space="preserve">6.</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7.</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8.</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rPr>
          <w:b/>
          <w:bCs/>
        </w:rPr>
        <w:t xml:space="preserve">9.</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10.</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rPr>
          <w:b/>
          <w:bCs/>
        </w:rPr>
        <w:t xml:space="preserve">11.</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12.</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rPr>
          <w:b/>
          <w:bCs/>
        </w:rPr>
        <w:t xml:space="preserve">13.</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14.</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15.</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16.</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rPr>
          <w:b/>
          <w:bCs/>
        </w:rPr>
        <w:t xml:space="preserve">17.</w:t>
      </w:r>
      <w:r>
        <w:t xml:space="preserve"> </w:t>
      </w: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rPr>
          <w:b/>
          <w:bCs/>
        </w:rPr>
        <w:t xml:space="preserve">18.</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19.</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20.</w:t>
      </w:r>
      <w:r>
        <w:t xml:space="preserve"> </w:t>
      </w: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rPr>
          <w:b/>
          <w:bCs/>
        </w:rPr>
        <w:t xml:space="preserve">21.</w:t>
      </w:r>
      <w:r>
        <w:t xml:space="preserve"> </w:t>
      </w:r>
      <w:r>
        <w:t xml:space="preserve">The SC13 annex states that</w:t>
      </w:r>
      <w:r>
        <w:t xml:space="preserve"> </w:t>
      </w:r>
      <m:oMath>
        <m:r>
          <m:t>M</m:t>
        </m:r>
        <m:r>
          <m:t>S</m:t>
        </m:r>
        <m:r>
          <m:t>Y</m:t>
        </m:r>
      </m:oMath>
      <w:r>
        <w:t xml:space="preserve">,</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m:oMath>
        <m:sSub>
          <m:e>
            <m:r>
              <m:t>B</m:t>
            </m:r>
          </m:e>
          <m:sub>
            <m:r>
              <m:t>M</m:t>
            </m:r>
            <m:r>
              <m:t>S</m:t>
            </m:r>
            <m:r>
              <m:t>Y</m:t>
            </m:r>
          </m:sub>
        </m:sSub>
      </m:oMath>
      <w:r>
        <w:t xml:space="preserve"> </w:t>
      </w:r>
      <w:r>
        <w:t xml:space="preserve">as the reference biomass quantity for comparison.</w:t>
      </w:r>
    </w:p>
    <w:p>
      <w:pPr>
        <w:pStyle w:val="BodyText"/>
      </w:pPr>
      <w:r>
        <w:rPr>
          <w:b/>
          <w:bCs/>
        </w:rPr>
        <w:t xml:space="preserve">22.</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6"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23.</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24.</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25.</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26.</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27.</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28.</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29.</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5" w:name="summary-comparison"/>
    <w:p>
      <w:pPr>
        <w:pStyle w:val="Heading2"/>
      </w:pPr>
      <w:r>
        <w:t xml:space="preserve">4.3 Summary Comparison</w:t>
      </w:r>
    </w:p>
    <w:p>
      <w:pPr>
        <w:pStyle w:val="FirstParagraph"/>
      </w:pPr>
      <w:r>
        <w:rPr>
          <w:b/>
          <w:bCs/>
        </w:rPr>
        <w:t xml:space="preserve">30.</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4"/>
          <w:p/>
        </w:tc>
      </w:tr>
    </w:tbl>
    <w:p>
      <w:pPr>
        <w:pStyle w:val="BodyText"/>
      </w:pPr>
      <w:r>
        <w:rPr>
          <w:b/>
          <w:bCs/>
        </w:rPr>
        <w:t xml:space="preserve">31.</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base-model-considerations"/>
    <w:p>
      <w:pPr>
        <w:pStyle w:val="Heading1"/>
      </w:pPr>
      <w:r>
        <w:t xml:space="preserve">5. Base model considerations</w:t>
      </w:r>
    </w:p>
    <w:p>
      <w:pPr>
        <w:pStyle w:val="FirstParagraph"/>
      </w:pPr>
      <w:r>
        <w:rPr>
          <w:b/>
          <w:bCs/>
        </w:rPr>
        <w:t xml:space="preserve">32.</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33.</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34.</w:t>
      </w:r>
      <w:r>
        <w:t xml:space="preserve"> </w:t>
      </w:r>
      <w:r>
        <w:t xml:space="preserve">In the base model the reference points are dynamic.</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35.</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36.</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146" w:name="proposed-simplified-alternatives"/>
    <w:p>
      <w:pPr>
        <w:pStyle w:val="Heading1"/>
      </w:pPr>
      <w:r>
        <w:t xml:space="preserve">6. Proposed Simplified Alternatives</w:t>
      </w:r>
    </w:p>
    <w:p>
      <w:pPr>
        <w:pStyle w:val="FirstParagraph"/>
      </w:pPr>
      <w:r>
        <w:rPr>
          <w:b/>
          <w:bCs/>
        </w:rPr>
        <w:t xml:space="preserve">37.</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38.</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4"/>
              <w:gridCol w:w="295"/>
              <w:gridCol w:w="295"/>
              <w:gridCol w:w="2104"/>
              <w:gridCol w:w="2806"/>
              <w:gridCol w:w="223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bl>
          <w:bookmarkEnd w:id="38"/>
          <w:p/>
        </w:tc>
      </w:tr>
    </w:tbl>
    <w:p>
      <w:pPr>
        <w:pStyle w:val="BodyText"/>
      </w:pPr>
      <w:r>
        <w:rPr>
          <w:b/>
          <w:bCs/>
        </w:rPr>
        <w:t xml:space="preserve">39.</w:t>
      </w:r>
      <w:r>
        <w:t xml:space="preserve"> </w:t>
      </w:r>
      <w:r>
        <w:t xml:space="preserve">The</w:t>
      </w:r>
      <w:r>
        <w:t xml:space="preserve"> </w:t>
      </w:r>
      <w:r>
        <w:rPr>
          <w:rStyle w:val="VerbatimChar"/>
        </w:rPr>
        <w:t xml:space="preserve">h2_2.00</w:t>
      </w:r>
      <w:r>
        <w:t xml:space="preserve"> </w:t>
      </w:r>
      <w:r>
        <w:t xml:space="preserve">serves as the two-stock reduced-index analogue,</w:t>
      </w:r>
      <w:r>
        <w:br/>
      </w:r>
      <w:r>
        <w:t xml:space="preserve">while</w:t>
      </w:r>
      <w:r>
        <w:t xml:space="preserve"> </w:t>
      </w:r>
      <w:r>
        <w:rPr>
          <w:rStyle w:val="VerbatimChar"/>
        </w:rPr>
        <w:t xml:space="preserve">h2_2.02</w:t>
      </w:r>
      <w:r>
        <w:t xml:space="preserve"> </w:t>
      </w:r>
      <w:r>
        <w:t xml:space="preserve">frames the harmonized Far North selectivity treatment.</w:t>
      </w:r>
    </w:p>
    <w:bookmarkStart w:id="50" w:name="reduced-number-of-indices"/>
    <w:p>
      <w:pPr>
        <w:pStyle w:val="Heading2"/>
      </w:pPr>
      <w:r>
        <w:t xml:space="preserve">6.1 Reduced number of indices</w:t>
      </w:r>
    </w:p>
    <w:p>
      <w:pPr>
        <w:pStyle w:val="FirstParagraph"/>
      </w:pPr>
      <w:r>
        <w:rPr>
          <w:b/>
          <w:bCs/>
        </w:rPr>
        <w:t xml:space="preserve">40.</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41.</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JM-WP-BM-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JM-WP-BM-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rPr>
          <w:b/>
          <w:bCs/>
        </w:rPr>
        <w:t xml:space="preserve">42.</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43.</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44.</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119" w:name="simplified-selectivity-alternatives"/>
    <w:p>
      <w:pPr>
        <w:pStyle w:val="Heading2"/>
      </w:pPr>
      <w:r>
        <w:t xml:space="preserve">6.2 Simplified Selectivity Alternatives</w:t>
      </w:r>
    </w:p>
    <w:p>
      <w:pPr>
        <w:pStyle w:val="FirstParagraph"/>
      </w:pPr>
      <w:r>
        <w:rPr>
          <w:b/>
          <w:bCs/>
        </w:rPr>
        <w:t xml:space="preserve">45.</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46.</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8" w:name="X518721fe55853f821d30f8adb270621fb439ada"/>
    <w:p>
      <w:pPr>
        <w:pStyle w:val="Heading3"/>
      </w:pPr>
      <w:r>
        <w:t xml:space="preserve">Selectivity Time-Block Reduction by Fleet</w:t>
      </w:r>
    </w:p>
    <w:p>
      <w:pPr>
        <w:pStyle w:val="FirstParagraph"/>
      </w:pPr>
      <w:r>
        <w:rPr>
          <w:b/>
          <w:bCs/>
        </w:rPr>
        <w:t xml:space="preserve">47.</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rPr>
          <w:b/>
          <w:bCs/>
        </w:rPr>
        <w:t xml:space="preserve">48.</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49.</w:t>
      </w:r>
      <w:r>
        <w:t xml:space="preserve"> </w:t>
      </w: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rPr>
          <w:b/>
          <w:bCs/>
        </w:rPr>
        <w:t xml:space="preserve">50.</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51.</w:t>
      </w:r>
      <w:r>
        <w:t xml:space="preserve"> </w:t>
      </w: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rPr>
          <w:b/>
          <w:bCs/>
        </w:rPr>
        <w:t xml:space="preserve">52.</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53.</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rPr>
          <w:b/>
          <w:bCs/>
        </w:rPr>
        <w:t xml:space="preserve">54.</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55.</w:t>
      </w:r>
      <w:r>
        <w:t xml:space="preserve"> </w:t>
      </w: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rPr>
          <w:b/>
          <w:bCs/>
        </w:rPr>
        <w:t xml:space="preserve">56.</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57.</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rPr>
          <w:b/>
          <w:bCs/>
        </w:rPr>
        <w:t xml:space="preserve">58.</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59.</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60.</w:t>
      </w:r>
      <w:r>
        <w:t xml:space="preserve"> </w:t>
      </w:r>
      <w:r>
        <w:t xml:space="preserve">These broad breakpoints also align with changes in fishing pressure, the stock rebuilding phase, and the model note that recent selectivity favors older fish.</w:t>
      </w:r>
    </w:p>
    <w:bookmarkEnd w:id="56"/>
    <w:bookmarkStart w:id="117" w:name="illustrative-fit-with-selectivity-blocks"/>
    <w:p>
      <w:pPr>
        <w:pStyle w:val="Heading4"/>
      </w:pPr>
      <w:r>
        <w:t xml:space="preserve">Illustrative fit with selectivity blocks</w:t>
      </w:r>
    </w:p>
    <w:p>
      <w:pPr>
        <w:pStyle w:val="FirstParagraph"/>
      </w:pPr>
      <w:r>
        <w:rPr>
          <w:b/>
          <w:bCs/>
        </w:rPr>
        <w:t xml:space="preserve">61.</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JM-WP-BM-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JM-WP-BM-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p>
      <w:pPr>
        <w:pStyle w:val="BodyText"/>
      </w:pPr>
      <w:r>
        <w:rPr>
          <w:b/>
          <w:bCs/>
        </w:rPr>
        <w:t xml:space="preserve">62.</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5</w:t>
        </w:r>
      </w:hyperlink>
      <w:r>
        <w:t xml:space="preserve"> </w:t>
      </w:r>
      <w:r>
        <w:t xml:space="preserve">and</w:t>
      </w:r>
      <w:r>
        <w:t xml:space="preserve"> </w:t>
      </w:r>
      <w:hyperlink w:anchor="fig-selectivity-blocks-rec">
        <w:r>
          <w:rPr>
            <w:rStyle w:val="Hyperlink"/>
          </w:rPr>
          <w:t xml:space="preserve">Figure 6</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63.</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66"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66"/>
        </w:tc>
      </w:tr>
    </w:tbl>
    <w:p>
      <w:pPr>
        <w:pStyle w:val="BodyText"/>
      </w:pPr>
      <w:r>
        <w:rPr>
          <w:b/>
          <w:bCs/>
        </w:rPr>
        <w:t xml:space="preserve">64.</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65.</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66.</w:t>
      </w:r>
      <w:r>
        <w:t xml:space="preserve"> </w:t>
      </w:r>
      <w:r>
        <w:t xml:space="preserve">The visual fit to the retained and comparable abundance indices is shown in</w:t>
      </w:r>
      <w:r>
        <w:t xml:space="preserve"> </w:t>
      </w:r>
      <w:hyperlink w:anchor="fig-h1-index-fits">
        <w:r>
          <w:rPr>
            <w:rStyle w:val="Hyperlink"/>
          </w:rPr>
          <w:t xml:space="preserve">Figure 4</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70" w:name="fig-h1-index-fits"/>
          <w:p>
            <w:pPr>
              <w:pStyle w:val="Compact"/>
              <w:jc w:val="center"/>
            </w:pPr>
            <w:r>
              <w:drawing>
                <wp:inline>
                  <wp:extent cx="5334000" cy="4333875"/>
                  <wp:effectExtent b="0" l="0" r="0" t="0"/>
                  <wp:docPr descr="" title="" id="68" name="Picture"/>
                  <a:graphic>
                    <a:graphicData uri="http://schemas.openxmlformats.org/drawingml/2006/picture">
                      <pic:pic>
                        <pic:nvPicPr>
                          <pic:cNvPr descr="JM-WP-BM-01_files/figure-docx/fig-h1-index-fits-1.png" id="69" name="Picture"/>
                          <pic:cNvPicPr>
                            <a:picLocks noChangeArrowheads="1" noChangeAspect="1"/>
                          </pic:cNvPicPr>
                        </pic:nvPicPr>
                        <pic:blipFill>
                          <a:blip r:embed="rId67"/>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70"/>
        </w:tc>
      </w:tr>
    </w:tbl>
    <w:p>
      <w:pPr>
        <w:pStyle w:val="BodyText"/>
      </w:pPr>
      <w:r>
        <w:rPr>
          <w:b/>
          <w:bCs/>
        </w:rPr>
        <w:t xml:space="preserve">67.</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68.</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69.</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70.</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76" w:name="fig-selectivity-blocks-ssb"/>
          <w:p>
            <w:pPr>
              <w:pStyle w:val="Compact"/>
              <w:jc w:val="center"/>
            </w:pPr>
            <w:r>
              <w:drawing>
                <wp:inline>
                  <wp:extent cx="5334000" cy="3194843"/>
                  <wp:effectExtent b="0" l="0" r="0" t="0"/>
                  <wp:docPr descr="" title="" id="74" name="Picture"/>
                  <a:graphic>
                    <a:graphicData uri="http://schemas.openxmlformats.org/drawingml/2006/picture">
                      <pic:pic>
                        <pic:nvPicPr>
                          <pic:cNvPr descr="JM-WP-BM-01_files/figure-docx/fig-selectivity-blocks-ssb-1.png" id="75" name="Picture"/>
                          <pic:cNvPicPr>
                            <a:picLocks noChangeArrowheads="1" noChangeAspect="1"/>
                          </pic:cNvPicPr>
                        </pic:nvPicPr>
                        <pic:blipFill>
                          <a:blip r:embed="rId7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selectivity-blocks-rec"/>
          <w:p>
            <w:pPr>
              <w:pStyle w:val="Compact"/>
              <w:jc w:val="center"/>
            </w:pPr>
            <w:r>
              <w:drawing>
                <wp:inline>
                  <wp:extent cx="5334000" cy="3194843"/>
                  <wp:effectExtent b="0" l="0" r="0" t="0"/>
                  <wp:docPr descr="" title="" id="78" name="Picture"/>
                  <a:graphic>
                    <a:graphicData uri="http://schemas.openxmlformats.org/drawingml/2006/picture">
                      <pic:pic>
                        <pic:nvPicPr>
                          <pic:cNvPr descr="JM-WP-BM-01_files/figure-docx/fig-selectivity-blocks-rec-1.png" id="79" name="Picture"/>
                          <pic:cNvPicPr>
                            <a:picLocks noChangeArrowheads="1" noChangeAspect="1"/>
                          </pic:cNvPicPr>
                        </pic:nvPicPr>
                        <pic:blipFill>
                          <a:blip r:embed="rId77"/>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0"/>
        </w:tc>
      </w:tr>
    </w:tbl>
    <w:p>
      <w:pPr>
        <w:pStyle w:val="BodyText"/>
      </w:pPr>
      <w:r>
        <w:rPr>
          <w:b/>
          <w:bCs/>
        </w:rPr>
        <w:t xml:space="preserve">71.</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7</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tbl>
      <w:tblPr>
        <w:tblStyle w:val="Table"/>
        <w:tblW w:type="pct" w:w="5000"/>
        <w:tblLayout w:type="fixed"/>
        <w:tblLook w:firstRow="0" w:lastRow="0" w:firstColumn="0" w:lastColumn="0" w:noHBand="0" w:noVBand="0" w:val="0000"/>
      </w:tblPr>
      <w:tblGrid>
        <w:gridCol w:w="7920"/>
      </w:tblGrid>
      <w:tr>
        <w:tc>
          <w:tcPr/>
          <w:bookmarkStart w:id="84" w:name="fig-selectivity-sc-allowance-ssb"/>
          <w:p>
            <w:pPr>
              <w:pStyle w:val="Compact"/>
              <w:jc w:val="center"/>
            </w:pPr>
            <w:r>
              <w:drawing>
                <wp:inline>
                  <wp:extent cx="5334000" cy="3194843"/>
                  <wp:effectExtent b="0" l="0" r="0" t="0"/>
                  <wp:docPr descr="" title="" id="82" name="Picture"/>
                  <a:graphic>
                    <a:graphicData uri="http://schemas.openxmlformats.org/drawingml/2006/picture">
                      <pic:pic>
                        <pic:nvPicPr>
                          <pic:cNvPr descr="JM-WP-BM-01_files/figure-docx/fig-selectivity-sc-allowance-ssb-1.png" id="83" name="Picture"/>
                          <pic:cNvPicPr>
                            <a:picLocks noChangeArrowheads="1" noChangeAspect="1"/>
                          </pic:cNvPicPr>
                        </pic:nvPicPr>
                        <pic:blipFill>
                          <a:blip r:embed="rId81"/>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84"/>
        </w:tc>
      </w:tr>
    </w:tbl>
    <w:p>
      <w:pPr>
        <w:pStyle w:val="BodyText"/>
      </w:pPr>
      <w:r>
        <w:rPr>
          <w:b/>
          <w:bCs/>
        </w:rPr>
        <w:t xml:space="preserve">72.</w:t>
      </w:r>
      <w:r>
        <w:t xml:space="preserve"> </w:t>
      </w: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3"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8" w:name="fig-selectivity-sc-allowance-compare-1"/>
                <w:p>
                  <w:pPr>
                    <w:pStyle w:val="Compact"/>
                    <w:jc w:val="center"/>
                    <w:jc w:val="left"/>
                  </w:pPr>
                  <w:r>
                    <w:drawing>
                      <wp:inline>
                        <wp:extent cx="2971800" cy="4754880"/>
                        <wp:effectExtent b="0" l="0" r="0" t="0"/>
                        <wp:docPr descr="" title="" id="86" name="Picture"/>
                        <a:graphic>
                          <a:graphicData uri="http://schemas.openxmlformats.org/drawingml/2006/picture">
                            <pic:pic>
                              <pic:nvPicPr>
                                <pic:cNvPr descr="JM-WP-BM-01_files/figure-docx/fig-selectivity-sc-allowance-compare-1.png" id="87" name="Picture"/>
                                <pic:cNvPicPr>
                                  <a:picLocks noChangeArrowheads="1" noChangeAspect="1"/>
                                </pic:cNvPicPr>
                              </pic:nvPicPr>
                              <pic:blipFill>
                                <a:blip r:embed="rId8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8"/>
              </w:tc>
            </w:tr>
          </w:tbl>
          <w:p/>
        </w:tc>
        <w:tc>
          <w:tcPr/>
          <w:tbl>
            <w:tblPr>
              <w:tblStyle w:val="Table"/>
              <w:tblW w:type="pct" w:w="4900"/>
              <w:tblLayout w:type="fixed"/>
              <w:tblLook w:firstRow="0" w:lastRow="0" w:firstColumn="0" w:lastColumn="0" w:noHBand="0" w:noVBand="0" w:val="0000"/>
            </w:tblPr>
            <w:tblGrid>
              <w:gridCol w:w="7761"/>
            </w:tblGrid>
            <w:tr>
              <w:tc>
                <w:tcPr/>
                <w:bookmarkStart w:id="92" w:name="fig-selectivity-sc-allowance-compare-2"/>
                <w:p>
                  <w:pPr>
                    <w:pStyle w:val="Compact"/>
                    <w:jc w:val="center"/>
                    <w:jc w:val="left"/>
                  </w:pPr>
                  <w:r>
                    <w:drawing>
                      <wp:inline>
                        <wp:extent cx="2971800" cy="4754880"/>
                        <wp:effectExtent b="0" l="0" r="0" t="0"/>
                        <wp:docPr descr="" title="" id="90" name="Picture"/>
                        <a:graphic>
                          <a:graphicData uri="http://schemas.openxmlformats.org/drawingml/2006/picture">
                            <pic:pic>
                              <pic:nvPicPr>
                                <pic:cNvPr descr="JM-WP-BM-01_files/figure-docx/fig-selectivity-sc-allowance-compare-2.png" id="91" name="Picture"/>
                                <pic:cNvPicPr>
                                  <a:picLocks noChangeArrowheads="1" noChangeAspect="1"/>
                                </pic:cNvPicPr>
                              </pic:nvPicPr>
                              <pic:blipFill>
                                <a:blip r:embed="rId8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2"/>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3"/>
    <w:p>
      <w:pPr>
        <w:pStyle w:val="BodyText"/>
      </w:pPr>
      <w:r>
        <w:rPr>
          <w:b/>
          <w:bCs/>
        </w:rPr>
        <w:t xml:space="preserve">73.</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4"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4"/>
        </w:tc>
      </w:tr>
    </w:tbl>
    <w:p>
      <w:pPr>
        <w:pStyle w:val="BodyText"/>
      </w:pPr>
      <w:r>
        <w:rPr>
          <w:b/>
          <w:bCs/>
        </w:rPr>
        <w:t xml:space="preserve">74.</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75.</w:t>
      </w:r>
      <w:r>
        <w:t xml:space="preserve"> </w:t>
      </w:r>
      <w:r>
        <w:t xml:space="preserve">The resulting spawning biomass trajectories are shown in</w:t>
      </w:r>
      <w:r>
        <w:t xml:space="preserve"> </w:t>
      </w:r>
      <w:hyperlink w:anchor="fig-selectivity-sc5-ssb">
        <w:r>
          <w:rPr>
            <w:rStyle w:val="Hyperlink"/>
          </w:rPr>
          <w:t xml:space="preserve">Figure 9</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tbl>
      <w:tblPr>
        <w:tblStyle w:val="Table"/>
        <w:tblW w:type="pct" w:w="5000"/>
        <w:tblLayout w:type="fixed"/>
        <w:tblLook w:firstRow="0" w:lastRow="0" w:firstColumn="0" w:lastColumn="0" w:noHBand="0" w:noVBand="0" w:val="0000"/>
      </w:tblPr>
      <w:tblGrid>
        <w:gridCol w:w="7920"/>
      </w:tblGrid>
      <w:tr>
        <w:tc>
          <w:tcPr/>
          <w:bookmarkStart w:id="98" w:name="fig-selectivity-sc5-ssb"/>
          <w:p>
            <w:pPr>
              <w:pStyle w:val="Compact"/>
              <w:jc w:val="center"/>
            </w:pPr>
            <w:r>
              <w:drawing>
                <wp:inline>
                  <wp:extent cx="5334000" cy="3194843"/>
                  <wp:effectExtent b="0" l="0" r="0" t="0"/>
                  <wp:docPr descr="" title="" id="96" name="Picture"/>
                  <a:graphic>
                    <a:graphicData uri="http://schemas.openxmlformats.org/drawingml/2006/picture">
                      <pic:pic>
                        <pic:nvPicPr>
                          <pic:cNvPr descr="JM-WP-BM-01_files/figure-docx/fig-selectivity-sc5-ssb-1.png" id="97" name="Picture"/>
                          <pic:cNvPicPr>
                            <a:picLocks noChangeArrowheads="1" noChangeAspect="1"/>
                          </pic:cNvPicPr>
                        </pic:nvPicPr>
                        <pic:blipFill>
                          <a:blip r:embed="rId95"/>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98"/>
        </w:tc>
      </w:tr>
    </w:tbl>
    <w:p>
      <w:pPr>
        <w:pStyle w:val="BodyText"/>
      </w:pPr>
      <w:r>
        <w:rPr>
          <w:b/>
          <w:bCs/>
        </w:rPr>
        <w:t xml:space="preserve">76.</w:t>
      </w:r>
      <w:r>
        <w:t xml:space="preserve"> </w:t>
      </w:r>
      <w:r>
        <w:t xml:space="preserve">The direct selectivity comparison is shown in</w:t>
      </w:r>
      <w:r>
        <w:t xml:space="preserve"> </w:t>
      </w:r>
      <w:hyperlink w:anchor="fig-selectivity-sc5-compare">
        <w:r>
          <w:rPr>
            <w:rStyle w:val="Hyperlink"/>
          </w:rPr>
          <w:t xml:space="preserve">Figure 10</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bookmarkStart w:id="107"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2" w:name="fig-selectivity-sc5-compare-1"/>
                <w:p>
                  <w:pPr>
                    <w:pStyle w:val="Compact"/>
                    <w:jc w:val="center"/>
                    <w:jc w:val="left"/>
                  </w:pPr>
                  <w:r>
                    <w:drawing>
                      <wp:inline>
                        <wp:extent cx="2971800" cy="4754880"/>
                        <wp:effectExtent b="0" l="0" r="0" t="0"/>
                        <wp:docPr descr="" title="" id="100" name="Picture"/>
                        <a:graphic>
                          <a:graphicData uri="http://schemas.openxmlformats.org/drawingml/2006/picture">
                            <pic:pic>
                              <pic:nvPicPr>
                                <pic:cNvPr descr="JM-WP-BM-01_files/figure-docx/fig-selectivity-sc5-compare-1.png" id="101" name="Picture"/>
                                <pic:cNvPicPr>
                                  <a:picLocks noChangeArrowheads="1" noChangeAspect="1"/>
                                </pic:cNvPicPr>
                              </pic:nvPicPr>
                              <pic:blipFill>
                                <a:blip r:embed="rId9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2"/>
              </w:tc>
            </w:tr>
          </w:tbl>
          <w:p/>
        </w:tc>
        <w:tc>
          <w:tcPr/>
          <w:tbl>
            <w:tblPr>
              <w:tblStyle w:val="Table"/>
              <w:tblW w:type="pct" w:w="4900"/>
              <w:tblLayout w:type="fixed"/>
              <w:tblLook w:firstRow="0" w:lastRow="0" w:firstColumn="0" w:lastColumn="0" w:noHBand="0" w:noVBand="0" w:val="0000"/>
            </w:tblPr>
            <w:tblGrid>
              <w:gridCol w:w="7761"/>
            </w:tblGrid>
            <w:tr>
              <w:tc>
                <w:tcPr/>
                <w:bookmarkStart w:id="106" w:name="fig-selectivity-sc5-compare-2"/>
                <w:p>
                  <w:pPr>
                    <w:pStyle w:val="Compact"/>
                    <w:jc w:val="center"/>
                    <w:jc w:val="left"/>
                  </w:pPr>
                  <w:r>
                    <w:drawing>
                      <wp:inline>
                        <wp:extent cx="2971800" cy="4754880"/>
                        <wp:effectExtent b="0" l="0" r="0" t="0"/>
                        <wp:docPr descr="" title="" id="104" name="Picture"/>
                        <a:graphic>
                          <a:graphicData uri="http://schemas.openxmlformats.org/drawingml/2006/picture">
                            <pic:pic>
                              <pic:nvPicPr>
                                <pic:cNvPr descr="JM-WP-BM-01_files/figure-docx/fig-selectivity-sc5-compare-2.png" id="105" name="Picture"/>
                                <pic:cNvPicPr>
                                  <a:picLocks noChangeArrowheads="1" noChangeAspect="1"/>
                                </pic:cNvPicPr>
                              </pic:nvPicPr>
                              <pic:blipFill>
                                <a:blip r:embed="rId103"/>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06"/>
              </w:tc>
            </w:tr>
          </w:tbl>
          <w:p/>
        </w:tc>
      </w:tr>
    </w:tbl>
    <w:p>
      <w:pPr>
        <w:pStyle w:val="BodyText"/>
      </w:pPr>
      <w:pPr>
        <w:spacing w:before="200"/>
        <w:pStyle w:val="ImageCaption"/>
      </w:pPr>
      <w:r>
        <w:t xml:space="preserve">Figure 10: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07"/>
    <w:p>
      <w:pPr>
        <w:pStyle w:val="BodyText"/>
      </w:pPr>
      <w:r>
        <w:rPr>
          <w:b/>
          <w:bCs/>
        </w:rPr>
        <w:t xml:space="preserve">77.</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selectivity-sc5-index-fits"/>
          <w:p>
            <w:pPr>
              <w:pStyle w:val="Compact"/>
              <w:jc w:val="center"/>
            </w:pPr>
            <w:r>
              <w:drawing>
                <wp:inline>
                  <wp:extent cx="5334000" cy="4333875"/>
                  <wp:effectExtent b="0" l="0" r="0" t="0"/>
                  <wp:docPr descr="" title="" id="110" name="Picture"/>
                  <a:graphic>
                    <a:graphicData uri="http://schemas.openxmlformats.org/drawingml/2006/picture">
                      <pic:pic>
                        <pic:nvPicPr>
                          <pic:cNvPr descr="JM-WP-BM-01_files/figure-docx/fig-selectivity-sc5-index-fits-1.png" id="111" name="Picture"/>
                          <pic:cNvPicPr>
                            <a:picLocks noChangeArrowheads="1" noChangeAspect="1"/>
                          </pic:cNvPicPr>
                        </pic:nvPicPr>
                        <pic:blipFill>
                          <a:blip r:embed="rId10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112"/>
        </w:tc>
      </w:tr>
    </w:tbl>
    <w:p>
      <w:pPr>
        <w:pStyle w:val="BodyText"/>
      </w:pPr>
      <w:r>
        <w:rPr>
          <w:b/>
          <w:bCs/>
        </w:rPr>
        <w:t xml:space="preserve">78.</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12</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16" w:name="fig-selectivity-sc5-qtrend"/>
          <w:p>
            <w:pPr>
              <w:pStyle w:val="Compact"/>
              <w:jc w:val="center"/>
            </w:pPr>
            <w:r>
              <w:drawing>
                <wp:inline>
                  <wp:extent cx="5334000" cy="3194843"/>
                  <wp:effectExtent b="0" l="0" r="0" t="0"/>
                  <wp:docPr descr="" title="" id="114" name="Picture"/>
                  <a:graphic>
                    <a:graphicData uri="http://schemas.openxmlformats.org/drawingml/2006/picture">
                      <pic:pic>
                        <pic:nvPicPr>
                          <pic:cNvPr descr="JM-WP-BM-01_files/figure-docx/fig-selectivity-sc5-qtrend-1.png" id="115" name="Picture"/>
                          <pic:cNvPicPr>
                            <a:picLocks noChangeArrowheads="1" noChangeAspect="1"/>
                          </pic:cNvPicPr>
                        </pic:nvPicPr>
                        <pic:blipFill>
                          <a:blip r:embed="rId11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16"/>
        </w:tc>
      </w:tr>
    </w:tbl>
    <w:bookmarkEnd w:id="117"/>
    <w:bookmarkEnd w:id="118"/>
    <w:bookmarkEnd w:id="119"/>
    <w:bookmarkStart w:id="127" w:name="harmonized-northern-treatment"/>
    <w:p>
      <w:pPr>
        <w:pStyle w:val="Heading2"/>
      </w:pPr>
      <w:r>
        <w:t xml:space="preserve">6.3 Harmonized Northern Treatment</w:t>
      </w:r>
    </w:p>
    <w:p>
      <w:pPr>
        <w:pStyle w:val="FirstParagraph"/>
      </w:pPr>
      <w:r>
        <w:rPr>
          <w:b/>
          <w:bCs/>
        </w:rPr>
        <w:t xml:space="preserve">79.</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80.</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81.</w:t>
            </w:r>
            <w:r>
              <w:t xml:space="preserve"> </w:t>
            </w:r>
            <w:r>
              <w:t xml:space="preserve">The harmonization objective should be to align the</w:t>
            </w:r>
            <w:r>
              <w:t xml:space="preserve"> </w:t>
            </w:r>
            <w:r>
              <w:rPr>
                <w:b/>
                <w:bCs/>
              </w:rPr>
              <w:t xml:space="preserve">selectivity structure</w:t>
            </w:r>
            <w:r>
              <w:t xml:space="preserve"> </w:t>
            </w:r>
            <w:r>
              <w:t xml:space="preserve">of the Far North</w:t>
            </w:r>
            <w:r>
              <w:t xml:space="preserve"> </w:t>
            </w:r>
            <w:r>
              <w:t xml:space="preserve">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w:t>
            </w:r>
            <w:r>
              <w:t xml:space="preserve"> </w:t>
            </w:r>
            <w:r>
              <w:t xml:space="preserve">the two-stock hypothesis. In practice, this means that differences in natural mortality,</w:t>
            </w:r>
            <w:r>
              <w:t xml:space="preserve"> </w:t>
            </w:r>
            <w:r>
              <w:t xml:space="preserve">growth, maturity, and weight-at-age should be preserved in</w:t>
            </w:r>
            <w:r>
              <w:t xml:space="preserve"> </w:t>
            </w:r>
            <w:r>
              <w:rPr>
                <w:rStyle w:val="VerbatimChar"/>
              </w:rPr>
              <w:t xml:space="preserve">h2</w:t>
            </w:r>
            <w:r>
              <w:t xml:space="preserve"> </w:t>
            </w:r>
            <w:r>
              <w:t xml:space="preserve">as currently specified.</w:t>
            </w:r>
            <w:r>
              <w:t xml:space="preserve"> </w:t>
            </w:r>
            <w:r>
              <w:t xml:space="preserve">What should be harmonized is the structural form and degree of flexibility allowed in</w:t>
            </w:r>
            <w:r>
              <w:t xml:space="preserve"> </w:t>
            </w:r>
            <w:r>
              <w:t xml:space="preserve">Far North fleet selectivity, so that a comparison of h1 and h2 MSE outcomes reflects</w:t>
            </w:r>
            <w:r>
              <w:t xml:space="preserve"> </w:t>
            </w:r>
            <w:r>
              <w:t xml:space="preserve">stock structure rather than selectivity regularization.</w:t>
            </w:r>
          </w:p>
          <w:p>
            <w:pPr>
              <w:pStyle w:val="BodyText"/>
            </w:pPr>
            <w:pPr>
              <w:spacing w:after="16"/>
            </w:pPr>
            <w:r>
              <w:rPr>
                <w:b/>
                <w:bCs/>
              </w:rPr>
              <w:t xml:space="preserve">82.</w:t>
            </w:r>
            <w:r>
              <w:t xml:space="preserve"> </w:t>
            </w:r>
            <w:r>
              <w:t xml:space="preserve">One additional area that has been discussed but not yet implemented is explicit uncertainty</w:t>
            </w:r>
            <w:r>
              <w:t xml:space="preserve"> </w:t>
            </w:r>
            <w:r>
              <w:t xml:space="preserve">in northern stock biology, particularly growth. The two-stock hypothesis implies</w:t>
            </w:r>
            <w:r>
              <w:t xml:space="preserve"> </w:t>
            </w:r>
            <w:r>
              <w:t xml:space="preserve">different population dynamics for the northern component, but the current implementation</w:t>
            </w:r>
            <w:r>
              <w:t xml:space="preserve"> </w:t>
            </w:r>
            <w:r>
              <w:t xml:space="preserve">draws on growth parameters estimated from combined data without formal uncertainty in</w:t>
            </w:r>
            <w:r>
              <w:t xml:space="preserve"> </w:t>
            </w:r>
            <w:r>
              <w:t xml:space="preserve">the stock-specific parameters. Uncertainty in northern growth or natural mortality could</w:t>
            </w:r>
            <w:r>
              <w:t xml:space="preserve"> </w:t>
            </w:r>
            <w:r>
              <w:t xml:space="preserve">be incorporated as candidate robustness scenarios in later MSE phases if data become</w:t>
            </w:r>
            <w:r>
              <w:t xml:space="preserve"> </w:t>
            </w:r>
            <w:r>
              <w:t xml:space="preserve">available to support alternative parameterizations.</w:t>
            </w:r>
          </w:p>
          <w:p/>
        </w:tc>
      </w:tr>
    </w:tbl>
    <w:p>
      <w:pPr>
        <w:pStyle w:val="BodyText"/>
      </w:pPr>
      <w:r>
        <w:rPr>
          <w:b/>
          <w:bCs/>
        </w:rPr>
        <w:t xml:space="preserve">83.</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w:t>
      </w:r>
      <w:r>
        <w:t xml:space="preserve"> </w:t>
      </w:r>
      <w:r>
        <w:t xml:space="preserve">a simplified Far North selectivity structure that mirrors the</w:t>
      </w:r>
      <w:r>
        <w:t xml:space="preserve"> </w:t>
      </w:r>
      <w:r>
        <w:rPr>
          <w:rStyle w:val="VerbatimChar"/>
        </w:rPr>
        <w:t xml:space="preserve">h2</w:t>
      </w:r>
      <w:r>
        <w:t xml:space="preserve"> </w:t>
      </w:r>
      <w:r>
        <w:t xml:space="preserve">treatment, or equivalently</w:t>
      </w:r>
      <w:r>
        <w:t xml:space="preserve"> </w:t>
      </w:r>
      <w:r>
        <w:t xml:space="preserve">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w:t>
      </w:r>
      <w:r>
        <w:t xml:space="preserve"> </w:t>
      </w:r>
      <w:r>
        <w:t xml:space="preserve">most defensible given the available data and model diagnostics.</w:t>
      </w:r>
    </w:p>
    <w:p>
      <w:pPr>
        <w:pStyle w:val="BodyText"/>
      </w:pPr>
      <w:r>
        <w:rPr>
          <w:b/>
          <w:bCs/>
        </w:rPr>
        <w:t xml:space="preserve">84.</w:t>
      </w:r>
      <w:r>
        <w:t xml:space="preserve"> </w:t>
      </w:r>
      <w:r>
        <w:t xml:space="preserve">To examine that issue more directly, I fitted two harmonized variants using the</w:t>
      </w:r>
      <w:r>
        <w:t xml:space="preserve"> </w:t>
      </w:r>
      <w:r>
        <w:t xml:space="preserve">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w:t>
      </w:r>
      <w:r>
        <w:t xml:space="preserve"> </w:t>
      </w:r>
      <w:r>
        <w:t xml:space="preserve">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w:t>
      </w:r>
      <w:r>
        <w:t xml:space="preserve"> </w:t>
      </w:r>
      <w:r>
        <w:t xml:space="preserve">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w:t>
      </w:r>
      <w:r>
        <w:t xml:space="preserve"> </w:t>
      </w:r>
      <w:r>
        <w:t xml:space="preserve">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2"/>
        </w:tc>
      </w:tr>
    </w:tbl>
    <w:p>
      <w:pPr>
        <w:pStyle w:val="BodyText"/>
      </w:pPr>
      <w:r>
        <w:rPr>
          <w:b/>
          <w:bCs/>
        </w:rPr>
        <w:t xml:space="preserve">85.</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6" w:name="fig-harmonized-index-fits"/>
          <w:p>
            <w:pPr>
              <w:pStyle w:val="Compact"/>
              <w:jc w:val="center"/>
            </w:pPr>
            <w:r>
              <w:drawing>
                <wp:inline>
                  <wp:extent cx="5334000" cy="4333875"/>
                  <wp:effectExtent b="0" l="0" r="0" t="0"/>
                  <wp:docPr descr="" title="" id="124" name="Picture"/>
                  <a:graphic>
                    <a:graphicData uri="http://schemas.openxmlformats.org/drawingml/2006/picture">
                      <pic:pic>
                        <pic:nvPicPr>
                          <pic:cNvPr descr="JM-WP-BM-01_files/figure-docx/fig-harmonized-index-fits-1.png" id="125" name="Picture"/>
                          <pic:cNvPicPr>
                            <a:picLocks noChangeArrowheads="1" noChangeAspect="1"/>
                          </pic:cNvPicPr>
                        </pic:nvPicPr>
                        <pic:blipFill>
                          <a:blip r:embed="rId123"/>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6"/>
        </w:tc>
      </w:tr>
    </w:tbl>
    <w:bookmarkEnd w:id="127"/>
    <w:bookmarkStart w:id="142" w:name="simplified-recruitment-alternatives"/>
    <w:p>
      <w:pPr>
        <w:pStyle w:val="Heading2"/>
      </w:pPr>
      <w:r>
        <w:t xml:space="preserve">6.4 Simplified Recruitment Alternatives</w:t>
      </w:r>
    </w:p>
    <w:p>
      <w:pPr>
        <w:pStyle w:val="FirstParagraph"/>
      </w:pPr>
      <w:r>
        <w:rPr>
          <w:b/>
          <w:bCs/>
        </w:rPr>
        <w:t xml:space="preserve">86.</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87.</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88.</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89.</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fig-h2-sr-compare"/>
          <w:p>
            <w:pPr>
              <w:pStyle w:val="Compact"/>
              <w:jc w:val="center"/>
            </w:pPr>
            <w:r>
              <w:drawing>
                <wp:inline>
                  <wp:extent cx="5334000" cy="3194843"/>
                  <wp:effectExtent b="0" l="0" r="0" t="0"/>
                  <wp:docPr descr="" title="" id="131" name="Picture"/>
                  <a:graphic>
                    <a:graphicData uri="http://schemas.openxmlformats.org/drawingml/2006/picture">
                      <pic:pic>
                        <pic:nvPicPr>
                          <pic:cNvPr descr="JM-WP-BM-01_files/figure-docx/fig-h2-sr-compare-1.png" id="132" name="Picture"/>
                          <pic:cNvPicPr>
                            <a:picLocks noChangeArrowheads="1" noChangeAspect="1"/>
                          </pic:cNvPicPr>
                        </pic:nvPicPr>
                        <pic:blipFill>
                          <a:blip r:embed="rId13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3"/>
        </w:tc>
      </w:tr>
    </w:tbl>
    <w:p>
      <w:pPr>
        <w:pStyle w:val="BodyText"/>
      </w:pPr>
      <w:r>
        <w:rPr>
          <w:b/>
          <w:bCs/>
        </w:rPr>
        <w:t xml:space="preserve">90.</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91.</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7" w:name="fig-h2-stock2-ssb"/>
          <w:p>
            <w:pPr>
              <w:pStyle w:val="Compact"/>
              <w:jc w:val="center"/>
            </w:pPr>
            <w:r>
              <w:drawing>
                <wp:inline>
                  <wp:extent cx="5334000" cy="3062882"/>
                  <wp:effectExtent b="0" l="0" r="0" t="0"/>
                  <wp:docPr descr="" title="" id="135" name="Picture"/>
                  <a:graphic>
                    <a:graphicData uri="http://schemas.openxmlformats.org/drawingml/2006/picture">
                      <pic:pic>
                        <pic:nvPicPr>
                          <pic:cNvPr descr="JM-WP-BM-01_files/figure-docx/fig-h2-stock2-ssb-1.png" id="136" name="Picture"/>
                          <pic:cNvPicPr>
                            <a:picLocks noChangeArrowheads="1" noChangeAspect="1"/>
                          </pic:cNvPicPr>
                        </pic:nvPicPr>
                        <pic:blipFill>
                          <a:blip r:embed="rId134"/>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h2-stock2-rec"/>
          <w:p>
            <w:pPr>
              <w:pStyle w:val="Compact"/>
              <w:jc w:val="center"/>
            </w:pPr>
            <w:r>
              <w:drawing>
                <wp:inline>
                  <wp:extent cx="5334000" cy="3062882"/>
                  <wp:effectExtent b="0" l="0" r="0" t="0"/>
                  <wp:docPr descr="" title="" id="139" name="Picture"/>
                  <a:graphic>
                    <a:graphicData uri="http://schemas.openxmlformats.org/drawingml/2006/picture">
                      <pic:pic>
                        <pic:nvPicPr>
                          <pic:cNvPr descr="JM-WP-BM-01_files/figure-docx/fig-h2-stock2-rec-1.png" id="140" name="Picture"/>
                          <pic:cNvPicPr>
                            <a:picLocks noChangeArrowheads="1" noChangeAspect="1"/>
                          </pic:cNvPicPr>
                        </pic:nvPicPr>
                        <pic:blipFill>
                          <a:blip r:embed="rId138"/>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1"/>
        </w:tc>
      </w:tr>
    </w:tbl>
    <w:bookmarkEnd w:id="142"/>
    <w:bookmarkStart w:id="145" w:name="fixed-reference-point-alternatives"/>
    <w:p>
      <w:pPr>
        <w:pStyle w:val="Heading2"/>
      </w:pPr>
      <w:r>
        <w:t xml:space="preserve">6.5 Fixed-Reference-Point Alternatives</w:t>
      </w:r>
    </w:p>
    <w:p>
      <w:pPr>
        <w:pStyle w:val="FirstParagraph"/>
      </w:pPr>
      <w:r>
        <w:rPr>
          <w:b/>
          <w:bCs/>
        </w:rPr>
        <w:t xml:space="preserve">92.</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93.</w:t>
      </w:r>
      <w:r>
        <w:t xml:space="preserve"> </w:t>
      </w:r>
      <w:r>
        <w:t xml:space="preserve">The dynamic reference point system in the JJM — where</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note.png" id="14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94.</w:t>
            </w:r>
            <w:r>
              <w:t xml:space="preserve"> </w:t>
            </w:r>
            <w:r>
              <w:t xml:space="preserve">If the simplified selectivity alternative adopts block-based selectivity, then reference points should probably</w:t>
            </w:r>
            <w:r>
              <w:t xml:space="preserve"> </w:t>
            </w:r>
            <w:r>
              <w:t xml:space="preserve">be calculated using the selectivity pattern from the</w:t>
            </w:r>
            <w:r>
              <w:t xml:space="preserve"> </w:t>
            </w:r>
            <w:r>
              <w:rPr>
                <w:b/>
                <w:bCs/>
              </w:rPr>
              <w:t xml:space="preserve">final block period</w:t>
            </w:r>
            <w:r>
              <w:t xml:space="preserve"> </w:t>
            </w:r>
            <w:r>
              <w:t xml:space="preserve">for all future projections.</w:t>
            </w:r>
            <w:r>
              <w:t xml:space="preserve"> </w:t>
            </w:r>
            <w:r>
              <w:t xml:space="preserve">This is internally consistent: the operating model should use the same selectivity</w:t>
            </w:r>
            <w:r>
              <w:t xml:space="preserve"> </w:t>
            </w:r>
            <w:r>
              <w:t xml:space="preserve">for calculating</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as it uses for projecting future mortality.</w:t>
            </w:r>
            <w:r>
              <w:t xml:space="preserve"> </w:t>
            </w:r>
            <w:r>
              <w:t xml:space="preserve">Using the last block’s selectivity as the reference configuration avoids the problem of</w:t>
            </w:r>
            <w:r>
              <w:t xml:space="preserve"> </w:t>
            </w:r>
            <w:r>
              <w:t xml:space="preserve">reference points shifting mid-simulation as selectivity changes, and it is analogous</w:t>
            </w:r>
            <w:r>
              <w:t xml:space="preserve"> </w:t>
            </w:r>
            <w:r>
              <w:t xml:space="preserve">to the fixed-reference-point convention already applied in several RFMO MSE programmes.</w:t>
            </w:r>
          </w:p>
          <w:p/>
        </w:tc>
      </w:tr>
    </w:tbl>
    <w:p>
      <w:pPr>
        <w:pStyle w:val="BodyText"/>
      </w:pPr>
      <w:r>
        <w:rPr>
          <w:b/>
          <w:bCs/>
        </w:rPr>
        <w:t xml:space="preserve">95.</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5"/>
    <w:bookmarkEnd w:id="146"/>
    <w:bookmarkStart w:id="147" w:name="summary"/>
    <w:p>
      <w:pPr>
        <w:pStyle w:val="Heading1"/>
      </w:pPr>
      <w:r>
        <w:t xml:space="preserve">7. Summary</w:t>
      </w:r>
    </w:p>
    <w:p>
      <w:pPr>
        <w:pStyle w:val="FirstParagraph"/>
      </w:pPr>
      <w:r>
        <w:rPr>
          <w:b/>
          <w:bCs/>
        </w:rPr>
        <w:t xml:space="preserve">96.</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97.</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47"/>
    <w:bookmarkStart w:id="157"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48"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48"/>
    <w:bookmarkStart w:id="149"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49"/>
    <w:bookmarkStart w:id="150"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0"/>
    <w:bookmarkStart w:id="151"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1"/>
    <w:bookmarkStart w:id="152"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2"/>
    <w:bookmarkStart w:id="153"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3"/>
    <w:bookmarkStart w:id="154"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4"/>
    <w:bookmarkStart w:id="155"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5"/>
    <w:bookmarkStart w:id="156"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m:oMath>
        <m:sSub>
          <m:e>
            <m:r>
              <m:t>F</m:t>
            </m:r>
          </m:e>
          <m:sub>
            <m:r>
              <m:t>M</m:t>
            </m:r>
            <m:r>
              <m:t>S</m:t>
            </m:r>
            <m:r>
              <m:t>Y</m:t>
            </m:r>
          </m:sub>
        </m:sSub>
      </m:oMath>
      <w:r>
        <w:t xml:space="preserve"> </w:t>
      </w:r>
      <m:oMath>
        <m:r>
          <m:t>M</m:t>
        </m:r>
        <m:r>
          <m:t>S</m:t>
        </m:r>
        <m:r>
          <m:t>Y</m:t>
        </m:r>
      </m:oMath>
      <w:r>
        <w:t xml:space="preserve">, and</w:t>
      </w:r>
      <w:r>
        <w:t xml:space="preserve"> </w:t>
      </w:r>
      <m:oMath>
        <m:sSub>
          <m:e>
            <m:r>
              <m:t>F</m:t>
            </m:r>
          </m:e>
          <m:sub>
            <m:r>
              <m:t>M</m:t>
            </m:r>
            <m:r>
              <m:t>S</m:t>
            </m:r>
            <m:r>
              <m:t>Y</m:t>
            </m:r>
          </m:sub>
        </m:sSub>
      </m:oMath>
      <w:r>
        <w:t xml:space="preserve"> </w:t>
      </w:r>
      <w:r>
        <w:t xml:space="preserve">vary through time in the SC13 assessment rather than remaining fixed constants.</w:t>
      </w:r>
    </w:p>
    <w:bookmarkEnd w:id="156"/>
    <w:bookmarkEnd w:id="157"/>
    <w:bookmarkStart w:id="191" w:name="references"/>
    <w:p>
      <w:pPr>
        <w:pStyle w:val="Heading1"/>
      </w:pPr>
      <w:r>
        <w:t xml:space="preserve">References</w:t>
      </w:r>
    </w:p>
    <w:bookmarkStart w:id="190" w:name="refs"/>
    <w:bookmarkStart w:id="159"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158">
        <w:r>
          <w:rPr>
            <w:rStyle w:val="Hyperlink"/>
          </w:rPr>
          <w:t xml:space="preserve">https://doi.org/10.1086/401873</w:t>
        </w:r>
      </w:hyperlink>
    </w:p>
    <w:bookmarkEnd w:id="159"/>
    <w:bookmarkStart w:id="160"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60"/>
    <w:bookmarkStart w:id="162"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61">
        <w:r>
          <w:rPr>
            <w:rStyle w:val="Hyperlink"/>
          </w:rPr>
          <w:t xml:space="preserve">https://doi.org/10.1006/jmsc.1999.0532</w:t>
        </w:r>
      </w:hyperlink>
    </w:p>
    <w:bookmarkEnd w:id="162"/>
    <w:bookmarkStart w:id="164"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3">
        <w:r>
          <w:rPr>
            <w:rStyle w:val="Hyperlink"/>
          </w:rPr>
          <w:t xml:space="preserve">https://www.iccat.int/Documents/CVSP/CV081_2024/n_2/CV08102149.pdf</w:t>
        </w:r>
      </w:hyperlink>
    </w:p>
    <w:bookmarkEnd w:id="164"/>
    <w:bookmarkStart w:id="166"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5">
        <w:r>
          <w:rPr>
            <w:rStyle w:val="Hyperlink"/>
          </w:rPr>
          <w:t xml:space="preserve">https://doi.org/10.1080/10556788.2011.597854</w:t>
        </w:r>
      </w:hyperlink>
    </w:p>
    <w:bookmarkEnd w:id="166"/>
    <w:bookmarkStart w:id="168"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7">
        <w:r>
          <w:rPr>
            <w:rStyle w:val="Hyperlink"/>
          </w:rPr>
          <w:t xml:space="preserve">https://doi.org/10.1139/f82-157</w:t>
        </w:r>
      </w:hyperlink>
    </w:p>
    <w:bookmarkEnd w:id="168"/>
    <w:bookmarkStart w:id="170"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69">
        <w:r>
          <w:rPr>
            <w:rStyle w:val="Hyperlink"/>
          </w:rPr>
          <w:t xml:space="preserve">https://doi.org/10.1139/f2011-025</w:t>
        </w:r>
      </w:hyperlink>
    </w:p>
    <w:bookmarkEnd w:id="170"/>
    <w:bookmarkStart w:id="172"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71">
        <w:r>
          <w:rPr>
            <w:rStyle w:val="Hyperlink"/>
          </w:rPr>
          <w:t xml:space="preserve">https://doi.org/10.1007/978-1-4615-3598-0</w:t>
        </w:r>
      </w:hyperlink>
    </w:p>
    <w:bookmarkEnd w:id="172"/>
    <w:bookmarkStart w:id="174"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3">
        <w:r>
          <w:rPr>
            <w:rStyle w:val="Hyperlink"/>
          </w:rPr>
          <w:t xml:space="preserve">https://doi.org/10.1093/icesjms/fsq173</w:t>
        </w:r>
      </w:hyperlink>
    </w:p>
    <w:bookmarkEnd w:id="174"/>
    <w:bookmarkStart w:id="175"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75"/>
    <w:bookmarkStart w:id="177"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76">
        <w:r>
          <w:rPr>
            <w:rStyle w:val="Hyperlink"/>
          </w:rPr>
          <w:t xml:space="preserve">https://doi.org/10.2307/2344614</w:t>
        </w:r>
      </w:hyperlink>
    </w:p>
    <w:bookmarkEnd w:id="177"/>
    <w:bookmarkStart w:id="179"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8">
        <w:r>
          <w:rPr>
            <w:rStyle w:val="Hyperlink"/>
          </w:rPr>
          <w:t xml:space="preserve">https://doi.org/10.1111/faf.12104</w:t>
        </w:r>
      </w:hyperlink>
    </w:p>
    <w:bookmarkEnd w:id="179"/>
    <w:bookmarkStart w:id="181"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80">
        <w:r>
          <w:rPr>
            <w:rStyle w:val="Hyperlink"/>
          </w:rPr>
          <w:t xml:space="preserve">https://doi.org/10.1073/pnas.1820344116</w:t>
        </w:r>
      </w:hyperlink>
    </w:p>
    <w:bookmarkEnd w:id="181"/>
    <w:bookmarkStart w:id="183"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82">
        <w:r>
          <w:rPr>
            <w:rStyle w:val="Hyperlink"/>
          </w:rPr>
          <w:t xml:space="preserve">https://doi.org/10.1139/f95-800</w:t>
        </w:r>
      </w:hyperlink>
    </w:p>
    <w:bookmarkEnd w:id="183"/>
    <w:bookmarkStart w:id="185"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84">
        <w:r>
          <w:rPr>
            <w:rStyle w:val="Hyperlink"/>
          </w:rPr>
          <w:t xml:space="preserve">https://doi.org/10.1111/faf.12579</w:t>
        </w:r>
      </w:hyperlink>
    </w:p>
    <w:bookmarkEnd w:id="185"/>
    <w:bookmarkStart w:id="187"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6">
        <w:r>
          <w:rPr>
            <w:rStyle w:val="Hyperlink"/>
          </w:rPr>
          <w:t xml:space="preserve">https://www.sprfmo.int/assets/Meetings/02-SC/13th-SC-2025/Jack-Mackerel/SC13-JM09-Report-of-the-JMWG-Management-Strategy-Evaluation-Technical-Workshop.pdf</w:t>
        </w:r>
      </w:hyperlink>
    </w:p>
    <w:bookmarkEnd w:id="187"/>
    <w:bookmarkStart w:id="189"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8">
        <w:r>
          <w:rPr>
            <w:rStyle w:val="Hyperlink"/>
          </w:rPr>
          <w:t xml:space="preserve">https://sprfmo.int/assets/Meetings/02-SC/13th-SC-2025/SC13-Report-Annex-11_final.pdf</w:t>
        </w:r>
      </w:hyperlink>
    </w:p>
    <w:bookmarkEnd w:id="189"/>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7" Target="media/rId67.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3" Target="media/rId123.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5" Target="media/rId95.png" /><Relationship Type="http://schemas.openxmlformats.org/officeDocument/2006/relationships/image" Id="rId20" Target="media/rId20.png" /><Relationship Type="http://schemas.openxmlformats.org/officeDocument/2006/relationships/hyperlink" Id="rId161" Target="https://doi.org/10.1006/jmsc.1999.0532" TargetMode="External" /><Relationship Type="http://schemas.openxmlformats.org/officeDocument/2006/relationships/hyperlink" Id="rId171" Target="https://doi.org/10.1007/978-1-4615-3598-0" TargetMode="External" /><Relationship Type="http://schemas.openxmlformats.org/officeDocument/2006/relationships/hyperlink" Id="rId180" Target="https://doi.org/10.1073/pnas.1820344116" TargetMode="External" /><Relationship Type="http://schemas.openxmlformats.org/officeDocument/2006/relationships/hyperlink" Id="rId165" Target="https://doi.org/10.1080/10556788.2011.597854" TargetMode="External" /><Relationship Type="http://schemas.openxmlformats.org/officeDocument/2006/relationships/hyperlink" Id="rId158" Target="https://doi.org/10.1086/401873" TargetMode="External" /><Relationship Type="http://schemas.openxmlformats.org/officeDocument/2006/relationships/hyperlink" Id="rId173" Target="https://doi.org/10.1093/icesjms/fsq173" TargetMode="External" /><Relationship Type="http://schemas.openxmlformats.org/officeDocument/2006/relationships/hyperlink" Id="rId178" Target="https://doi.org/10.1111/faf.12104" TargetMode="External" /><Relationship Type="http://schemas.openxmlformats.org/officeDocument/2006/relationships/hyperlink" Id="rId184" Target="https://doi.org/10.1111/faf.12579" TargetMode="External" /><Relationship Type="http://schemas.openxmlformats.org/officeDocument/2006/relationships/hyperlink" Id="rId169" Target="https://doi.org/10.1139/f2011-025" TargetMode="External" /><Relationship Type="http://schemas.openxmlformats.org/officeDocument/2006/relationships/hyperlink" Id="rId167" Target="https://doi.org/10.1139/f82-157" TargetMode="External" /><Relationship Type="http://schemas.openxmlformats.org/officeDocument/2006/relationships/hyperlink" Id="rId182" Target="https://doi.org/10.1139/f95-800" TargetMode="External" /><Relationship Type="http://schemas.openxmlformats.org/officeDocument/2006/relationships/hyperlink" Id="rId176" Target="https://doi.org/10.2307/2344614" TargetMode="External" /><Relationship Type="http://schemas.openxmlformats.org/officeDocument/2006/relationships/hyperlink" Id="rId23" Target="https://sprfmo.github.io/SCW15_report/" TargetMode="External" /><Relationship Type="http://schemas.openxmlformats.org/officeDocument/2006/relationships/hyperlink" Id="rId188" Target="https://sprfmo.int/assets/Meetings/02-SC/13th-SC-2025/SC13-Report-Annex-11_final.pdf" TargetMode="External" /><Relationship Type="http://schemas.openxmlformats.org/officeDocument/2006/relationships/hyperlink" Id="rId163" Target="https://www.iccat.int/Documents/CVSP/CV081_2024/n_2/CV08102149.pdf" TargetMode="External" /><Relationship Type="http://schemas.openxmlformats.org/officeDocument/2006/relationships/hyperlink" Id="rId186"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1006/jmsc.1999.0532" TargetMode="External" /><Relationship Type="http://schemas.openxmlformats.org/officeDocument/2006/relationships/hyperlink" Id="rId171" Target="https://doi.org/10.1007/978-1-4615-3598-0" TargetMode="External" /><Relationship Type="http://schemas.openxmlformats.org/officeDocument/2006/relationships/hyperlink" Id="rId180" Target="https://doi.org/10.1073/pnas.1820344116" TargetMode="External" /><Relationship Type="http://schemas.openxmlformats.org/officeDocument/2006/relationships/hyperlink" Id="rId165" Target="https://doi.org/10.1080/10556788.2011.597854" TargetMode="External" /><Relationship Type="http://schemas.openxmlformats.org/officeDocument/2006/relationships/hyperlink" Id="rId158" Target="https://doi.org/10.1086/401873" TargetMode="External" /><Relationship Type="http://schemas.openxmlformats.org/officeDocument/2006/relationships/hyperlink" Id="rId173" Target="https://doi.org/10.1093/icesjms/fsq173" TargetMode="External" /><Relationship Type="http://schemas.openxmlformats.org/officeDocument/2006/relationships/hyperlink" Id="rId178" Target="https://doi.org/10.1111/faf.12104" TargetMode="External" /><Relationship Type="http://schemas.openxmlformats.org/officeDocument/2006/relationships/hyperlink" Id="rId184" Target="https://doi.org/10.1111/faf.12579" TargetMode="External" /><Relationship Type="http://schemas.openxmlformats.org/officeDocument/2006/relationships/hyperlink" Id="rId169" Target="https://doi.org/10.1139/f2011-025" TargetMode="External" /><Relationship Type="http://schemas.openxmlformats.org/officeDocument/2006/relationships/hyperlink" Id="rId167" Target="https://doi.org/10.1139/f82-157" TargetMode="External" /><Relationship Type="http://schemas.openxmlformats.org/officeDocument/2006/relationships/hyperlink" Id="rId182" Target="https://doi.org/10.1139/f95-800" TargetMode="External" /><Relationship Type="http://schemas.openxmlformats.org/officeDocument/2006/relationships/hyperlink" Id="rId176" Target="https://doi.org/10.2307/2344614" TargetMode="External" /><Relationship Type="http://schemas.openxmlformats.org/officeDocument/2006/relationships/hyperlink" Id="rId23" Target="https://sprfmo.github.io/SCW15_report/" TargetMode="External" /><Relationship Type="http://schemas.openxmlformats.org/officeDocument/2006/relationships/hyperlink" Id="rId188" Target="https://sprfmo.int/assets/Meetings/02-SC/13th-SC-2025/SC13-Report-Annex-11_final.pdf" TargetMode="External" /><Relationship Type="http://schemas.openxmlformats.org/officeDocument/2006/relationships/hyperlink" Id="rId163" Target="https://www.iccat.int/Documents/CVSP/CV081_2024/n_2/CV08102149.pdf" TargetMode="External" /><Relationship Type="http://schemas.openxmlformats.org/officeDocument/2006/relationships/hyperlink" Id="rId186"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2026-03-23T00:37:09Z</dcterms:created>
  <dcterms:modified xsi:type="dcterms:W3CDTF">2026-03-23T00:37:09Z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itle-block">
    <vt:lpwstr>False</vt:lpwstr>
  </property>
  <property fmtid="{D5CDD505-2E9C-101B-9397-08002B2CF9AE}" pid="13" name="toc-title">
    <vt:lpwstr>Table of contents</vt:lpwstr>
  </property>
</Properties>
</file>