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JMWG Benchmark Meeting 2026 Requests Checklist</w:t>
      </w:r>
    </w:p>
    <w:p>
      <w:pPr>
        <w:spacing w:after="200"/>
      </w:pPr>
      <w:r>
        <w:rPr>
          <w:color w:val="505050"/>
          <w:sz w:val="20"/>
        </w:rPr>
        <w:t>Pulled from the Day 1 and Day 2 request tables in the benchmark meeting report. Use the checkbox controls in Microsoft Word to mark completed requests.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b/>
                <w:color w:val="0B2545"/>
                <w:sz w:val="18"/>
              </w:rPr>
              <w:t>Source</w:t>
            </w:r>
          </w:p>
        </w:tc>
        <w:tc>
          <w:tcPr>
            <w:tcW w:type="dxa" w:w="75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doc/JMWG-Benchmark-Meeting-report-2026.qmd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b/>
                <w:color w:val="0B2545"/>
                <w:sz w:val="18"/>
              </w:rPr>
              <w:t>Generated</w:t>
            </w:r>
          </w:p>
        </w:tc>
        <w:tc>
          <w:tcPr>
            <w:tcW w:type="dxa" w:w="75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19 May 2026</w:t>
            </w:r>
          </w:p>
        </w:tc>
      </w:tr>
    </w:tbl>
    <w:p>
      <w:pPr>
        <w:pStyle w:val="Heading1"/>
      </w:pPr>
      <w:r>
        <w:t>Day 1 Requests</w:t>
      </w:r>
    </w:p>
    <w:p>
      <w:pPr>
        <w:spacing w:after="120"/>
      </w:pPr>
      <w:r>
        <w:rPr>
          <w:b/>
        </w:rPr>
        <w:t>10 requests</w:t>
      </w:r>
      <w:r>
        <w:t xml:space="preserve"> requiring follow-up, documentation, data checks, or model diagnostics.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020"/>
        <w:gridCol w:w="1600"/>
        <w:gridCol w:w="3040"/>
      </w:tblGrid>
      <w:tr>
        <w:trPr>
          <w:cantSplit/>
          <w:tblHeader w:val="true"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Done</w:t>
            </w:r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Request / product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Lead / source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Purpose / notes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1"/>
                <w:id w:val="354284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Data extent for all index analyses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For each acoustic and CPUE analysis, provide years covered, spatial extent, fleet or survey coverage, observation unit, sample sizes, treatment of missing data, uncertainty, and expansion method.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All index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Allow the benchmark to evaluate representativeness, data support, and suitability for assessment, OM conditioning, or MP use.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2"/>
                <w:id w:val="50798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Presentation/report summaries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Each technical discussion should leave short report-ready text summarizing decisions, unresolved issues, data requests, and follow-up tasks.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Session leads / rapporteurs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Keep the benchmark report current enough to support intersessional Scientific Committee approval and the June MSE workshop.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3"/>
                <w:id w:val="1724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Public access to presentations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Clarify whether presentations can be made available to the full Scientific Committee.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Secretariat / presenters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Ensure the Scientific Committee can review the evidence base supporting benchmark recommendations.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4"/>
                <w:id w:val="114793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north acoustic survey metadata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Provide a table by year, where possible, with number of transects, area covered, number of trawls or biological samples used for backscatter interpretation, length-frequency data, and expansion information.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acoustic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Compare 2024-2026 survey data extent with previous years and evaluate survey support for candidate acoustic indices.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5"/>
                <w:id w:val="21283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north acoustic table clarification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Clarify the distinction between total survey area, area containing jack mackerel, NASC density, and biomass-related quantities in the presented survey table.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acoustic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Avoid confusion between survey domain, occupied area, density, and biomass interpretation.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6"/>
                <w:id w:val="25094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central-south acoustic exclusion rationale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Draft a paragraph explaining why central-south acoustic data, including 2012, 2015, 2017, 2020, 2021, and 2023, have not been used in the assessment and whether a benchmark sensitivity is warranted.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acoustic / assessment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Document whether exclusion is due to survey design, representativeness, data quality, model behaviour, or insufficient documentation.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7"/>
                <w:id w:val="372407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Cross-year acoustic data comparison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Prepare a dedicated analysis comparing survey extent, backscatter, biological sampling, length-frequency data, and numbers-at-age across years and regions.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Acoustic/index subgroup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Put northern Chile, central-south Chile, Peru, and fishery-dependent acoustic products on a common evidence basis.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8"/>
                <w:id w:val="32336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Peru acoustic backscatter and length composition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Provide acoustic survey backscatter and associated length-composition data, with metadata on survey timing, spatial extent, transect coverage, biological sampling, length type, and uncertainty.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Peru acoustic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Evaluate whether Peru acoustic information can be used as an index, sensitivity, OM input, or diagnostic.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09"/>
                <w:id w:val="483471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Peru acoustic assessment treatment check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Check current assessment treatment of the Peru acoustic index, including selectivity, catchability, CV assumptions, relationship to Peru CPUE, and possible pre-/post-1997/1998 treatment.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Assessment subgroup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Determine whether the current model treatment is defensible and whether reintroduction or split-index treatment should be tested.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1_request_10"/>
                <w:id w:val="45917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central-south acoustic sensitivity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Evaluate whether updated central-south acoustic data through 2023 should be included as a sensitivity or retained as diagnostic information.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Assessment subgroup / Chile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Decide whether unused central-south acoustic information should be tested in the benchmark model set.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</w:tbl>
    <w:p/>
    <w:p>
      <w:pPr>
        <w:pStyle w:val="Heading1"/>
      </w:pPr>
      <w:r>
        <w:t>Day 2 Requests</w:t>
      </w:r>
    </w:p>
    <w:p>
      <w:pPr>
        <w:spacing w:after="120"/>
      </w:pPr>
      <w:r>
        <w:rPr>
          <w:b/>
        </w:rPr>
        <w:t>12 requests</w:t>
      </w:r>
      <w:r>
        <w:t xml:space="preserve"> requiring follow-up, documentation, data checks, or model diagnostics.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020"/>
        <w:gridCol w:w="1600"/>
        <w:gridCol w:w="3040"/>
      </w:tblGrid>
      <w:tr>
        <w:trPr>
          <w:cantSplit/>
          <w:tblHeader w:val="true"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Done</w:t>
            </w:r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Request / product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Lead / source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b/>
                <w:color w:val="0B2545"/>
                <w:sz w:val="17"/>
              </w:rPr>
              <w:t>Purpose / notes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1"/>
                <w:id w:val="649294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Catch/fishery data workflow statement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Draft a paragraph explaining the JMWG's compressed data schedule, the current template-based submission routine, and why database development alone will not resolve near-term benchmark data needs.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Data-quality subgroup / Chair / Secretariat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Document why the current workflow is used and what should be improved without disrupting immediate assessment preparation.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2"/>
                <w:id w:val="95696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Post data-quality checks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Post the catch and fishery data quality-check material to the jjmData GitHub repository.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Data-quality subgroup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Make diagnostics and checks visible to members working on assessment inputs.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3"/>
                <w:id w:val="97201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Clarify sampling and ALK sample sizes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Investigate reported sample sizes in age-length-key and composition data, including discrepancies between numbers of ages and numbers of length measurements.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Data-quality subgroup / Members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Improve interpretation of sample size, coverage, and uncertainty in composition inputs.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4"/>
                <w:id w:val="74238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Effort-creep diagnostic run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Run an assessment configuration with no creep correction but with a catchability step change in 2005.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Assessment subgroup / Chile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Test whether the model estimates a large catchability shift without directly imposing the effort-creep correction.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5"/>
                <w:id w:val="20468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CPUE early-period explanation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Provide a clear explanation for why the new set-based CPUE series gives lower CPUE in earlier years with high catches than the current trip-based assessment index.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Support any defensible recommendation to replace, supplement, or retain the current Chile CPUE index.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6"/>
                <w:id w:val="26523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CPUE set coverage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Add number and proportion of sets by year to the CPUE data-summary table.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Document representativeness and low early-period coverage.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7"/>
                <w:id w:val="331429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Chile CPUE model-comparison summary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Summarize the sdmTMB and INLA model-comparison discussion, including year-effect treatment, mesh sensitivity, northern fishing activity, and annual uncertainty.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Sebastian / Ignacio / Niels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Provide report-ready text for deciding whether a new Chile CPUE index can be used in the assessment.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8"/>
                <w:id w:val="962587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Days-at-sea coefficient check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Check the strength and interpretation of the days-at-sea or DFP coefficient in the INLA-based CPUE analysis.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Sebastian / Chile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Determine whether this covariate reflects fishing effort, spatial availability, or movement effects that could bias the abundance signal.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09"/>
                <w:id w:val="59051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True-zero CPUE records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Check whether zero CPUE records are true fishing zeroes or technical/non-fishing records, and whether they should be included in the CPUE standardization.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Chile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Decide whether positive-only models are adequate or whether zero-inflated/delta treatment should be evaluated.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10"/>
                <w:id w:val="590012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Peru CPUE full-series evaluation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Extend and evaluate the Peru CPUE time series before using it as an assessment or MSE input.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Peru CPUE contributors / Assessment subgroup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Avoid adopting a truncated recent series before its relationship to the historical series can be evaluated.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11"/>
                <w:id w:val="548856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Peru CPUE year-interaction diagnostic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Provide the smoother or effect plot for the year interaction in the Peru CPUE model.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Peru CPUE contributors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Help evaluate whether spatial or fleet changes are being absorbed by model smoothers.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alias w:val="Complete"/>
                <w:tag w:val="day2_request_12"/>
                <w:id w:val="931735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40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0B2545"/>
                <w:sz w:val="17"/>
              </w:rPr>
              <w:t>Offshore CPUE catchability treatment</w:t>
            </w:r>
          </w:p>
          <w:p>
            <w:pPr>
              <w:spacing w:after="0" w:line="252" w:lineRule="auto"/>
            </w:pPr>
            <w:r>
              <w:rPr>
                <w:sz w:val="16"/>
              </w:rPr>
              <w:t>Document the rationale for the 2021 offshore catchability break and the interpretation of El Nino effects relative to annual effects.</w:t>
            </w:r>
          </w:p>
        </w:tc>
        <w:tc>
          <w:tcPr>
            <w:tcW w:type="dxa" w:w="1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Offshore CPUE contributor / Assessment subgroup</w:t>
            </w:r>
          </w:p>
        </w:tc>
        <w:tc>
          <w:tcPr>
            <w:tcW w:type="dxa" w:w="304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Clarify whether offshore CPUE changes represent abundance, catchability, availability, or environmental effects.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Notes/status: </w:t>
            </w:r>
            <w:r>
              <w:rPr>
                <w:sz w:val="15"/>
              </w:rPr>
              <w:t>________________________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