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7.png" ContentType="image/png"/>
  <Override PartName="/word/media/rId43.png" ContentType="image/png"/>
  <Override PartName="/word/media/rId39.png" ContentType="image/png"/>
  <Override PartName="/word/media/rId77.png" ContentType="image/png"/>
  <Override PartName="/word/media/rId73.png" ContentType="image/png"/>
  <Override PartName="/word/media/rId57.png" ContentType="image/png"/>
  <Override PartName="/word/media/rId6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5"/>
    <w:bookmarkStart w:id="26"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6"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5" w:name="summary-comparison"/>
    <w:p>
      <w:pPr>
        <w:pStyle w:val="Heading2"/>
      </w:pPr>
      <w:r>
        <w:t xml:space="preserve">4.3 Summary Comparison</w:t>
      </w:r>
    </w:p>
    <w:p>
      <w:pPr>
        <w:pStyle w:val="FirstParagraph"/>
      </w:pPr>
      <w:r>
        <w:t xml:space="preserve">Table 1 summarizes the main structural differences between the two SC13 advice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h1_1.14</w:t>
            </w:r>
          </w:p>
        </w:tc>
        <w:tc>
          <w:tcPr/>
          <w:p>
            <w:pPr>
              <w:pStyle w:val="Compact"/>
            </w:pPr>
            <w:r>
              <w:rPr>
                <w:rStyle w:val="VerbatimChar"/>
              </w:rPr>
              <w:t xml:space="preserve">h2_1.14</w:t>
            </w:r>
          </w:p>
        </w:tc>
      </w:tr>
      <w:tr>
        <w:tc>
          <w:tcPr/>
          <w:p>
            <w:pPr>
              <w:pStyle w:val="Compact"/>
            </w:pPr>
            <w:r>
              <w:t xml:space="preserve">Stock hypothesis</w:t>
            </w:r>
          </w:p>
        </w:tc>
        <w:tc>
          <w:tcPr/>
          <w:p>
            <w:pPr>
              <w:pStyle w:val="Compact"/>
            </w:pPr>
            <w:r>
              <w:t xml:space="preserve">Single shared stock</w:t>
            </w:r>
          </w:p>
        </w:tc>
        <w:tc>
          <w:tcPr/>
          <w:p>
            <w:pPr>
              <w:pStyle w:val="Compact"/>
            </w:pPr>
            <w:r>
              <w:t xml:space="preserve">Southern stock plus far north stock</w:t>
            </w:r>
          </w:p>
        </w:tc>
      </w:tr>
      <w:tr>
        <w:tc>
          <w:tcPr/>
          <w:p>
            <w:pPr>
              <w:pStyle w:val="Compact"/>
            </w:pPr>
            <w:r>
              <w:t xml:space="preserve">Number of modeled stocks</w:t>
            </w:r>
          </w:p>
        </w:tc>
        <w:tc>
          <w:tcPr/>
          <w:p>
            <w:pPr>
              <w:pStyle w:val="Compact"/>
            </w:pPr>
            <w:r>
              <w:t xml:space="preserve">1</w:t>
            </w:r>
          </w:p>
        </w:tc>
        <w:tc>
          <w:tcPr/>
          <w:p>
            <w:pPr>
              <w:pStyle w:val="Compact"/>
            </w:pPr>
            <w:r>
              <w:t xml:space="preserve">2</w:t>
            </w:r>
          </w:p>
        </w:tc>
      </w:tr>
      <w:tr>
        <w:tc>
          <w:tcPr/>
          <w:p>
            <w:pPr>
              <w:pStyle w:val="Compact"/>
            </w:pPr>
            <w:r>
              <w:t xml:space="preserve">Data file</w:t>
            </w:r>
          </w:p>
        </w:tc>
        <w:tc>
          <w:tcPr/>
          <w:p>
            <w:pPr>
              <w:pStyle w:val="Compact"/>
            </w:pPr>
            <w:r>
              <w:rPr>
                <w:rStyle w:val="VerbatimChar"/>
              </w:rPr>
              <w:t xml:space="preserve">assessment/input/1.14.dat</w:t>
            </w:r>
          </w:p>
        </w:tc>
        <w:tc>
          <w:tcPr/>
          <w:p>
            <w:pPr>
              <w:pStyle w:val="Compact"/>
            </w:pPr>
            <w:r>
              <w:rPr>
                <w:rStyle w:val="VerbatimChar"/>
              </w:rPr>
              <w:t xml:space="preserve">assessment/input/1.14.dat</w:t>
            </w:r>
          </w:p>
        </w:tc>
      </w:tr>
      <w:tr>
        <w:tc>
          <w:tcPr/>
          <w:p>
            <w:pPr>
              <w:pStyle w:val="Compact"/>
            </w:pPr>
            <w:r>
              <w:t xml:space="preserve">Natural mortality</w:t>
            </w:r>
          </w:p>
        </w:tc>
        <w:tc>
          <w:tcPr/>
          <w:p>
            <w:pPr>
              <w:pStyle w:val="Compact"/>
            </w:pPr>
            <w:r>
              <w:t xml:space="preserve">0.28</w:t>
            </w:r>
          </w:p>
        </w:tc>
        <w:tc>
          <w:tcPr/>
          <w:p>
            <w:pPr>
              <w:pStyle w:val="Compact"/>
            </w:pPr>
            <w:r>
              <w:t xml:space="preserve">0.28 and 0.33</w:t>
            </w:r>
          </w:p>
        </w:tc>
      </w:tr>
      <w:tr>
        <w:tc>
          <w:tcPr/>
          <w:p>
            <w:pPr>
              <w:pStyle w:val="Compact"/>
            </w:pPr>
            <w:r>
              <w:t xml:space="preserve">Maturity schedule</w:t>
            </w:r>
          </w:p>
        </w:tc>
        <w:tc>
          <w:tcPr/>
          <w:p>
            <w:pPr>
              <w:pStyle w:val="Compact"/>
            </w:pPr>
            <w:r>
              <w:t xml:space="preserve">One schedule</w:t>
            </w:r>
          </w:p>
        </w:tc>
        <w:tc>
          <w:tcPr/>
          <w:p>
            <w:pPr>
              <w:pStyle w:val="Compact"/>
            </w:pPr>
            <w:r>
              <w:t xml:space="preserve">Stock-specific schedules</w:t>
            </w:r>
          </w:p>
        </w:tc>
      </w:tr>
      <w:tr>
        <w:tc>
          <w:tcPr/>
          <w:p>
            <w:pPr>
              <w:pStyle w:val="Compact"/>
            </w:pPr>
            <w:r>
              <w:t xml:space="preserve">Population weight-at-age</w:t>
            </w:r>
          </w:p>
        </w:tc>
        <w:tc>
          <w:tcPr/>
          <w:p>
            <w:pPr>
              <w:pStyle w:val="Compact"/>
            </w:pPr>
            <w:r>
              <w:t xml:space="preserve">One schedule</w:t>
            </w:r>
          </w:p>
        </w:tc>
        <w:tc>
          <w:tcPr/>
          <w:p>
            <w:pPr>
              <w:pStyle w:val="Compact"/>
            </w:pPr>
            <w:r>
              <w:t xml:space="preserve">Stock-specific schedules</w:t>
            </w:r>
          </w:p>
        </w:tc>
      </w:tr>
      <w:tr>
        <w:tc>
          <w:tcPr/>
          <w:p>
            <w:pPr>
              <w:pStyle w:val="Compact"/>
            </w:pPr>
            <w:r>
              <w:t xml:space="preserve">Recruitment structure</w:t>
            </w:r>
          </w:p>
        </w:tc>
        <w:tc>
          <w:tcPr/>
          <w:p>
            <w:pPr>
              <w:pStyle w:val="Compact"/>
            </w:pPr>
            <w:r>
              <w:t xml:space="preserve">One curve, 2000-2022</w:t>
            </w:r>
          </w:p>
        </w:tc>
        <w:tc>
          <w:tcPr/>
          <w:p>
            <w:pPr>
              <w:pStyle w:val="Compact"/>
            </w:pPr>
            <w:r>
              <w:t xml:space="preserve">Three assignments with a 1999 regime shift</w:t>
            </w:r>
          </w:p>
        </w:tc>
      </w:tr>
      <w:tr>
        <w:tc>
          <w:tcPr/>
          <w:p>
            <w:pPr>
              <w:pStyle w:val="Compact"/>
            </w:pPr>
            <w:r>
              <w:t xml:space="preserve">Far North selectivity</w:t>
            </w:r>
          </w:p>
        </w:tc>
        <w:tc>
          <w:tcPr/>
          <w:p>
            <w:pPr>
              <w:pStyle w:val="Compact"/>
            </w:pPr>
            <w:r>
              <w:t xml:space="preserve">Annual variation from 1981</w:t>
            </w:r>
          </w:p>
        </w:tc>
        <w:tc>
          <w:tcPr/>
          <w:p>
            <w:pPr>
              <w:pStyle w:val="Compact"/>
            </w:pPr>
            <w:r>
              <w:t xml:space="preserve">Simplified regime treatment centered on 2002</w:t>
            </w:r>
          </w:p>
        </w:tc>
      </w:tr>
      <w:tr>
        <w:tc>
          <w:tcPr/>
          <w:p>
            <w:pPr>
              <w:pStyle w:val="Compact"/>
            </w:pPr>
            <w:r>
              <w:t xml:space="preserve">Projection horizon</w:t>
            </w:r>
          </w:p>
        </w:tc>
        <w:tc>
          <w:tcPr/>
          <w:p>
            <w:pPr>
              <w:pStyle w:val="Compact"/>
            </w:pPr>
            <w:r>
              <w:t xml:space="preserve">20 years</w:t>
            </w:r>
          </w:p>
        </w:tc>
        <w:tc>
          <w:tcPr/>
          <w:p>
            <w:pPr>
              <w:pStyle w:val="Compact"/>
            </w:pPr>
            <w:r>
              <w:t xml:space="preserve">20 years</w:t>
            </w:r>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Xdf21a61c1b4d59d91b08b247089ff271b7fcfe4"/>
    <w:p>
      <w:pPr>
        <w:pStyle w:val="Heading1"/>
      </w:pPr>
      <w:r>
        <w:t xml:space="preserve">5. Why the SC13 Base Model Is Difficult to Transfer Directly into MSE</w:t>
      </w:r>
    </w:p>
    <w:p>
      <w:pPr>
        <w:pStyle w:val="FirstParagraph"/>
      </w:pPr>
      <w:r>
        <w:t xml:space="preserve">The July 2025 MSE workshop concluded that the base assessment should first be documented and then simplified before being used as an MSE operating model. The repository materials support that conclusion.</w:t>
      </w:r>
    </w:p>
    <w:p>
      <w:pPr>
        <w:pStyle w:val="BodyText"/>
      </w:pPr>
      <w:r>
        <w:t xml:space="preserve">The SC13 base model uses extensive time-varying selectivity. This was increased further in the 2025 assessment to improve fits for the south-central Chile and offshore fleets. Time-varying selectivity may be necessary in annual assessments, but it can make MSE results difficult to interpret because changes in management performance may reflect 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 depend on terminal-year conditions, especially relative catch shares, selectivity-at-age, and weights-at-age.</w:t>
      </w:r>
      <w:r>
        <w:t xml:space="preserve"> </w:t>
      </w:r>
      <w:r>
        <w:t xml:space="preserve">This makes stock status and advice partly conditional on the most recent fitted 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 shortened low-productivity recruitment history. This means that advice is generated from a model in which the fitting phase and the projection phase are intentionally not identical. In MSE, that layering needs to be explicit and deliberate rather than 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 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94" w:name="proposed-simplified-alternatives"/>
    <w:p>
      <w:pPr>
        <w:pStyle w:val="Heading1"/>
      </w:pPr>
      <w:r>
        <w:t xml:space="preserve">6. Proposed Simplified Alternatives</w:t>
      </w:r>
    </w:p>
    <w:p>
      <w:pPr>
        <w:pStyle w:val="FirstParagraph"/>
      </w:pPr>
      <w:r>
        <w:t xml:space="preserve">The SC13 base model should therefore be regarded as the reference assessment formulation. Simplified alternatives should be judged according to how much of the essential behavior of the base model they retain while reducing structural complexity that is not strictly necessary for MSE.</w:t>
      </w:r>
    </w:p>
    <w:p>
      <w:pPr>
        <w:pStyle w:val="BodyText"/>
      </w:pPr>
      <w:r>
        <w:t xml:space="preserve">A practical first set of alternatives is as follows.</w:t>
      </w:r>
    </w:p>
    <w:p>
      <w:pPr>
        <w:pStyle w:val="BodyText"/>
      </w:pPr>
      <w:r>
        <w:t xml:space="preserve">Table</w:t>
      </w:r>
      <w:r>
        <w:t xml:space="preserve"> </w:t>
      </w:r>
      <w:hyperlink w:anchor="tbl-simplified-model-summary">
        <w:r>
          <w:rPr>
            <w:rStyle w:val="Hyperlink"/>
          </w:rPr>
          <w:t xml:space="preserve">Table 1</w:t>
        </w:r>
      </w:hyperlink>
      <w:r>
        <w:t xml:space="preserve"> </w:t>
      </w:r>
      <w:r>
        <w:t xml:space="preserve">summarizes the main working variants discussed in this section and how each differs from its</w:t>
      </w:r>
      <w:r>
        <w:t xml:space="preserve"> </w:t>
      </w:r>
      <w:r>
        <w:rPr>
          <w:rStyle w:val="VerbatimChar"/>
        </w:rPr>
        <w:t xml:space="preserve">1.14</w:t>
      </w:r>
      <w:r>
        <w:t xml:space="preserve"> </w:t>
      </w:r>
      <w:r>
        <w:t xml:space="preserve">assessment counterpart.</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1: Summary of the simplified model variants discussed in Section 6.</w:t>
            </w:r>
          </w:p>
          <w:tbl>
            <w:tblPr>
              <w:tblStyle w:val="Table"/>
              <w:tblW w:type="pct" w:w="5000"/>
              <w:tblLayout w:type="fixed"/>
              <w:tblLook w:firstRow="1" w:lastRow="0" w:firstColumn="0" w:lastColumn="0" w:noHBand="0" w:noVBand="0" w:val="0020"/>
            </w:tblPr>
            <w:tblGrid>
              <w:gridCol w:w="186"/>
              <w:gridCol w:w="373"/>
              <w:gridCol w:w="373"/>
              <w:gridCol w:w="2663"/>
              <w:gridCol w:w="2429"/>
              <w:gridCol w:w="1892"/>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8"/>
          <w:p/>
        </w:tc>
      </w:tr>
    </w:tbl>
    <w:p>
      <w:pPr>
        <w:pStyle w:val="BodyText"/>
      </w:pPr>
      <w:r>
        <w:t xml:space="preserve">No separate</w:t>
      </w:r>
      <w:r>
        <w:t xml:space="preserve"> </w:t>
      </w:r>
      <w:r>
        <w:rPr>
          <w:rStyle w:val="VerbatimChar"/>
        </w:rPr>
        <w:t xml:space="preserve">h2_2.00</w:t>
      </w:r>
      <w:r>
        <w:t xml:space="preserve"> </w:t>
      </w:r>
      <w:r>
        <w:t xml:space="preserve">label is used in the current working set. Instead,</w:t>
      </w:r>
      <w:r>
        <w:t xml:space="preserve"> </w:t>
      </w:r>
      <w:r>
        <w:rPr>
          <w:rStyle w:val="VerbatimChar"/>
        </w:rPr>
        <w:t xml:space="preserve">h2_2.02</w:t>
      </w:r>
      <w:r>
        <w:t xml:space="preserve"> </w:t>
      </w:r>
      <w:r>
        <w:t xml:space="preserve">serves as the two-stock reduced-index analogue while also carrying the harmonized Far North selectivity treatment.</w:t>
      </w:r>
    </w:p>
    <w:bookmarkStart w:id="50"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JM-WP-BM-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JM-WP-BM-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83"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82"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6"/>
    <w:bookmarkStart w:id="81"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JM-WP-BM-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JM-WP-BM-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t xml:space="preserve">The negative-log-likelihood breakdown for the base single-stock model and the two simplified alternatives is shown in</w:t>
      </w:r>
      <w:r>
        <w:t xml:space="preserve"> </w:t>
      </w:r>
      <w:hyperlink w:anchor="tbl-h1-like-components">
        <w:r>
          <w:rPr>
            <w:rStyle w:val="Hyperlink"/>
          </w:rPr>
          <w:t xml:space="preserve">Table 2</w:t>
        </w:r>
      </w:hyperlink>
      <w:r>
        <w:t xml:space="preserve">. The reduced-index sensitivity lowers the index-related likelihood contributions with only a modest reduction in total fit, whereas the block-selectivity model achieves a much larger reduction in estimated parameters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6" w:name="tbl-h1-like-components"/>
          <w:p>
            <w:pPr>
              <w:jc w:val="center"/>
            </w:pPr>
            <w:pPr>
              <w:jc w:val="left"/>
              <w:spacing w:before="200"/>
              <w:pStyle w:val="ImageCaption"/>
            </w:pPr>
            <w:r>
              <w:t xml:space="preserve">Table 2: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6"/>
        </w:tc>
      </w:tr>
    </w:tbl>
    <w:p>
      <w:pPr>
        <w:pStyle w:val="BodyText"/>
      </w:pP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t xml:space="preserve">The visual fit to the retained and comparable abundance indices is shown in</w:t>
      </w:r>
      <w:r>
        <w:t xml:space="preserve"> </w:t>
      </w:r>
      <w:hyperlink w:anchor="fig-h1-index-fits">
        <w:r>
          <w:rPr>
            <w:rStyle w:val="Hyperlink"/>
          </w:rPr>
          <w:t xml:space="preserve">Figure 4</w:t>
        </w:r>
      </w:hyperlink>
      <w:r>
        <w:t xml:space="preserve">. This comparison places the base model alongside the reduced-index and Far North harmonization variants. It shows that</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w:t>
      </w:r>
      <w:r>
        <w:t xml:space="preserve">retain broadly similar fits to the South-Central Chile CPUE, Peruvian CPUE, and Offshore CPUE series, while differing more materially in the Acoustic North series and, to a lesser extent, in the recent Chile CPUE trajectory.</w:t>
      </w:r>
    </w:p>
    <w:tbl>
      <w:tblPr>
        <w:tblStyle w:val="Table"/>
        <w:tblW w:type="pct" w:w="5000"/>
        <w:tblLayout w:type="fixed"/>
        <w:tblLook w:firstRow="0" w:lastRow="0" w:firstColumn="0" w:lastColumn="0" w:noHBand="0" w:noVBand="0" w:val="0000"/>
      </w:tblPr>
      <w:tblGrid>
        <w:gridCol w:w="7920"/>
      </w:tblGrid>
      <w:tr>
        <w:tc>
          <w:tcPr/>
          <w:bookmarkStart w:id="70" w:name="fig-h1-index-fits"/>
          <w:p>
            <w:pPr>
              <w:pStyle w:val="Compact"/>
              <w:jc w:val="center"/>
            </w:pPr>
            <w:r>
              <w:drawing>
                <wp:inline>
                  <wp:extent cx="5334000" cy="4333875"/>
                  <wp:effectExtent b="0" l="0" r="0" t="0"/>
                  <wp:docPr descr="" title="" id="68" name="Picture"/>
                  <a:graphic>
                    <a:graphicData uri="http://schemas.openxmlformats.org/drawingml/2006/picture">
                      <pic:pic>
                        <pic:nvPicPr>
                          <pic:cNvPr descr="JM-WP-BM-01_files/figure-docx/fig-h1-index-fits-1.png" id="69" name="Picture"/>
                          <pic:cNvPicPr>
                            <a:picLocks noChangeArrowheads="1" noChangeAspect="1"/>
                          </pic:cNvPicPr>
                        </pic:nvPicPr>
                        <pic:blipFill>
                          <a:blip r:embed="rId67"/>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70"/>
        </w:tc>
      </w:tr>
    </w:tbl>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6" w:name="fig-selectivity-blocks-ssb"/>
          <w:p>
            <w:pPr>
              <w:pStyle w:val="Compact"/>
              <w:jc w:val="center"/>
            </w:pPr>
            <w:r>
              <w:drawing>
                <wp:inline>
                  <wp:extent cx="5334000" cy="3194843"/>
                  <wp:effectExtent b="0" l="0" r="0" t="0"/>
                  <wp:docPr descr="" title="" id="74" name="Picture"/>
                  <a:graphic>
                    <a:graphicData uri="http://schemas.openxmlformats.org/drawingml/2006/picture">
                      <pic:pic>
                        <pic:nvPicPr>
                          <pic:cNvPr descr="JM-WP-BM-01_files/figure-docx/fig-selectivity-blocks-ssb-1.png" id="75" name="Picture"/>
                          <pic:cNvPicPr>
                            <a:picLocks noChangeArrowheads="1" noChangeAspect="1"/>
                          </pic:cNvPicPr>
                        </pic:nvPicPr>
                        <pic:blipFill>
                          <a:blip r:embed="rId7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electivity-blocks-rec"/>
          <w:p>
            <w:pPr>
              <w:pStyle w:val="Compact"/>
              <w:jc w:val="center"/>
            </w:pPr>
            <w:r>
              <w:drawing>
                <wp:inline>
                  <wp:extent cx="5334000" cy="3194843"/>
                  <wp:effectExtent b="0" l="0" r="0" t="0"/>
                  <wp:docPr descr="" title="" id="78" name="Picture"/>
                  <a:graphic>
                    <a:graphicData uri="http://schemas.openxmlformats.org/drawingml/2006/picture">
                      <pic:pic>
                        <pic:nvPicPr>
                          <pic:cNvPr descr="JM-WP-BM-01_files/figure-docx/fig-selectivity-blocks-rec-1.png" id="79" name="Picture"/>
                          <pic:cNvPicPr>
                            <a:picLocks noChangeArrowheads="1" noChangeAspect="1"/>
                          </pic:cNvPicPr>
                        </pic:nvPicPr>
                        <pic:blipFill>
                          <a:blip r:embed="rId77"/>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0"/>
        </w:tc>
      </w:tr>
    </w:tbl>
    <w:bookmarkEnd w:id="81"/>
    <w:bookmarkEnd w:id="82"/>
    <w:bookmarkEnd w:id="83"/>
    <w:bookmarkStart w:id="87" w:name="harmonized-northern-treatment"/>
    <w:p>
      <w:pPr>
        <w:pStyle w:val="Heading2"/>
      </w:pPr>
      <w:r>
        <w:t xml:space="preserve">6.3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north-harmonized-like-components"/>
          <w:p>
            <w:pPr>
              <w:jc w:val="center"/>
            </w:pPr>
            <w:pPr>
              <w:jc w:val="left"/>
              <w:spacing w:before="200"/>
              <w:pStyle w:val="ImageCaption"/>
            </w:pPr>
            <w:r>
              <w:t xml:space="preserve">Table 3: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86"/>
        </w:tc>
      </w:tr>
    </w:tbl>
    <w:bookmarkEnd w:id="87"/>
    <w:bookmarkStart w:id="90" w:name="simplified-recruitment-alternatives"/>
    <w:p>
      <w:pPr>
        <w:pStyle w:val="Heading2"/>
      </w:pPr>
      <w:r>
        <w:t xml:space="preserve">6.4 Simplified Recruitment Alternatives</w:t>
      </w:r>
    </w:p>
    <w:p>
      <w:pPr>
        <w:pStyle w:val="FirstParagraph"/>
      </w:pPr>
      <w:r>
        <w:t xml:space="preserve">A second option is to reduce recruitment complexity by using one recruitment relationship per stock hypothesis, or one per stock under the two-stock model, without additional regime splitting unless that feature is shown to be essential for management performance. The preferred approach is therefore to fit a single Beverton-Holt relationship per stock in the simplified operating model, and then 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bookmarkEnd w:id="90"/>
    <w:bookmarkStart w:id="93" w:name="fixed-reference-point-alternatives"/>
    <w:p>
      <w:pPr>
        <w:pStyle w:val="Heading2"/>
      </w:pPr>
      <w:r>
        <w:t xml:space="preserve">6.5 Fixed-Reference-Point Alternatives</w:t>
      </w:r>
    </w:p>
    <w:p>
      <w:pPr>
        <w:pStyle w:val="FirstParagraph"/>
      </w:pPr>
      <w:r>
        <w:t xml:space="preserve">A third option is to evaluate MSE performance relative to fixed biomass and harvest-rate benchmarks rather than dynamic reference points estimated from terminal-year conditions. This would make the interpretation of management performance much clearer 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 with terminal-year selectivity and weight-at-age — is appropriate in the annual assessment context but problematic for MSE. If reference points change every year as a function of the operating model state, it becomes difficult to distinguish genuine changes in stock productivity from artefacts of the 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93"/>
    <w:bookmarkEnd w:id="94"/>
    <w:bookmarkStart w:id="95" w:name="summary"/>
    <w:p>
      <w:pPr>
        <w:pStyle w:val="Heading1"/>
      </w:pPr>
      <w:r>
        <w:t xml:space="preserve">7. Summary</w:t>
      </w:r>
    </w:p>
    <w:p>
      <w:pPr>
        <w:pStyle w:val="FirstParagraph"/>
      </w:pPr>
      <w:r>
        <w:t xml:space="preserve">The evaluations presented here are meant as discussion items leading into the benchmark workshop.</w:t>
      </w:r>
      <w:r>
        <w:t xml:space="preserve"> </w:t>
      </w:r>
      <w:r>
        <w:t xml:space="preserve">One set of potential issue has emerged for further consideration by the group:</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The next step is to construct and compare simplified alternatives that remain faithful to the broad SC13 assessment picture while avoiding the complicated issues identified during the July 2025 MSE workshop. The reviewer comments documented here provide a prioritized roadmap for that work.</w:t>
      </w:r>
    </w:p>
    <w:bookmarkEnd w:id="95"/>
    <w:bookmarkStart w:id="105"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96"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96"/>
    <w:bookmarkStart w:id="97"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97"/>
    <w:bookmarkStart w:id="98"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98"/>
    <w:bookmarkStart w:id="99"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99"/>
    <w:bookmarkStart w:id="100"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00"/>
    <w:bookmarkStart w:id="101"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01"/>
    <w:bookmarkStart w:id="102"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02"/>
    <w:bookmarkStart w:id="103"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03"/>
    <w:bookmarkStart w:id="104"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04"/>
    <w:bookmarkEnd w:id="105"/>
    <w:bookmarkStart w:id="139" w:name="references"/>
    <w:p>
      <w:pPr>
        <w:pStyle w:val="Heading1"/>
      </w:pPr>
      <w:r>
        <w:t xml:space="preserve">References</w:t>
      </w:r>
    </w:p>
    <w:bookmarkStart w:id="138" w:name="refs"/>
    <w:bookmarkStart w:id="107"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06">
        <w:r>
          <w:rPr>
            <w:rStyle w:val="Hyperlink"/>
          </w:rPr>
          <w:t xml:space="preserve">https://doi.org/10.1086/401873</w:t>
        </w:r>
      </w:hyperlink>
    </w:p>
    <w:bookmarkEnd w:id="107"/>
    <w:bookmarkStart w:id="10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08"/>
    <w:bookmarkStart w:id="11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09">
        <w:r>
          <w:rPr>
            <w:rStyle w:val="Hyperlink"/>
          </w:rPr>
          <w:t xml:space="preserve">https://doi.org/10.1006/jmsc.1999.0532</w:t>
        </w:r>
      </w:hyperlink>
    </w:p>
    <w:bookmarkEnd w:id="110"/>
    <w:bookmarkStart w:id="11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11">
        <w:r>
          <w:rPr>
            <w:rStyle w:val="Hyperlink"/>
          </w:rPr>
          <w:t xml:space="preserve">https://www.iccat.int/Documents/CVSP/CV081_2024/n_2/CV08102149.pdf</w:t>
        </w:r>
      </w:hyperlink>
    </w:p>
    <w:bookmarkEnd w:id="112"/>
    <w:bookmarkStart w:id="11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13">
        <w:r>
          <w:rPr>
            <w:rStyle w:val="Hyperlink"/>
          </w:rPr>
          <w:t xml:space="preserve">https://doi.org/10.1080/10556788.2011.597854</w:t>
        </w:r>
      </w:hyperlink>
    </w:p>
    <w:bookmarkEnd w:id="114"/>
    <w:bookmarkStart w:id="11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15">
        <w:r>
          <w:rPr>
            <w:rStyle w:val="Hyperlink"/>
          </w:rPr>
          <w:t xml:space="preserve">https://doi.org/10.1139/f82-157</w:t>
        </w:r>
      </w:hyperlink>
    </w:p>
    <w:bookmarkEnd w:id="116"/>
    <w:bookmarkStart w:id="11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17">
        <w:r>
          <w:rPr>
            <w:rStyle w:val="Hyperlink"/>
          </w:rPr>
          <w:t xml:space="preserve">https://doi.org/10.1139/f2011-025</w:t>
        </w:r>
      </w:hyperlink>
    </w:p>
    <w:bookmarkEnd w:id="118"/>
    <w:bookmarkStart w:id="12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19">
        <w:r>
          <w:rPr>
            <w:rStyle w:val="Hyperlink"/>
          </w:rPr>
          <w:t xml:space="preserve">https://doi.org/10.1007/978-1-4615-3598-0</w:t>
        </w:r>
      </w:hyperlink>
    </w:p>
    <w:bookmarkEnd w:id="120"/>
    <w:bookmarkStart w:id="12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21">
        <w:r>
          <w:rPr>
            <w:rStyle w:val="Hyperlink"/>
          </w:rPr>
          <w:t xml:space="preserve">https://doi.org/10.1093/icesjms/fsq173</w:t>
        </w:r>
      </w:hyperlink>
    </w:p>
    <w:bookmarkEnd w:id="122"/>
    <w:bookmarkStart w:id="123"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23"/>
    <w:bookmarkStart w:id="125"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24">
        <w:r>
          <w:rPr>
            <w:rStyle w:val="Hyperlink"/>
          </w:rPr>
          <w:t xml:space="preserve">https://doi.org/10.2307/2344614</w:t>
        </w:r>
      </w:hyperlink>
    </w:p>
    <w:bookmarkEnd w:id="125"/>
    <w:bookmarkStart w:id="127"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26">
        <w:r>
          <w:rPr>
            <w:rStyle w:val="Hyperlink"/>
          </w:rPr>
          <w:t xml:space="preserve">https://doi.org/10.1111/faf.12104</w:t>
        </w:r>
      </w:hyperlink>
    </w:p>
    <w:bookmarkEnd w:id="127"/>
    <w:bookmarkStart w:id="129"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28">
        <w:r>
          <w:rPr>
            <w:rStyle w:val="Hyperlink"/>
          </w:rPr>
          <w:t xml:space="preserve">https://doi.org/10.1073/pnas.1820344116</w:t>
        </w:r>
      </w:hyperlink>
    </w:p>
    <w:bookmarkEnd w:id="129"/>
    <w:bookmarkStart w:id="131"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30">
        <w:r>
          <w:rPr>
            <w:rStyle w:val="Hyperlink"/>
          </w:rPr>
          <w:t xml:space="preserve">https://doi.org/10.1139/f95-800</w:t>
        </w:r>
      </w:hyperlink>
    </w:p>
    <w:bookmarkEnd w:id="131"/>
    <w:bookmarkStart w:id="133"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32">
        <w:r>
          <w:rPr>
            <w:rStyle w:val="Hyperlink"/>
          </w:rPr>
          <w:t xml:space="preserve">https://doi.org/10.1111/faf.12579</w:t>
        </w:r>
      </w:hyperlink>
    </w:p>
    <w:bookmarkEnd w:id="133"/>
    <w:bookmarkStart w:id="135"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34">
        <w:r>
          <w:rPr>
            <w:rStyle w:val="Hyperlink"/>
          </w:rPr>
          <w:t xml:space="preserve">https://www.sprfmo.int/assets/Meetings/02-SC/13th-SC-2025/Jack-Mackerel/SC13-JM09-Report-of-the-JMWG-Management-Strategy-Evaluation-Technical-Workshop.pdf</w:t>
        </w:r>
      </w:hyperlink>
    </w:p>
    <w:bookmarkEnd w:id="135"/>
    <w:bookmarkStart w:id="137"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36">
        <w:r>
          <w:rPr>
            <w:rStyle w:val="Hyperlink"/>
          </w:rPr>
          <w:t xml:space="preserve">https://sprfmo.int/assets/Meetings/02-SC/13th-SC-2025/SC13-Report-Annex-11_final.pdf</w:t>
        </w:r>
      </w:hyperlink>
    </w:p>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7" Target="media/rId6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hyperlink" Id="rId109" Target="https://doi.org/10.1006/jmsc.1999.0532" TargetMode="External" /><Relationship Type="http://schemas.openxmlformats.org/officeDocument/2006/relationships/hyperlink" Id="rId119" Target="https://doi.org/10.1007/978-1-4615-3598-0" TargetMode="External" /><Relationship Type="http://schemas.openxmlformats.org/officeDocument/2006/relationships/hyperlink" Id="rId128" Target="https://doi.org/10.1073/pnas.1820344116" TargetMode="External" /><Relationship Type="http://schemas.openxmlformats.org/officeDocument/2006/relationships/hyperlink" Id="rId113" Target="https://doi.org/10.1080/10556788.2011.597854" TargetMode="External" /><Relationship Type="http://schemas.openxmlformats.org/officeDocument/2006/relationships/hyperlink" Id="rId106" Target="https://doi.org/10.1086/401873" TargetMode="External" /><Relationship Type="http://schemas.openxmlformats.org/officeDocument/2006/relationships/hyperlink" Id="rId121" Target="https://doi.org/10.1093/icesjms/fsq173" TargetMode="External" /><Relationship Type="http://schemas.openxmlformats.org/officeDocument/2006/relationships/hyperlink" Id="rId126" Target="https://doi.org/10.1111/faf.12104" TargetMode="External" /><Relationship Type="http://schemas.openxmlformats.org/officeDocument/2006/relationships/hyperlink" Id="rId132" Target="https://doi.org/10.1111/faf.12579" TargetMode="External" /><Relationship Type="http://schemas.openxmlformats.org/officeDocument/2006/relationships/hyperlink" Id="rId117" Target="https://doi.org/10.1139/f2011-025" TargetMode="External" /><Relationship Type="http://schemas.openxmlformats.org/officeDocument/2006/relationships/hyperlink" Id="rId115" Target="https://doi.org/10.1139/f82-157" TargetMode="External" /><Relationship Type="http://schemas.openxmlformats.org/officeDocument/2006/relationships/hyperlink" Id="rId130" Target="https://doi.org/10.1139/f95-800" TargetMode="External" /><Relationship Type="http://schemas.openxmlformats.org/officeDocument/2006/relationships/hyperlink" Id="rId124"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36" Target="https://sprfmo.int/assets/Meetings/02-SC/13th-SC-2025/SC13-Report-Annex-11_final.pdf" TargetMode="External" /><Relationship Type="http://schemas.openxmlformats.org/officeDocument/2006/relationships/hyperlink" Id="rId111" Target="https://www.iccat.int/Documents/CVSP/CV081_2024/n_2/CV08102149.pdf" TargetMode="External" /><Relationship Type="http://schemas.openxmlformats.org/officeDocument/2006/relationships/hyperlink" Id="rId134"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6/jmsc.1999.0532" TargetMode="External" /><Relationship Type="http://schemas.openxmlformats.org/officeDocument/2006/relationships/hyperlink" Id="rId119" Target="https://doi.org/10.1007/978-1-4615-3598-0" TargetMode="External" /><Relationship Type="http://schemas.openxmlformats.org/officeDocument/2006/relationships/hyperlink" Id="rId128" Target="https://doi.org/10.1073/pnas.1820344116" TargetMode="External" /><Relationship Type="http://schemas.openxmlformats.org/officeDocument/2006/relationships/hyperlink" Id="rId113" Target="https://doi.org/10.1080/10556788.2011.597854" TargetMode="External" /><Relationship Type="http://schemas.openxmlformats.org/officeDocument/2006/relationships/hyperlink" Id="rId106" Target="https://doi.org/10.1086/401873" TargetMode="External" /><Relationship Type="http://schemas.openxmlformats.org/officeDocument/2006/relationships/hyperlink" Id="rId121" Target="https://doi.org/10.1093/icesjms/fsq173" TargetMode="External" /><Relationship Type="http://schemas.openxmlformats.org/officeDocument/2006/relationships/hyperlink" Id="rId126" Target="https://doi.org/10.1111/faf.12104" TargetMode="External" /><Relationship Type="http://schemas.openxmlformats.org/officeDocument/2006/relationships/hyperlink" Id="rId132" Target="https://doi.org/10.1111/faf.12579" TargetMode="External" /><Relationship Type="http://schemas.openxmlformats.org/officeDocument/2006/relationships/hyperlink" Id="rId117" Target="https://doi.org/10.1139/f2011-025" TargetMode="External" /><Relationship Type="http://schemas.openxmlformats.org/officeDocument/2006/relationships/hyperlink" Id="rId115" Target="https://doi.org/10.1139/f82-157" TargetMode="External" /><Relationship Type="http://schemas.openxmlformats.org/officeDocument/2006/relationships/hyperlink" Id="rId130" Target="https://doi.org/10.1139/f95-800" TargetMode="External" /><Relationship Type="http://schemas.openxmlformats.org/officeDocument/2006/relationships/hyperlink" Id="rId124"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36" Target="https://sprfmo.int/assets/Meetings/02-SC/13th-SC-2025/SC13-Report-Annex-11_final.pdf" TargetMode="External" /><Relationship Type="http://schemas.openxmlformats.org/officeDocument/2006/relationships/hyperlink" Id="rId111" Target="https://www.iccat.int/Documents/CVSP/CV081_2024/n_2/CV08102149.pdf" TargetMode="External" /><Relationship Type="http://schemas.openxmlformats.org/officeDocument/2006/relationships/hyperlink" Id="rId134"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2026-03-19T23:10:36Z</dcterms:created>
  <dcterms:modified xsi:type="dcterms:W3CDTF">2026-03-19T23:10:36Z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