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68.png" ContentType="image/png"/>
  <Override PartName="/word/media/rId131.png" ContentType="image/png"/>
  <Override PartName="/word/media/rId139.png" ContentType="image/png"/>
  <Override PartName="/word/media/rId135.png" ContentType="image/png"/>
  <Override PartName="/word/media/rId124.png" ContentType="image/png"/>
  <Override PartName="/word/media/rId44.png" ContentType="image/png"/>
  <Override PartName="/word/media/rId40.png" ContentType="image/png"/>
  <Override PartName="/word/media/rId78.png" ContentType="image/png"/>
  <Override PartName="/word/media/rId74.png" ContentType="image/png"/>
  <Override PartName="/word/media/rId58.png" ContentType="image/png"/>
  <Override PartName="/word/media/rId62.png" ContentType="image/png"/>
  <Override PartName="/word/media/rId86.png" ContentType="image/png"/>
  <Override PartName="/word/media/rId90.png" ContentType="image/png"/>
  <Override PartName="/word/media/rId82.png" ContentType="image/png"/>
  <Override PartName="/word/media/rId100.png" ContentType="image/png"/>
  <Override PartName="/word/media/rId104.png" ContentType="image/png"/>
  <Override PartName="/word/media/rId110.png" ContentType="image/png"/>
  <Override PartName="/word/media/rId114.png" ContentType="image/png"/>
  <Override PartName="/word/media/rId9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Developments of the base SC13 model for benchmark and MSE considerations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b/>
          <w:bCs/>
        </w:rPr>
        <w:t xml:space="preserve">1.</w:t>
      </w:r>
      <w:r>
        <w:t xml:space="preserve"> </w:t>
      </w:r>
      <w:r>
        <w:rPr>
          <w:i/>
          <w:iCs/>
        </w:rPr>
        <w:t xml:space="preserve">Working paper JM-WP-BM-01</w:t>
      </w:r>
    </w:p>
    <w:bookmarkStart w:id="23" w:name="Xb78923e3b7de4b1dec29c034e6cc76c9a9df775"/>
    <w:p>
      <w:pPr>
        <w:pStyle w:val="Heading2"/>
      </w:pPr>
      <w:r>
        <w:t xml:space="preserve">0.1 Extension of the base (SC13) models for benchmark and MSE considerations</w:t>
      </w:r>
    </w:p>
    <w:bookmarkEnd w:id="23"/>
    <w:bookmarkStart w:id="25" w:name="abstract"/>
    <w:p>
      <w:pPr>
        <w:pStyle w:val="Heading1"/>
      </w:pPr>
      <w:r>
        <w:t xml:space="preserve">Abstract</w:t>
      </w:r>
    </w:p>
    <w:p>
      <w:pPr>
        <w:pStyle w:val="FirstParagraph"/>
      </w:pPr>
      <w:r>
        <w:rPr>
          <w:b/>
          <w:bCs/>
        </w:rPr>
        <w:t xml:space="preserve">2.</w:t>
      </w:r>
      <w:r>
        <w:t xml:space="preserve"> </w:t>
      </w: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p>
    <w:p>
      <w:pPr>
        <w:pStyle w:val="BodyText"/>
      </w:pPr>
      <w:r>
        <w:rPr>
          <w:b/>
          <w:bCs/>
        </w:rPr>
        <w:t xml:space="preserve">3.</w:t>
      </w:r>
      <w:r>
        <w:t xml:space="preserve"> </w:t>
      </w:r>
      <w:r>
        <w:t xml:space="preserve">The immediate justification for beginning this work is to avoid carrying into MSE several complicated features that were identified during the</w:t>
      </w:r>
      <w:r>
        <w:t xml:space="preserve"> </w:t>
      </w:r>
      <w:hyperlink r:id="rId24">
        <w:r>
          <w:rPr>
            <w:rStyle w:val="Hyperlink"/>
          </w:rPr>
          <w:t xml:space="preserve">July 2025 MSE workshop</w:t>
        </w:r>
      </w:hyperlink>
      <w:r>
        <w:t xml:space="preserve">. These include extensive time-varying selectivity, dynamic reference points that depend on terminal-year model conditions, and projection assumptions that differ from the assumptions used during model fitting. The SC13 base model therefore serves here as the reference assessment formulation from which reduced alternatives can be developed and tested.</w:t>
      </w:r>
    </w:p>
    <w:p>
      <w:pPr>
        <w:pStyle w:val="BodyText"/>
      </w:pPr>
      <w:r>
        <w:rPr>
          <w:b/>
          <w:bCs/>
        </w:rPr>
        <w:t xml:space="preserve">4.</w:t>
      </w:r>
      <w:r>
        <w:t xml:space="preserve"> </w:t>
      </w:r>
      <w:r>
        <w:rPr>
          <w:i/>
          <w:iCs/>
        </w:rPr>
        <w:t xml:space="preserve">This revision incorporates comments from Iago Mosqueira (IPSC/JRC) on selectivity uncertainty, index influence, recruitment regimes, reference point consistency, and northern stock harmonization. Notes appear in callout boxes throughout Section 6.</w:t>
      </w:r>
    </w:p>
    <w:bookmarkEnd w:id="25"/>
    <w:bookmarkStart w:id="26" w:name="introduction"/>
    <w:p>
      <w:pPr>
        <w:pStyle w:val="Heading1"/>
      </w:pPr>
      <w:r>
        <w:t xml:space="preserve">1. Introduction</w:t>
      </w:r>
    </w:p>
    <w:p>
      <w:pPr>
        <w:pStyle w:val="FirstParagraph"/>
      </w:pPr>
      <w:r>
        <w:rPr>
          <w:b/>
          <w:bCs/>
        </w:rPr>
        <w:t xml:space="preserve">5.</w:t>
      </w:r>
      <w:r>
        <w:t xml:space="preserve"> </w:t>
      </w: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 The broader modelling approach also depends on standard growth and generalized linear model concepts used throughout fisheries science</w:t>
      </w:r>
      <w:r>
        <w:t xml:space="preserve"> </w:t>
      </w:r>
      <w:r>
        <w:t xml:space="preserve">(Bertalanffy, 1957; McCullagh &amp; Nelder, 1989; Nelder &amp; Wedderburn, 1972)</w:t>
      </w:r>
      <w:r>
        <w:t xml:space="preserve">.</w:t>
      </w:r>
    </w:p>
    <w:p>
      <w:pPr>
        <w:pStyle w:val="BodyText"/>
      </w:pPr>
      <w:r>
        <w:rPr>
          <w:b/>
          <w:bCs/>
        </w:rPr>
        <w:t xml:space="preserve">6.</w:t>
      </w:r>
      <w:r>
        <w:t xml:space="preserve"> </w:t>
      </w: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rPr>
          <w:b/>
          <w:bCs/>
        </w:rPr>
        <w:t xml:space="preserve">7.</w:t>
      </w:r>
      <w:r>
        <w:t xml:space="preserve"> </w:t>
      </w: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rPr>
          <w:b/>
          <w:bCs/>
        </w:rPr>
        <w:t xml:space="preserve">8.</w:t>
      </w:r>
      <w:r>
        <w:t xml:space="preserve"> </w:t>
      </w: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6"/>
    <w:bookmarkStart w:id="27" w:name="materials-used-for-this-paper"/>
    <w:p>
      <w:pPr>
        <w:pStyle w:val="Heading1"/>
      </w:pPr>
      <w:r>
        <w:t xml:space="preserve">2. Materials Used for This Paper</w:t>
      </w:r>
    </w:p>
    <w:p>
      <w:pPr>
        <w:pStyle w:val="FirstParagraph"/>
      </w:pPr>
      <w:r>
        <w:rPr>
          <w:b/>
          <w:bCs/>
        </w:rPr>
        <w:t xml:space="preserve">9.</w:t>
      </w:r>
      <w:r>
        <w:t xml:space="preserve"> </w:t>
      </w: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rPr>
          <w:b/>
          <w:bCs/>
        </w:rPr>
        <w:t xml:space="preserve">10.</w:t>
      </w:r>
      <w:r>
        <w:t xml:space="preserve"> </w:t>
      </w:r>
      <w:r>
        <w:t xml:space="preserve">The objective here is not to reproduce every detail already contained in the annex. Rather, the objective is to extract from those materials a concise but technically defensible description of the SC13 base model for later MSE use.</w:t>
      </w:r>
    </w:p>
    <w:bookmarkEnd w:id="27"/>
    <w:bookmarkStart w:id="32" w:name="X05d1c5f8a92b183aa42d2fe77eeb661c4d500c9"/>
    <w:p>
      <w:pPr>
        <w:pStyle w:val="Heading1"/>
      </w:pPr>
      <w:r>
        <w:t xml:space="preserve">3. General Structure of the JJM Used for SC13</w:t>
      </w:r>
    </w:p>
    <w:bookmarkStart w:id="28" w:name="overview"/>
    <w:p>
      <w:pPr>
        <w:pStyle w:val="Heading2"/>
      </w:pPr>
      <w:r>
        <w:t xml:space="preserve">3.1 Overview</w:t>
      </w:r>
    </w:p>
    <w:p>
      <w:pPr>
        <w:pStyle w:val="FirstParagraph"/>
      </w:pPr>
      <w:r>
        <w:rPr>
          <w:b/>
          <w:bCs/>
        </w:rPr>
        <w:t xml:space="preserve">11.</w:t>
      </w:r>
      <w:r>
        <w:t xml:space="preserve"> </w:t>
      </w: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rPr>
          <w:b/>
          <w:bCs/>
        </w:rPr>
        <w:t xml:space="preserve">12.</w:t>
      </w:r>
      <w:r>
        <w:t xml:space="preserve"> </w:t>
      </w: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8"/>
    <w:bookmarkStart w:id="29" w:name="data-structure"/>
    <w:p>
      <w:pPr>
        <w:pStyle w:val="Heading2"/>
      </w:pPr>
      <w:r>
        <w:t xml:space="preserve">3.2 Data Structure</w:t>
      </w:r>
    </w:p>
    <w:p>
      <w:pPr>
        <w:pStyle w:val="FirstParagraph"/>
      </w:pPr>
      <w:r>
        <w:rPr>
          <w:b/>
          <w:bCs/>
        </w:rPr>
        <w:t xml:space="preserve">13.</w:t>
      </w:r>
      <w:r>
        <w:t xml:space="preserve"> </w:t>
      </w: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rPr>
          <w:b/>
          <w:bCs/>
        </w:rPr>
        <w:t xml:space="preserve">14.</w:t>
      </w:r>
      <w:r>
        <w:t xml:space="preserve"> </w:t>
      </w: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rPr>
          <w:b/>
          <w:bCs/>
        </w:rPr>
        <w:t xml:space="preserve">15.</w:t>
      </w:r>
      <w:r>
        <w:t xml:space="preserve"> </w:t>
      </w: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rPr>
          <w:b/>
          <w:bCs/>
        </w:rPr>
        <w:t xml:space="preserve">16.</w:t>
      </w:r>
      <w:r>
        <w:t xml:space="preserve"> </w:t>
      </w: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9"/>
    <w:bookmarkStart w:id="30" w:name="Xe1264284f219cfec9758543d78372ab59f24161"/>
    <w:p>
      <w:pPr>
        <w:pStyle w:val="Heading2"/>
      </w:pPr>
      <w:r>
        <w:t xml:space="preserve">3.3 Population Dynamics and Observation Model</w:t>
      </w:r>
    </w:p>
    <w:p>
      <w:pPr>
        <w:pStyle w:val="FirstParagraph"/>
      </w:pPr>
      <w:r>
        <w:rPr>
          <w:b/>
          <w:bCs/>
        </w:rPr>
        <w:t xml:space="preserve">17.</w:t>
      </w:r>
      <w:r>
        <w:t xml:space="preserve"> </w:t>
      </w:r>
      <w:r>
        <w:t xml:space="preserve">The annex and control files together indicate a standard age-structured population dynamic framework with stock recruitment, natural mortality, growth, maturity, fleet selectivity, survey selectivity, and catchability. The growth component follows the usual fisheries implementation of the von Bertalanffy growth relationship</w:t>
      </w:r>
      <w:r>
        <w:t xml:space="preserve"> </w:t>
      </w:r>
      <w:r>
        <w:t xml:space="preserve">(Bertalanffy, 1957; Beverton &amp; Holt, 1957)</w:t>
      </w:r>
      <w:r>
        <w:t xml:space="preserve">. The Far North fleet is modelled through predicted length compositions derived from the age-structured population and the specified growth schedule.</w:t>
      </w:r>
    </w:p>
    <w:p>
      <w:pPr>
        <w:pStyle w:val="BodyText"/>
      </w:pPr>
      <w:r>
        <w:rPr>
          <w:b/>
          <w:bCs/>
        </w:rPr>
        <w:t xml:space="preserve">18.</w:t>
      </w:r>
      <w:r>
        <w:t xml:space="preserve"> </w:t>
      </w: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rPr>
          <w:b/>
          <w:bCs/>
        </w:rPr>
        <w:t xml:space="preserve">19.</w:t>
      </w:r>
      <w:r>
        <w:t xml:space="preserve"> </w:t>
      </w: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rPr>
          <w:b/>
          <w:bCs/>
        </w:rPr>
        <w:t xml:space="preserve">20.</w:t>
      </w:r>
      <w:r>
        <w:t xml:space="preserve"> </w:t>
      </w:r>
      <w:r>
        <w:t xml:space="preserve">A compact mathematical summary of the core model structure is provided in the appendix so that the main text can stay focused on the SC13 implementation choices rather than on notation.</w:t>
      </w:r>
    </w:p>
    <w:bookmarkEnd w:id="30"/>
    <w:bookmarkStart w:id="31" w:name="reference-points-and-projections"/>
    <w:p>
      <w:pPr>
        <w:pStyle w:val="Heading2"/>
      </w:pPr>
      <w:r>
        <w:t xml:space="preserve">3.4 Reference Points and Projections</w:t>
      </w:r>
    </w:p>
    <w:p>
      <w:pPr>
        <w:pStyle w:val="FirstParagraph"/>
      </w:pPr>
      <w:r>
        <w:rPr>
          <w:b/>
          <w:bCs/>
        </w:rPr>
        <w:t xml:space="preserve">21.</w:t>
      </w:r>
      <w:r>
        <w:t xml:space="preserve"> </w:t>
      </w:r>
      <w:r>
        <w:t xml:space="preserve">The SC13 annex states that</w:t>
      </w:r>
      <w:r>
        <w:t xml:space="preserve"> </w:t>
      </w:r>
      <w:r>
        <w:rPr>
          <w:rStyle w:val="VerbatimChar"/>
        </w:rPr>
        <w:t xml:space="preserve">MSY</w:t>
      </w:r>
      <w:r>
        <w:t xml:space="preserve">,</w:t>
      </w:r>
      <w:r>
        <w:t xml:space="preserve"> </w:t>
      </w:r>
      <w:r>
        <w:rPr>
          <w:rStyle w:val="VerbatimChar"/>
        </w:rPr>
        <w:t xml:space="preserve">FMSY</w:t>
      </w:r>
      <w:r>
        <w:t xml:space="preserve">, and</w:t>
      </w:r>
      <w:r>
        <w:t xml:space="preserve"> </w:t>
      </w:r>
      <w:r>
        <w:rPr>
          <w:rStyle w:val="VerbatimChar"/>
        </w:rPr>
        <w:t xml:space="preserve">BMSY</w:t>
      </w:r>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w:r>
        <w:rPr>
          <w:rStyle w:val="VerbatimChar"/>
        </w:rPr>
        <w:t xml:space="preserve">BMSY</w:t>
      </w:r>
      <w:r>
        <w:t xml:space="preserve"> </w:t>
      </w:r>
      <w:r>
        <w:t xml:space="preserve">as the reference biomass quantity for comparison.</w:t>
      </w:r>
    </w:p>
    <w:p>
      <w:pPr>
        <w:pStyle w:val="BodyText"/>
      </w:pPr>
      <w:r>
        <w:rPr>
          <w:b/>
          <w:bCs/>
        </w:rPr>
        <w:t xml:space="preserve">22.</w:t>
      </w:r>
      <w:r>
        <w:t xml:space="preserve"> </w:t>
      </w: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1"/>
    <w:bookmarkEnd w:id="32"/>
    <w:bookmarkStart w:id="37" w:name="the-sc13-base-advice-models"/>
    <w:p>
      <w:pPr>
        <w:pStyle w:val="Heading1"/>
      </w:pPr>
      <w:r>
        <w:t xml:space="preserve">4. The SC13 Base Advice Models</w:t>
      </w:r>
    </w:p>
    <w:bookmarkStart w:id="33" w:name="single-stock-hypothesis-h1_1.14"/>
    <w:p>
      <w:pPr>
        <w:pStyle w:val="Heading2"/>
      </w:pPr>
      <w:r>
        <w:t xml:space="preserve">4.1 Single-Stock Hypothesis:</w:t>
      </w:r>
      <w:r>
        <w:t xml:space="preserve"> </w:t>
      </w:r>
      <w:r>
        <w:rPr>
          <w:rStyle w:val="VerbatimChar"/>
        </w:rPr>
        <w:t xml:space="preserve">h1_1.14</w:t>
      </w:r>
    </w:p>
    <w:p>
      <w:pPr>
        <w:pStyle w:val="FirstParagraph"/>
      </w:pPr>
      <w:r>
        <w:rPr>
          <w:b/>
          <w:bCs/>
        </w:rPr>
        <w:t xml:space="preserve">23.</w:t>
      </w:r>
      <w:r>
        <w:t xml:space="preserve"> </w:t>
      </w: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rPr>
          <w:b/>
          <w:bCs/>
        </w:rPr>
        <w:t xml:space="preserve">24.</w:t>
      </w:r>
      <w:r>
        <w:t xml:space="preserve"> </w:t>
      </w: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rPr>
          <w:b/>
          <w:bCs/>
        </w:rPr>
        <w:t xml:space="preserve">25.</w:t>
      </w:r>
      <w:r>
        <w:t xml:space="preserve"> </w:t>
      </w: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3"/>
    <w:bookmarkStart w:id="34" w:name="two-stock-hypothesis-h2_1.14"/>
    <w:p>
      <w:pPr>
        <w:pStyle w:val="Heading2"/>
      </w:pPr>
      <w:r>
        <w:t xml:space="preserve">4.2 Two-Stock Hypothesis:</w:t>
      </w:r>
      <w:r>
        <w:t xml:space="preserve"> </w:t>
      </w:r>
      <w:r>
        <w:rPr>
          <w:rStyle w:val="VerbatimChar"/>
        </w:rPr>
        <w:t xml:space="preserve">h2_1.14</w:t>
      </w:r>
    </w:p>
    <w:p>
      <w:pPr>
        <w:pStyle w:val="FirstParagraph"/>
      </w:pPr>
      <w:r>
        <w:rPr>
          <w:b/>
          <w:bCs/>
        </w:rPr>
        <w:t xml:space="preserve">26.</w:t>
      </w:r>
      <w:r>
        <w:t xml:space="preserve"> </w:t>
      </w: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rPr>
          <w:b/>
          <w:bCs/>
        </w:rPr>
        <w:t xml:space="preserve">27.</w:t>
      </w:r>
      <w:r>
        <w:t xml:space="preserve"> </w:t>
      </w: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rPr>
          <w:b/>
          <w:bCs/>
        </w:rPr>
        <w:t xml:space="preserve">28.</w:t>
      </w:r>
      <w:r>
        <w:t xml:space="preserve"> </w:t>
      </w: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rPr>
          <w:b/>
          <w:bCs/>
        </w:rPr>
        <w:t xml:space="preserve">29.</w:t>
      </w:r>
      <w:r>
        <w:t xml:space="preserve"> </w:t>
      </w: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4"/>
    <w:bookmarkStart w:id="36" w:name="summary-comparison"/>
    <w:p>
      <w:pPr>
        <w:pStyle w:val="Heading2"/>
      </w:pPr>
      <w:r>
        <w:t xml:space="preserve">4.3 Summary Comparison</w:t>
      </w:r>
    </w:p>
    <w:p>
      <w:pPr>
        <w:pStyle w:val="FirstParagraph"/>
      </w:pPr>
      <w:r>
        <w:rPr>
          <w:b/>
          <w:bCs/>
        </w:rPr>
        <w:t xml:space="preserve">30.</w:t>
      </w:r>
      <w:r>
        <w:t xml:space="preserve"> </w:t>
      </w:r>
      <w:r>
        <w:t xml:space="preserve">The main structural differences between the two SC13 advice models are summarized in</w:t>
      </w:r>
      <w:r>
        <w:t xml:space="preserve"> </w:t>
      </w:r>
      <w:hyperlink w:anchor="tbl-sc13-model-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sc13-model-summary"/>
          <w:p>
            <w:pPr>
              <w:jc w:val="center"/>
            </w:pPr>
            <w:pPr>
              <w:jc w:val="left"/>
              <w:spacing w:before="200"/>
              <w:pStyle w:val="ImageCaption"/>
            </w:pPr>
            <w:r>
              <w:t xml:space="preserve">Table 1: Main structural differences between the SC13 single-stock advice model (</w:t>
            </w:r>
            <w:r>
              <w:rPr>
                <w:rStyle w:val="VerbatimChar"/>
              </w:rPr>
              <w:t xml:space="preserve">h1_1.14</w:t>
            </w:r>
            <w:r>
              <w:t xml:space="preserve">) and two-stock advice model (</w:t>
            </w:r>
            <w:r>
              <w:rPr>
                <w:rStyle w:val="VerbatimChar"/>
              </w:rPr>
              <w:t xml:space="preserve">h2_1.14</w:t>
            </w:r>
            <w:r>
              <w:t xml:space="preserve">).</w:t>
            </w:r>
          </w:p>
          <w:tbl>
            <w:tblPr>
              <w:tblStyle w:val="Table"/>
              <w:tblW w:type="pct" w:w="5000"/>
              <w:tblLayout w:type="fixed"/>
              <w:tblLook w:firstRow="1" w:lastRow="0" w:firstColumn="0" w:lastColumn="0" w:noHBand="0" w:noVBand="0" w:val="0020"/>
            </w:tblPr>
            <w:tblGrid>
              <w:gridCol w:w="2020"/>
              <w:gridCol w:w="2262"/>
              <w:gridCol w:w="3636"/>
            </w:tblGrid>
            <w:tr>
              <w:trPr>
                <w:tblHeader w:val="on"/>
              </w:trPr>
              <w:tc>
                <w:tcPr/>
                <w:p>
                  <w:pPr>
                    <w:pStyle w:val="Compact"/>
                    <w:jc w:val="left"/>
                    <w:jc w:val="center"/>
                  </w:pPr>
                  <w:r>
                    <w:t xml:space="preserve">Feature</w:t>
                  </w:r>
                </w:p>
              </w:tc>
              <w:tc>
                <w:tcPr/>
                <w:p>
                  <w:pPr>
                    <w:pStyle w:val="Compact"/>
                    <w:jc w:val="left"/>
                    <w:jc w:val="center"/>
                  </w:pPr>
                  <w:r>
                    <w:t xml:space="preserve">h1_1.14</w:t>
                  </w:r>
                </w:p>
              </w:tc>
              <w:tc>
                <w:tcPr/>
                <w:p>
                  <w:pPr>
                    <w:pStyle w:val="Compact"/>
                    <w:jc w:val="left"/>
                    <w:jc w:val="center"/>
                  </w:pPr>
                  <w:r>
                    <w:t xml:space="preserve">h2_1.14</w:t>
                  </w:r>
                </w:p>
              </w:tc>
            </w:tr>
            <w:tr>
              <w:tc>
                <w:tcPr/>
                <w:p>
                  <w:pPr>
                    <w:pStyle w:val="Compact"/>
                    <w:jc w:val="left"/>
                    <w:jc w:val="center"/>
                  </w:pPr>
                  <w:r>
                    <w:t xml:space="preserve">Stock hypothesis</w:t>
                  </w:r>
                </w:p>
              </w:tc>
              <w:tc>
                <w:tcPr/>
                <w:p>
                  <w:pPr>
                    <w:pStyle w:val="Compact"/>
                    <w:jc w:val="left"/>
                    <w:jc w:val="center"/>
                  </w:pPr>
                  <w:r>
                    <w:t xml:space="preserve">Single shared stock</w:t>
                  </w:r>
                </w:p>
              </w:tc>
              <w:tc>
                <w:tcPr/>
                <w:p>
                  <w:pPr>
                    <w:pStyle w:val="Compact"/>
                    <w:jc w:val="left"/>
                    <w:jc w:val="center"/>
                  </w:pPr>
                  <w:r>
                    <w:t xml:space="preserve">Southern stock plus far north stock</w:t>
                  </w:r>
                </w:p>
              </w:tc>
            </w:tr>
            <w:tr>
              <w:tc>
                <w:tcPr/>
                <w:p>
                  <w:pPr>
                    <w:pStyle w:val="Compact"/>
                    <w:jc w:val="left"/>
                    <w:jc w:val="center"/>
                  </w:pPr>
                  <w:r>
                    <w:t xml:space="preserve">Number of modeled stocks</w:t>
                  </w:r>
                </w:p>
              </w:tc>
              <w:tc>
                <w:tcPr/>
                <w:p>
                  <w:pPr>
                    <w:pStyle w:val="Compact"/>
                    <w:jc w:val="left"/>
                    <w:jc w:val="center"/>
                  </w:pPr>
                  <w:r>
                    <w:t xml:space="preserve">1</w:t>
                  </w:r>
                </w:p>
              </w:tc>
              <w:tc>
                <w:tcPr/>
                <w:p>
                  <w:pPr>
                    <w:pStyle w:val="Compact"/>
                    <w:jc w:val="left"/>
                    <w:jc w:val="center"/>
                  </w:pPr>
                  <w:r>
                    <w:t xml:space="preserve">2</w:t>
                  </w:r>
                </w:p>
              </w:tc>
            </w:tr>
            <w:tr>
              <w:tc>
                <w:tcPr/>
                <w:p>
                  <w:pPr>
                    <w:pStyle w:val="Compact"/>
                    <w:jc w:val="left"/>
                    <w:jc w:val="center"/>
                  </w:pPr>
                  <w:r>
                    <w:t xml:space="preserve">Data file</w:t>
                  </w:r>
                </w:p>
              </w:tc>
              <w:tc>
                <w:tcPr/>
                <w:p>
                  <w:pPr>
                    <w:pStyle w:val="Compact"/>
                    <w:jc w:val="left"/>
                    <w:jc w:val="center"/>
                  </w:pPr>
                  <w:r>
                    <w:rPr>
                      <w:rStyle w:val="VerbatimChar"/>
                    </w:rPr>
                    <w:t xml:space="preserve">assessment/input/1.14.dat</w:t>
                  </w:r>
                </w:p>
              </w:tc>
              <w:tc>
                <w:tcPr/>
                <w:p>
                  <w:pPr>
                    <w:pStyle w:val="Compact"/>
                    <w:jc w:val="left"/>
                    <w:jc w:val="center"/>
                  </w:pPr>
                  <w:r>
                    <w:rPr>
                      <w:rStyle w:val="VerbatimChar"/>
                    </w:rPr>
                    <w:t xml:space="preserve">assessment/input/1.14.dat</w:t>
                  </w:r>
                </w:p>
              </w:tc>
            </w:tr>
            <w:tr>
              <w:tc>
                <w:tcPr/>
                <w:p>
                  <w:pPr>
                    <w:pStyle w:val="Compact"/>
                    <w:jc w:val="left"/>
                    <w:jc w:val="center"/>
                  </w:pPr>
                  <w:r>
                    <w:t xml:space="preserve">Natural mortality</w:t>
                  </w:r>
                </w:p>
              </w:tc>
              <w:tc>
                <w:tcPr/>
                <w:p>
                  <w:pPr>
                    <w:pStyle w:val="Compact"/>
                    <w:jc w:val="left"/>
                    <w:jc w:val="center"/>
                  </w:pPr>
                  <w:r>
                    <w:t xml:space="preserve">0.28</w:t>
                  </w:r>
                </w:p>
              </w:tc>
              <w:tc>
                <w:tcPr/>
                <w:p>
                  <w:pPr>
                    <w:pStyle w:val="Compact"/>
                    <w:jc w:val="left"/>
                    <w:jc w:val="center"/>
                  </w:pPr>
                  <w:r>
                    <w:t xml:space="preserve">0.28 and 0.33</w:t>
                  </w:r>
                </w:p>
              </w:tc>
            </w:tr>
            <w:tr>
              <w:tc>
                <w:tcPr/>
                <w:p>
                  <w:pPr>
                    <w:pStyle w:val="Compact"/>
                    <w:jc w:val="left"/>
                    <w:jc w:val="center"/>
                  </w:pPr>
                  <w:r>
                    <w:t xml:space="preserve">Maturity schedule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Population weight-at-age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Recruitment structure</w:t>
                  </w:r>
                </w:p>
              </w:tc>
              <w:tc>
                <w:tcPr/>
                <w:p>
                  <w:pPr>
                    <w:pStyle w:val="Compact"/>
                    <w:jc w:val="left"/>
                    <w:jc w:val="center"/>
                  </w:pPr>
                  <w:r>
                    <w:t xml:space="preserve">One curve, 2000-2022</w:t>
                  </w:r>
                </w:p>
              </w:tc>
              <w:tc>
                <w:tcPr/>
                <w:p>
                  <w:pPr>
                    <w:pStyle w:val="Compact"/>
                    <w:jc w:val="left"/>
                    <w:jc w:val="center"/>
                  </w:pPr>
                  <w:r>
                    <w:t xml:space="preserve">Three assignments with a 1999 regime shift</w:t>
                  </w:r>
                </w:p>
              </w:tc>
            </w:tr>
            <w:tr>
              <w:tc>
                <w:tcPr/>
                <w:p>
                  <w:pPr>
                    <w:pStyle w:val="Compact"/>
                    <w:jc w:val="left"/>
                    <w:jc w:val="center"/>
                  </w:pPr>
                  <w:r>
                    <w:t xml:space="preserve">Far North selectivity</w:t>
                  </w:r>
                </w:p>
              </w:tc>
              <w:tc>
                <w:tcPr/>
                <w:p>
                  <w:pPr>
                    <w:pStyle w:val="Compact"/>
                    <w:jc w:val="left"/>
                    <w:jc w:val="center"/>
                  </w:pPr>
                  <w:r>
                    <w:t xml:space="preserve">Annual variation from 1981</w:t>
                  </w:r>
                </w:p>
              </w:tc>
              <w:tc>
                <w:tcPr/>
                <w:p>
                  <w:pPr>
                    <w:pStyle w:val="Compact"/>
                    <w:jc w:val="left"/>
                    <w:jc w:val="center"/>
                  </w:pPr>
                  <w:r>
                    <w:t xml:space="preserve">Simplified regime treatment centered on 2002</w:t>
                  </w:r>
                </w:p>
              </w:tc>
            </w:tr>
            <w:tr>
              <w:tc>
                <w:tcPr/>
                <w:p>
                  <w:pPr>
                    <w:pStyle w:val="Compact"/>
                    <w:jc w:val="left"/>
                    <w:jc w:val="center"/>
                  </w:pPr>
                  <w:r>
                    <w:t xml:space="preserve">Projection horizon</w:t>
                  </w:r>
                </w:p>
              </w:tc>
              <w:tc>
                <w:tcPr/>
                <w:p>
                  <w:pPr>
                    <w:pStyle w:val="Compact"/>
                    <w:jc w:val="left"/>
                    <w:jc w:val="center"/>
                  </w:pPr>
                  <w:r>
                    <w:t xml:space="preserve">20 years</w:t>
                  </w:r>
                </w:p>
              </w:tc>
              <w:tc>
                <w:tcPr/>
                <w:p>
                  <w:pPr>
                    <w:pStyle w:val="Compact"/>
                    <w:jc w:val="left"/>
                    <w:jc w:val="center"/>
                  </w:pPr>
                  <w:r>
                    <w:t xml:space="preserve">20 years</w:t>
                  </w:r>
                </w:p>
              </w:tc>
            </w:tr>
          </w:tbl>
          <w:bookmarkEnd w:id="35"/>
          <w:p/>
        </w:tc>
      </w:tr>
    </w:tbl>
    <w:p>
      <w:pPr>
        <w:pStyle w:val="BodyText"/>
      </w:pPr>
      <w:r>
        <w:rPr>
          <w:b/>
          <w:bCs/>
        </w:rPr>
        <w:t xml:space="preserve">31.</w:t>
      </w:r>
      <w:r>
        <w:t xml:space="preserve"> </w:t>
      </w: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6"/>
    <w:bookmarkEnd w:id="37"/>
    <w:bookmarkStart w:id="38" w:name="base-model-considerations"/>
    <w:p>
      <w:pPr>
        <w:pStyle w:val="Heading1"/>
      </w:pPr>
      <w:r>
        <w:t xml:space="preserve">5. Base model considerations</w:t>
      </w:r>
    </w:p>
    <w:p>
      <w:pPr>
        <w:pStyle w:val="FirstParagraph"/>
      </w:pPr>
      <w:r>
        <w:rPr>
          <w:b/>
          <w:bCs/>
        </w:rPr>
        <w:t xml:space="preserve">32.</w:t>
      </w:r>
      <w:r>
        <w:t xml:space="preserve"> </w:t>
      </w:r>
      <w:r>
        <w:t xml:space="preserve">The July 2025 MSE workshop concluded that the base assessment should probably</w:t>
      </w:r>
      <w:r>
        <w:t xml:space="preserve"> </w:t>
      </w:r>
      <w:r>
        <w:t xml:space="preserve">be more clearly documented and then perhaps simplified for use as an</w:t>
      </w:r>
      <w:r>
        <w:t xml:space="preserve"> </w:t>
      </w:r>
      <w:r>
        <w:t xml:space="preserve">MSE operating model.</w:t>
      </w:r>
    </w:p>
    <w:p>
      <w:pPr>
        <w:pStyle w:val="BodyText"/>
      </w:pPr>
      <w:r>
        <w:rPr>
          <w:b/>
          <w:bCs/>
        </w:rPr>
        <w:t xml:space="preserve">33.</w:t>
      </w:r>
      <w:r>
        <w:t xml:space="preserve"> </w:t>
      </w:r>
      <w:r>
        <w:t xml:space="preserve">The SC13 base model uses extensive time-varying selectivity. This practice continued</w:t>
      </w:r>
      <w:r>
        <w:t xml:space="preserve"> </w:t>
      </w:r>
      <w:r>
        <w:t xml:space="preserve">in the 2025 assessment to improve fits for the south-central Chile and offshore fleets.</w:t>
      </w:r>
      <w:r>
        <w:t xml:space="preserve"> </w:t>
      </w:r>
      <w:r>
        <w:t xml:space="preserve">Time-varying selectivity may be necessary in annual assessments, but it can make MSE</w:t>
      </w:r>
      <w:r>
        <w:t xml:space="preserve"> </w:t>
      </w:r>
      <w:r>
        <w:t xml:space="preserve">results difficult to interpret because changes in management performance may reflect</w:t>
      </w:r>
      <w:r>
        <w:t xml:space="preserve"> </w:t>
      </w:r>
      <w:r>
        <w:t xml:space="preserve">selectivity specification as much as underlying stock dynamics</w:t>
      </w:r>
      <w:r>
        <w:t xml:space="preserve"> </w:t>
      </w:r>
      <w:r>
        <w:t xml:space="preserve">(Linton &amp; Bence, 2011)</w:t>
      </w:r>
      <w:r>
        <w:t xml:space="preserve">.</w:t>
      </w:r>
    </w:p>
    <w:p>
      <w:pPr>
        <w:pStyle w:val="BodyText"/>
      </w:pPr>
      <w:r>
        <w:rPr>
          <w:b/>
          <w:bCs/>
        </w:rPr>
        <w:t xml:space="preserve">34.</w:t>
      </w:r>
      <w:r>
        <w:t xml:space="preserve"> </w:t>
      </w:r>
      <w:r>
        <w:t xml:space="preserve">In the base model the reference points are dynamic.</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typically</w:t>
      </w:r>
      <w:r>
        <w:t xml:space="preserve"> </w:t>
      </w:r>
      <w:r>
        <w:t xml:space="preserve">depend on terminal-year conditions, especially relative catch shares,</w:t>
      </w:r>
      <w:r>
        <w:t xml:space="preserve"> </w:t>
      </w:r>
      <w:r>
        <w:t xml:space="preserve">selectivity-at-age, and weights-at-age.</w:t>
      </w:r>
      <w:r>
        <w:t xml:space="preserve"> </w:t>
      </w:r>
      <w:r>
        <w:t xml:space="preserve">This makes stock status and advice partly conditional on the most recent fitted</w:t>
      </w:r>
      <w:r>
        <w:t xml:space="preserve"> </w:t>
      </w:r>
      <w:r>
        <w:t xml:space="preserve">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rPr>
          <w:b/>
          <w:bCs/>
        </w:rPr>
        <w:t xml:space="preserve">35.</w:t>
      </w:r>
      <w:r>
        <w:t xml:space="preserve"> </w:t>
      </w:r>
      <w:r>
        <w:t xml:space="preserve">Similarly, the projection assumptions differ from the fitting assumptions. The projection scripts</w:t>
      </w:r>
      <w:r>
        <w:t xml:space="preserve"> </w:t>
      </w:r>
      <w:r>
        <w:t xml:space="preserve">show that future calculations rely on fixed selectivity and, in some scenarios, a</w:t>
      </w:r>
      <w:r>
        <w:t xml:space="preserve"> </w:t>
      </w:r>
      <w:r>
        <w:t xml:space="preserve">shortened low-productivity recruitment history. This means that advice is generated</w:t>
      </w:r>
      <w:r>
        <w:t xml:space="preserve"> </w:t>
      </w:r>
      <w:r>
        <w:t xml:space="preserve">from a model in which the fitting phase and the projection phase are intentionally</w:t>
      </w:r>
      <w:r>
        <w:t xml:space="preserve"> </w:t>
      </w:r>
      <w:r>
        <w:t xml:space="preserve">different. In MSE, that layering needs to be explicit and deliberate rather than</w:t>
      </w:r>
      <w:r>
        <w:t xml:space="preserve"> </w:t>
      </w:r>
      <w:r>
        <w:t xml:space="preserve">inherited as an assessment convention</w:t>
      </w:r>
      <w:r>
        <w:t xml:space="preserve"> </w:t>
      </w:r>
      <w:r>
        <w:t xml:space="preserve">(Punt et al., 2016; Siple et al., 2021)</w:t>
      </w:r>
      <w:r>
        <w:t xml:space="preserve">.</w:t>
      </w:r>
    </w:p>
    <w:p>
      <w:pPr>
        <w:pStyle w:val="BodyText"/>
      </w:pPr>
      <w:r>
        <w:rPr>
          <w:b/>
          <w:bCs/>
        </w:rPr>
        <w:t xml:space="preserve">36.</w:t>
      </w:r>
      <w:r>
        <w:t xml:space="preserve"> </w:t>
      </w: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w:t>
      </w:r>
      <w:r>
        <w:t xml:space="preserve"> </w:t>
      </w:r>
      <w:r>
        <w:t xml:space="preserve">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8"/>
    <w:bookmarkStart w:id="147" w:name="proposed-simplified-alternatives"/>
    <w:p>
      <w:pPr>
        <w:pStyle w:val="Heading1"/>
      </w:pPr>
      <w:r>
        <w:t xml:space="preserve">6. Proposed Simplified Alternatives</w:t>
      </w:r>
    </w:p>
    <w:p>
      <w:pPr>
        <w:pStyle w:val="FirstParagraph"/>
      </w:pPr>
      <w:r>
        <w:rPr>
          <w:b/>
          <w:bCs/>
        </w:rPr>
        <w:t xml:space="preserve">37.</w:t>
      </w:r>
      <w:r>
        <w:t xml:space="preserve"> </w:t>
      </w:r>
      <w:r>
        <w:t xml:space="preserve">The SC13 base model should be treated as the reference assessment formulation. Simplified alternatives should therefore be judged by how much of the essential behavior of the base model they retain while removing structural complexity that is not needed for MSE.</w:t>
      </w:r>
    </w:p>
    <w:p>
      <w:pPr>
        <w:pStyle w:val="BodyText"/>
      </w:pPr>
      <w:r>
        <w:rPr>
          <w:b/>
          <w:bCs/>
        </w:rPr>
        <w:t xml:space="preserve">38.</w:t>
      </w:r>
      <w:r>
        <w:t xml:space="preserve"> </w:t>
      </w:r>
      <w:r>
        <w:t xml:space="preserve">A practical first working set of alternatives is summarized in</w:t>
      </w:r>
      <w:r>
        <w:t xml:space="preserve"> </w:t>
      </w:r>
      <w:hyperlink w:anchor="tbl-simplified-model-summary">
        <w:r>
          <w:rPr>
            <w:rStyle w:val="Hyperlink"/>
          </w:rPr>
          <w:t xml:space="preserve">Table 2</w:t>
        </w:r>
      </w:hyperlink>
      <w:r>
        <w:t xml:space="preserve">. The table highlights how each variant differs from its relevant</w:t>
      </w:r>
      <w:r>
        <w:t xml:space="preserve"> </w:t>
      </w:r>
      <w:r>
        <w:rPr>
          <w:rStyle w:val="VerbatimChar"/>
        </w:rPr>
        <w:t xml:space="preserve">1.14</w:t>
      </w:r>
      <w:r>
        <w:t xml:space="preserve"> </w:t>
      </w:r>
      <w:r>
        <w:t xml:space="preserve">assessment counterpart in data treatment, selectivity treatment, and intended purpose.</w:t>
      </w:r>
    </w:p>
    <w:tbl>
      <w:tblPr>
        <w:tblStyle w:val="Table"/>
        <w:tblW w:type="pct" w:w="5000"/>
        <w:tblLayout w:type="fixed"/>
        <w:tblLook w:firstRow="0" w:lastRow="0" w:firstColumn="0" w:lastColumn="0" w:noHBand="0" w:noVBand="0" w:val="0000"/>
      </w:tblPr>
      <w:tblGrid>
        <w:gridCol w:w="7920"/>
      </w:tblGrid>
      <w:tr>
        <w:tc>
          <w:tcPr/>
          <w:bookmarkStart w:id="39" w:name="tbl-simplified-model-summary"/>
          <w:p>
            <w:pPr>
              <w:jc w:val="center"/>
            </w:pPr>
            <w:pPr>
              <w:jc w:val="left"/>
              <w:spacing w:before="200"/>
              <w:pStyle w:val="ImageCaption"/>
            </w:pPr>
            <w:r>
              <w:t xml:space="preserve">Table 2: Summary of the simplified model variants discussed in Section 6.</w:t>
            </w:r>
          </w:p>
          <w:tbl>
            <w:tblPr>
              <w:tblStyle w:val="Table"/>
              <w:tblW w:type="pct" w:w="5000"/>
              <w:tblLayout w:type="fixed"/>
              <w:tblLook w:firstRow="1" w:lastRow="0" w:firstColumn="0" w:lastColumn="0" w:noHBand="0" w:noVBand="0" w:val="0020"/>
            </w:tblPr>
            <w:tblGrid>
              <w:gridCol w:w="184"/>
              <w:gridCol w:w="295"/>
              <w:gridCol w:w="295"/>
              <w:gridCol w:w="2104"/>
              <w:gridCol w:w="2806"/>
              <w:gridCol w:w="2233"/>
            </w:tblGrid>
            <w:tr>
              <w:trPr>
                <w:tblHeader w:val="on"/>
              </w:trPr>
              <w:tc>
                <w:tcPr/>
                <w:p>
                  <w:pPr>
                    <w:pStyle w:val="Compact"/>
                    <w:jc w:val="left"/>
                    <w:jc w:val="center"/>
                  </w:pPr>
                  <w:r>
                    <w:t xml:space="preserve">Model</w:t>
                  </w:r>
                </w:p>
              </w:tc>
              <w:tc>
                <w:tcPr/>
                <w:p>
                  <w:pPr>
                    <w:pStyle w:val="Compact"/>
                    <w:jc w:val="left"/>
                    <w:jc w:val="center"/>
                  </w:pPr>
                  <w:r>
                    <w:t xml:space="preserve">Reference model</w:t>
                  </w:r>
                </w:p>
              </w:tc>
              <w:tc>
                <w:tcPr/>
                <w:p>
                  <w:pPr>
                    <w:pStyle w:val="Compact"/>
                    <w:jc w:val="left"/>
                    <w:jc w:val="center"/>
                  </w:pPr>
                  <w:r>
                    <w:t xml:space="preserve">Stock structure</w:t>
                  </w:r>
                </w:p>
              </w:tc>
              <w:tc>
                <w:tcPr/>
                <w:p>
                  <w:pPr>
                    <w:pStyle w:val="Compact"/>
                    <w:jc w:val="left"/>
                    <w:jc w:val="center"/>
                  </w:pPr>
                  <w:r>
                    <w:t xml:space="preserve">Data changes</w:t>
                  </w:r>
                </w:p>
              </w:tc>
              <w:tc>
                <w:tcPr/>
                <w:p>
                  <w:pPr>
                    <w:pStyle w:val="Compact"/>
                    <w:jc w:val="left"/>
                    <w:jc w:val="center"/>
                  </w:pPr>
                  <w:r>
                    <w:t xml:space="preserve">Selectivity changes</w:t>
                  </w:r>
                </w:p>
              </w:tc>
              <w:tc>
                <w:tcPr/>
                <w:p>
                  <w:pPr>
                    <w:pStyle w:val="Compact"/>
                    <w:jc w:val="left"/>
                    <w:jc w:val="center"/>
                  </w:pPr>
                  <w:r>
                    <w:t xml:space="preserve">Main purpose</w:t>
                  </w:r>
                </w:p>
              </w:tc>
            </w:tr>
            <w:tr>
              <w:tc>
                <w:tcPr/>
                <w:p>
                  <w:pPr>
                    <w:pStyle w:val="Compact"/>
                    <w:jc w:val="left"/>
                    <w:jc w:val="center"/>
                  </w:pPr>
                  <w:r>
                    <w:t xml:space="preserve">h1_2.00</w:t>
                  </w:r>
                </w:p>
              </w:tc>
              <w:tc>
                <w:tcPr/>
                <w:p>
                  <w:pPr>
                    <w:pStyle w:val="Compact"/>
                    <w:jc w:val="left"/>
                    <w:jc w:val="center"/>
                  </w:pPr>
                  <w:r>
                    <w:t xml:space="preserve">h1_1.14</w:t>
                  </w:r>
                </w:p>
              </w:tc>
              <w:tc>
                <w:tcPr/>
                <w:p>
                  <w:pPr>
                    <w:pStyle w:val="Compact"/>
                    <w:jc w:val="left"/>
                    <w:jc w:val="center"/>
                  </w:pPr>
                  <w:r>
                    <w:t xml:space="preserve">Single stock</w:t>
                  </w:r>
                </w:p>
              </w:tc>
              <w:tc>
                <w:tcPr/>
                <w:p>
                  <w:pPr>
                    <w:pStyle w:val="Compact"/>
                    <w:jc w:val="left"/>
                    <w:jc w:val="center"/>
                  </w:pPr>
                  <w:r>
                    <w:t xml:space="preserve">Drops Chile_AcousCS, DEPM, and Peru_Acoustic; trims Chile_AcousN to the reduced-index configuration (</w:t>
                  </w:r>
                  <w:r>
                    <w:rPr>
                      <w:rStyle w:val="VerbatimChar"/>
                    </w:rPr>
                    <w:t xml:space="preserve">2.00.dat</w:t>
                  </w:r>
                  <w:r>
                    <w:t xml:space="preserve">).</w:t>
                  </w:r>
                </w:p>
              </w:tc>
              <w:tc>
                <w:tcPr/>
                <w:p>
                  <w:pPr>
                    <w:pStyle w:val="Compact"/>
                    <w:jc w:val="left"/>
                    <w:jc w:val="center"/>
                  </w:pPr>
                  <w:r>
                    <w:t xml:space="preserve">No change from h1_1.14 beyond what is implied by the reduced-index fit.</w:t>
                  </w:r>
                </w:p>
              </w:tc>
              <w:tc>
                <w:tcPr/>
                <w:p>
                  <w:pPr>
                    <w:pStyle w:val="Compact"/>
                    <w:jc w:val="left"/>
                    <w:jc w:val="center"/>
                  </w:pPr>
                  <w:r>
                    <w:t xml:space="preserve">Reduced-index baseline sensitivity.</w:t>
                  </w:r>
                </w:p>
              </w:tc>
            </w:tr>
            <w:tr>
              <w:tc>
                <w:tcPr/>
                <w:p>
                  <w:pPr>
                    <w:pStyle w:val="Compact"/>
                    <w:jc w:val="left"/>
                    <w:jc w:val="center"/>
                  </w:pPr>
                  <w:r>
                    <w:t xml:space="preserve">h1_2.01</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Adds fleet-specific fishery selectivity blocks for all fisheries.</w:t>
                  </w:r>
                </w:p>
              </w:tc>
              <w:tc>
                <w:tcPr/>
                <w:p>
                  <w:pPr>
                    <w:pStyle w:val="Compact"/>
                    <w:jc w:val="left"/>
                    <w:jc w:val="center"/>
                  </w:pPr>
                  <w:r>
                    <w:t xml:space="preserve">Tests broad fishery selectivity simplification.</w:t>
                  </w:r>
                </w:p>
              </w:tc>
            </w:tr>
            <w:tr>
              <w:tc>
                <w:tcPr/>
                <w:p>
                  <w:pPr>
                    <w:pStyle w:val="Compact"/>
                    <w:jc w:val="left"/>
                    <w:jc w:val="center"/>
                  </w:pPr>
                  <w:r>
                    <w:t xml:space="preserve">h1_2.01.1</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block structure except restores annual selectivity variability for the South-Central Chile fishery.</w:t>
                  </w:r>
                </w:p>
              </w:tc>
              <w:tc>
                <w:tcPr/>
                <w:p>
                  <w:pPr>
                    <w:pStyle w:val="Compact"/>
                    <w:jc w:val="left"/>
                    <w:jc w:val="center"/>
                  </w:pPr>
                  <w:r>
                    <w:t xml:space="preserve">Tests whether restoring S-C Chile selectivity flexibility recovers fit within the block-selectivity framework.</w:t>
                  </w:r>
                </w:p>
              </w:tc>
            </w:tr>
            <w:tr>
              <w:tc>
                <w:tcPr/>
                <w:p>
                  <w:pPr>
                    <w:pStyle w:val="Compact"/>
                    <w:jc w:val="left"/>
                    <w:jc w:val="center"/>
                  </w:pPr>
                  <w:r>
                    <w:t xml:space="preserve">h1_2.01.2</w:t>
                  </w:r>
                </w:p>
              </w:tc>
              <w:tc>
                <w:tcPr/>
                <w:p>
                  <w:pPr>
                    <w:pStyle w:val="Compact"/>
                    <w:jc w:val="left"/>
                    <w:jc w:val="center"/>
                  </w:pPr>
                  <w:r>
                    <w:t xml:space="preserve">h1_2.01.1</w:t>
                  </w:r>
                </w:p>
              </w:tc>
              <w:tc>
                <w:tcPr/>
                <w:p>
                  <w:pPr>
                    <w:pStyle w:val="Compact"/>
                    <w:jc w:val="left"/>
                    <w:jc w:val="center"/>
                  </w:pPr>
                  <w:r>
                    <w:t xml:space="preserve">Single stock</w:t>
                  </w:r>
                </w:p>
              </w:tc>
              <w:tc>
                <w:tcPr/>
                <w:p>
                  <w:pPr>
                    <w:pStyle w:val="Compact"/>
                    <w:jc w:val="left"/>
                    <w:jc w:val="center"/>
                  </w:pPr>
                  <w:r>
                    <w:t xml:space="preserve">Same reduced-index data as h1_2.01.1.</w:t>
                  </w:r>
                </w:p>
              </w:tc>
              <w:tc>
                <w:tcPr/>
                <w:p>
                  <w:pPr>
                    <w:pStyle w:val="Compact"/>
                    <w:jc w:val="left"/>
                    <w:jc w:val="center"/>
                  </w:pPr>
                  <w:r>
                    <w:t xml:space="preserve">Keeps the</w:t>
                  </w:r>
                  <w:r>
                    <w:t xml:space="preserve"> </w:t>
                  </w:r>
                  <w:r>
                    <w:rPr>
                      <w:rStyle w:val="VerbatimChar"/>
                    </w:rPr>
                    <w:t xml:space="preserve">h1_2.01.1</w:t>
                  </w:r>
                  <w:r>
                    <w:t xml:space="preserve"> </w:t>
                  </w:r>
                  <w:r>
                    <w:t xml:space="preserve">structure except replaces annual S-C Chile variability with five S-C Chile blocks starting in 1985, 1998, 2008, and 2016.</w:t>
                  </w:r>
                </w:p>
              </w:tc>
              <w:tc>
                <w:tcPr/>
                <w:p>
                  <w:pPr>
                    <w:pStyle w:val="Compact"/>
                    <w:jc w:val="left"/>
                    <w:jc w:val="center"/>
                  </w:pPr>
                  <w:r>
                    <w:t xml:space="preserve">Tests whether a five-block S-C Chile treatment can retain recent structure without reverting to full annual flexibility.</w:t>
                  </w:r>
                </w:p>
              </w:tc>
            </w:tr>
            <w:tr>
              <w:tc>
                <w:tcPr/>
                <w:p>
                  <w:pPr>
                    <w:pStyle w:val="Compact"/>
                    <w:jc w:val="left"/>
                    <w:jc w:val="center"/>
                  </w:pPr>
                  <w:r>
                    <w:t xml:space="preserve">h1_2.01.3</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selectivity structure but adds estimated random walks in index q for the retained indices and constrains q age scaling to ages 2-6.</w:t>
                  </w:r>
                </w:p>
              </w:tc>
              <w:tc>
                <w:tcPr/>
                <w:p>
                  <w:pPr>
                    <w:pStyle w:val="Compact"/>
                    <w:jc w:val="left"/>
                    <w:jc w:val="center"/>
                  </w:pPr>
                  <w:r>
                    <w:t xml:space="preserve">Tests whether time-varying index catchability can recover fit within the block-selectivity formulation.</w:t>
                  </w:r>
                </w:p>
              </w:tc>
            </w:tr>
            <w:tr>
              <w:tc>
                <w:tcPr/>
                <w:p>
                  <w:pPr>
                    <w:pStyle w:val="Compact"/>
                    <w:jc w:val="left"/>
                    <w:jc w:val="center"/>
                  </w:pPr>
                  <w:r>
                    <w:t xml:space="preserve">h1_2.02</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Keeps h1_2.00 except harmonizes Far North fishery selectivity to the single 2002 split used in h2_1.14.</w:t>
                  </w:r>
                </w:p>
              </w:tc>
              <w:tc>
                <w:tcPr/>
                <w:p>
                  <w:pPr>
                    <w:pStyle w:val="Compact"/>
                    <w:jc w:val="left"/>
                    <w:jc w:val="center"/>
                  </w:pPr>
                  <w:r>
                    <w:t xml:space="preserve">Isolates Far North selectivity harmonization within the single-stock hypothesis.</w:t>
                  </w:r>
                </w:p>
              </w:tc>
            </w:tr>
            <w:tr>
              <w:tc>
                <w:tcPr/>
                <w:p>
                  <w:pPr>
                    <w:pStyle w:val="Compact"/>
                    <w:jc w:val="left"/>
                    <w:jc w:val="center"/>
                  </w:pPr>
                  <w:r>
                    <w:t xml:space="preserve">h2_2.02</w:t>
                  </w:r>
                </w:p>
              </w:tc>
              <w:tc>
                <w:tcPr/>
                <w:p>
                  <w:pPr>
                    <w:pStyle w:val="Compact"/>
                    <w:jc w:val="left"/>
                    <w:jc w:val="center"/>
                  </w:pPr>
                  <w:r>
                    <w:t xml:space="preserve">h2_1.14</w:t>
                  </w:r>
                </w:p>
              </w:tc>
              <w:tc>
                <w:tcPr/>
                <w:p>
                  <w:pPr>
                    <w:pStyle w:val="Compact"/>
                    <w:jc w:val="left"/>
                    <w:jc w:val="center"/>
                  </w:pPr>
                  <w:r>
                    <w:t xml:space="preserve">Two stock</w:t>
                  </w:r>
                </w:p>
              </w:tc>
              <w:tc>
                <w:tcPr/>
                <w:p>
                  <w:pPr>
                    <w:pStyle w:val="Compact"/>
                    <w:jc w:val="left"/>
                    <w:jc w:val="center"/>
                  </w:pPr>
                  <w:r>
                    <w:t xml:space="preserve">Applies the same reduced-index data configuration as</w:t>
                  </w:r>
                  <w:r>
                    <w:t xml:space="preserve"> </w:t>
                  </w:r>
                  <w:r>
                    <w:rPr>
                      <w:rStyle w:val="VerbatimChar"/>
                    </w:rPr>
                    <w:t xml:space="preserve">2.00.dat</w:t>
                  </w:r>
                  <w:r>
                    <w:t xml:space="preserve"> </w:t>
                  </w:r>
                  <w:r>
                    <w:t xml:space="preserve">to the two-stock model.</w:t>
                  </w:r>
                </w:p>
              </w:tc>
              <w:tc>
                <w:tcPr/>
                <w:p>
                  <w:pPr>
                    <w:pStyle w:val="Compact"/>
                    <w:jc w:val="left"/>
                    <w:jc w:val="center"/>
                  </w:pPr>
                  <w:r>
                    <w:t xml:space="preserve">Keeps the h2 Far North selectivity treatment and combines it with the reduced-index data configuration.</w:t>
                  </w:r>
                </w:p>
              </w:tc>
              <w:tc>
                <w:tcPr/>
                <w:p>
                  <w:pPr>
                    <w:pStyle w:val="Compact"/>
                    <w:jc w:val="left"/>
                    <w:jc w:val="center"/>
                  </w:pPr>
                  <w:r>
                    <w:t xml:space="preserve">Provides the two-stock reduced-index harmonized comparator for h1_2.02.</w:t>
                  </w:r>
                </w:p>
              </w:tc>
            </w:tr>
          </w:tbl>
          <w:bookmarkEnd w:id="39"/>
          <w:p/>
        </w:tc>
      </w:tr>
    </w:tbl>
    <w:p>
      <w:pPr>
        <w:pStyle w:val="BodyText"/>
      </w:pPr>
      <w:r>
        <w:rPr>
          <w:b/>
          <w:bCs/>
        </w:rPr>
        <w:t xml:space="preserve">39.</w:t>
      </w:r>
      <w:r>
        <w:t xml:space="preserve"> </w:t>
      </w:r>
      <w:r>
        <w:t xml:space="preserve">The</w:t>
      </w:r>
      <w:r>
        <w:t xml:space="preserve"> </w:t>
      </w:r>
      <w:r>
        <w:rPr>
          <w:rStyle w:val="VerbatimChar"/>
        </w:rPr>
        <w:t xml:space="preserve">h2_2.00</w:t>
      </w:r>
      <w:r>
        <w:t xml:space="preserve"> </w:t>
      </w:r>
      <w:r>
        <w:t xml:space="preserve">serves as the two-stock reduced-index analogue,</w:t>
      </w:r>
      <w:r>
        <w:br/>
      </w:r>
      <w:r>
        <w:t xml:space="preserve">while</w:t>
      </w:r>
      <w:r>
        <w:t xml:space="preserve"> </w:t>
      </w:r>
      <w:r>
        <w:rPr>
          <w:rStyle w:val="VerbatimChar"/>
        </w:rPr>
        <w:t xml:space="preserve">h2_2.02</w:t>
      </w:r>
      <w:r>
        <w:t xml:space="preserve"> </w:t>
      </w:r>
      <w:r>
        <w:t xml:space="preserve">frames the harmonized Far North selectivity treatment.</w:t>
      </w:r>
    </w:p>
    <w:bookmarkStart w:id="51" w:name="reduced-number-of-indices"/>
    <w:p>
      <w:pPr>
        <w:pStyle w:val="Heading2"/>
      </w:pPr>
      <w:r>
        <w:t xml:space="preserve">6.1 Reduced number of indices</w:t>
      </w:r>
    </w:p>
    <w:p>
      <w:pPr>
        <w:pStyle w:val="FirstParagraph"/>
      </w:pPr>
      <w:r>
        <w:rPr>
          <w:b/>
          <w:bCs/>
        </w:rPr>
        <w:t xml:space="preserve">40.</w:t>
      </w:r>
      <w:r>
        <w:t xml:space="preserve"> </w:t>
      </w: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rPr>
          <w:b/>
          <w:bCs/>
        </w:rPr>
        <w:t xml:space="preserve">41.</w:t>
      </w:r>
      <w:r>
        <w:t xml:space="preserve"> </w:t>
      </w: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3" w:name="fig-reduced-indices-ssb"/>
          <w:p>
            <w:pPr>
              <w:pStyle w:val="Compact"/>
              <w:jc w:val="center"/>
            </w:pPr>
            <w:r>
              <w:drawing>
                <wp:inline>
                  <wp:extent cx="5334000" cy="3194843"/>
                  <wp:effectExtent b="0" l="0" r="0" t="0"/>
                  <wp:docPr descr="" title="" id="41" name="Picture"/>
                  <a:graphic>
                    <a:graphicData uri="http://schemas.openxmlformats.org/drawingml/2006/picture">
                      <pic:pic>
                        <pic:nvPicPr>
                          <pic:cNvPr descr="JM-WP-BM-01_files/figure-docx/fig-reduced-indices-ssb-1.png" id="42" name="Picture"/>
                          <pic:cNvPicPr>
                            <a:picLocks noChangeArrowheads="1" noChangeAspect="1"/>
                          </pic:cNvPicPr>
                        </pic:nvPicPr>
                        <pic:blipFill>
                          <a:blip r:embed="rId4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3"/>
        </w:tc>
      </w:tr>
    </w:tbl>
    <w:tbl>
      <w:tblPr>
        <w:tblStyle w:val="Table"/>
        <w:tblW w:type="pct" w:w="5000"/>
        <w:tblLayout w:type="fixed"/>
        <w:tblLook w:firstRow="0" w:lastRow="0" w:firstColumn="0" w:lastColumn="0" w:noHBand="0" w:noVBand="0" w:val="0000"/>
      </w:tblPr>
      <w:tblGrid>
        <w:gridCol w:w="7920"/>
      </w:tblGrid>
      <w:tr>
        <w:tc>
          <w:tcPr/>
          <w:bookmarkStart w:id="47" w:name="fig-reduced-indices-rec"/>
          <w:p>
            <w:pPr>
              <w:pStyle w:val="Compact"/>
              <w:jc w:val="center"/>
            </w:pPr>
            <w:r>
              <w:drawing>
                <wp:inline>
                  <wp:extent cx="5334000" cy="3194843"/>
                  <wp:effectExtent b="0" l="0" r="0" t="0"/>
                  <wp:docPr descr="" title="" id="45" name="Picture"/>
                  <a:graphic>
                    <a:graphicData uri="http://schemas.openxmlformats.org/drawingml/2006/picture">
                      <pic:pic>
                        <pic:nvPicPr>
                          <pic:cNvPr descr="JM-WP-BM-01_files/figure-docx/fig-reduced-indices-rec-1.png" id="46" name="Picture"/>
                          <pic:cNvPicPr>
                            <a:picLocks noChangeArrowheads="1" noChangeAspect="1"/>
                          </pic:cNvPicPr>
                        </pic:nvPicPr>
                        <pic:blipFill>
                          <a:blip r:embed="rId4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7"/>
        </w:tc>
      </w:tr>
    </w:tbl>
    <w:p>
      <w:pPr>
        <w:pStyle w:val="BodyText"/>
      </w:pPr>
      <w:r>
        <w:rPr>
          <w:b/>
          <w:bCs/>
        </w:rPr>
        <w:t xml:space="preserve">42.</w:t>
      </w:r>
      <w:r>
        <w:t xml:space="preserve"> </w:t>
      </w: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43.</w:t>
            </w:r>
            <w:r>
              <w:t xml:space="preserve"> </w:t>
            </w: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rPr>
          <w:b/>
          <w:bCs/>
        </w:rPr>
        <w:t xml:space="preserve">44.</w:t>
      </w:r>
      <w:r>
        <w:t xml:space="preserve"> </w:t>
      </w: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51"/>
    <w:bookmarkStart w:id="120" w:name="simplified-selectivity-alternatives"/>
    <w:p>
      <w:pPr>
        <w:pStyle w:val="Heading2"/>
      </w:pPr>
      <w:r>
        <w:t xml:space="preserve">6.2 Simplified Selectivity Alternatives</w:t>
      </w:r>
    </w:p>
    <w:p>
      <w:pPr>
        <w:pStyle w:val="FirstParagraph"/>
      </w:pPr>
      <w:r>
        <w:rPr>
          <w:b/>
          <w:bCs/>
        </w:rPr>
        <w:t xml:space="preserve">45.</w:t>
      </w:r>
      <w:r>
        <w:t xml:space="preserve"> </w:t>
      </w: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46.</w:t>
      </w:r>
      <w:r>
        <w:t xml:space="preserve"> </w:t>
      </w: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119" w:name="X518721fe55853f821d30f8adb270621fb439ada"/>
    <w:p>
      <w:pPr>
        <w:pStyle w:val="Heading3"/>
      </w:pPr>
      <w:r>
        <w:t xml:space="preserve">Selectivity Time-Block Reduction by Fleet</w:t>
      </w:r>
    </w:p>
    <w:p>
      <w:pPr>
        <w:pStyle w:val="FirstParagraph"/>
      </w:pPr>
      <w:r>
        <w:rPr>
          <w:b/>
          <w:bCs/>
        </w:rPr>
        <w:t xml:space="preserve">47.</w:t>
      </w:r>
      <w:r>
        <w:t xml:space="preserve"> </w:t>
      </w: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52" w:name="fleet-1-north-chile"/>
    <w:p>
      <w:pPr>
        <w:pStyle w:val="Heading4"/>
      </w:pPr>
      <w:r>
        <w:t xml:space="preserve">Fleet 1 — North Chile</w:t>
      </w:r>
    </w:p>
    <w:p>
      <w:pPr>
        <w:pStyle w:val="FirstParagraph"/>
      </w:pPr>
      <w:r>
        <w:rPr>
          <w:b/>
          <w:bCs/>
        </w:rPr>
        <w:t xml:space="preserve">48.</w:t>
      </w:r>
      <w:r>
        <w:t xml:space="preserve"> </w:t>
      </w: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rPr>
          <w:b/>
          <w:bCs/>
        </w:rPr>
        <w:t xml:space="preserve">49.</w:t>
      </w:r>
      <w:r>
        <w:t xml:space="preserve"> </w:t>
      </w:r>
      <w:r>
        <w:t xml:space="preserve">The main structural breaks for this fleet are around 1987 and 2016, which is also consistent with the increase in mean age shown in Annex Figure 31.</w:t>
      </w:r>
    </w:p>
    <w:bookmarkEnd w:id="52"/>
    <w:bookmarkStart w:id="53" w:name="fleet-2-south-central-chile"/>
    <w:p>
      <w:pPr>
        <w:pStyle w:val="Heading4"/>
      </w:pPr>
      <w:r>
        <w:t xml:space="preserve">Fleet 2 — South-Central Chile</w:t>
      </w:r>
    </w:p>
    <w:p>
      <w:pPr>
        <w:pStyle w:val="FirstParagraph"/>
      </w:pPr>
      <w:r>
        <w:rPr>
          <w:b/>
          <w:bCs/>
        </w:rPr>
        <w:t xml:space="preserve">50.</w:t>
      </w:r>
      <w:r>
        <w:t xml:space="preserve"> </w:t>
      </w: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rPr>
          <w:b/>
          <w:bCs/>
        </w:rPr>
        <w:t xml:space="preserve">51.</w:t>
      </w:r>
      <w:r>
        <w:t xml:space="preserve"> </w:t>
      </w:r>
      <w:r>
        <w:t xml:space="preserve">These blocks are consistent with the gradual aging trend noted elsewhere in the report, including the increase in mean age over the last decade.</w:t>
      </w:r>
    </w:p>
    <w:bookmarkEnd w:id="53"/>
    <w:bookmarkStart w:id="54" w:name="fleet-3-far-north"/>
    <w:p>
      <w:pPr>
        <w:pStyle w:val="Heading4"/>
      </w:pPr>
      <w:r>
        <w:t xml:space="preserve">Fleet 3 — Far North</w:t>
      </w:r>
    </w:p>
    <w:p>
      <w:pPr>
        <w:pStyle w:val="FirstParagraph"/>
      </w:pPr>
      <w:r>
        <w:rPr>
          <w:b/>
          <w:bCs/>
        </w:rPr>
        <w:t xml:space="preserve">52.</w:t>
      </w:r>
      <w:r>
        <w:t xml:space="preserve"> </w:t>
      </w: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rPr>
          <w:b/>
          <w:bCs/>
        </w:rPr>
        <w:t xml:space="preserve">53.</w:t>
      </w:r>
      <w:r>
        <w:t xml:space="preserve"> </w:t>
      </w: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4"/>
    <w:bookmarkStart w:id="55" w:name="fleet-4-offshore-trawl"/>
    <w:p>
      <w:pPr>
        <w:pStyle w:val="Heading4"/>
      </w:pPr>
      <w:r>
        <w:t xml:space="preserve">Fleet 4 — Offshore trawl</w:t>
      </w:r>
    </w:p>
    <w:p>
      <w:pPr>
        <w:pStyle w:val="FirstParagraph"/>
      </w:pPr>
      <w:r>
        <w:rPr>
          <w:b/>
          <w:bCs/>
        </w:rPr>
        <w:t xml:space="preserve">54.</w:t>
      </w:r>
      <w:r>
        <w:t xml:space="preserve"> </w:t>
      </w: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rPr>
          <w:b/>
          <w:bCs/>
        </w:rPr>
        <w:t xml:space="preserve">55.</w:t>
      </w:r>
      <w:r>
        <w:t xml:space="preserve"> </w:t>
      </w:r>
      <w:r>
        <w:t xml:space="preserve">These changes are consistent with the recent selectivity changes noted in the SC13 sensitivity runs.</w:t>
      </w:r>
    </w:p>
    <w:bookmarkEnd w:id="55"/>
    <w:bookmarkStart w:id="56" w:name="cross-fleet-simplification"/>
    <w:p>
      <w:pPr>
        <w:pStyle w:val="Heading4"/>
      </w:pPr>
      <w:r>
        <w:t xml:space="preserve">Cross-Fleet Simplification</w:t>
      </w:r>
    </w:p>
    <w:p>
      <w:pPr>
        <w:pStyle w:val="FirstParagraph"/>
      </w:pPr>
      <w:r>
        <w:rPr>
          <w:b/>
          <w:bCs/>
        </w:rPr>
        <w:t xml:space="preserve">56.</w:t>
      </w:r>
      <w:r>
        <w:t xml:space="preserve"> </w:t>
      </w: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rPr>
          <w:b/>
          <w:bCs/>
        </w:rPr>
        <w:t xml:space="preserve">57.</w:t>
      </w:r>
      <w:r>
        <w:t xml:space="preserve"> </w:t>
      </w: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6"/>
    <w:bookmarkStart w:id="57" w:name="key-insight"/>
    <w:p>
      <w:pPr>
        <w:pStyle w:val="Heading4"/>
      </w:pPr>
      <w:r>
        <w:t xml:space="preserve">Key Insight</w:t>
      </w:r>
    </w:p>
    <w:p>
      <w:pPr>
        <w:pStyle w:val="FirstParagraph"/>
      </w:pPr>
      <w:r>
        <w:rPr>
          <w:b/>
          <w:bCs/>
        </w:rPr>
        <w:t xml:space="preserve">58.</w:t>
      </w:r>
      <w:r>
        <w:t xml:space="preserve"> </w:t>
      </w:r>
      <w:r>
        <w:t xml:space="preserve">Across fleets, the main broad pattern is a recent shift toward older fish after about 2015, with the offshore fleet as the main exception because it shows more recent spikes in younger selectivity.</w:t>
      </w:r>
    </w:p>
    <w:p>
      <w:pPr>
        <w:pStyle w:val="BodyText"/>
      </w:pPr>
      <w:r>
        <w:rPr>
          <w:b/>
          <w:bCs/>
        </w:rPr>
        <w:t xml:space="preserve">59.</w:t>
      </w:r>
      <w:r>
        <w:t xml:space="preserve"> </w:t>
      </w: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rPr>
          <w:b/>
          <w:bCs/>
        </w:rPr>
        <w:t xml:space="preserve">60.</w:t>
      </w:r>
      <w:r>
        <w:t xml:space="preserve"> </w:t>
      </w:r>
      <w:r>
        <w:t xml:space="preserve">These broad breakpoints also align with changes in fishing pressure, the stock rebuilding phase, and the model note that recent selectivity favors older fish.</w:t>
      </w:r>
    </w:p>
    <w:bookmarkEnd w:id="57"/>
    <w:bookmarkStart w:id="118" w:name="illustrative-fit-with-selectivity-blocks"/>
    <w:p>
      <w:pPr>
        <w:pStyle w:val="Heading4"/>
      </w:pPr>
      <w:r>
        <w:t xml:space="preserve">Illustrative fit with selectivity blocks</w:t>
      </w:r>
    </w:p>
    <w:p>
      <w:pPr>
        <w:pStyle w:val="FirstParagraph"/>
      </w:pPr>
      <w:r>
        <w:rPr>
          <w:b/>
          <w:bCs/>
        </w:rPr>
        <w:t xml:space="preserve">61.</w:t>
      </w:r>
      <w:r>
        <w:t xml:space="preserve"> </w:t>
      </w: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6"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1" w:name="fig-selectivity-fishery-compare-1"/>
                <w:p>
                  <w:pPr>
                    <w:pStyle w:val="Compact"/>
                    <w:jc w:val="center"/>
                    <w:jc w:val="left"/>
                  </w:pPr>
                  <w:r>
                    <w:drawing>
                      <wp:inline>
                        <wp:extent cx="2971800" cy="4754880"/>
                        <wp:effectExtent b="0" l="0" r="0" t="0"/>
                        <wp:docPr descr="" title="" id="59" name="Picture"/>
                        <a:graphic>
                          <a:graphicData uri="http://schemas.openxmlformats.org/drawingml/2006/picture">
                            <pic:pic>
                              <pic:nvPicPr>
                                <pic:cNvPr descr="JM-WP-BM-01_files/figure-docx/fig-selectivity-fishery-compare-1.png" id="60" name="Picture"/>
                                <pic:cNvPicPr>
                                  <a:picLocks noChangeArrowheads="1" noChangeAspect="1"/>
                                </pic:cNvPicPr>
                              </pic:nvPicPr>
                              <pic:blipFill>
                                <a:blip r:embed="rId58"/>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61"/>
              </w:tc>
            </w:tr>
          </w:tbl>
          <w:p/>
        </w:tc>
        <w:tc>
          <w:tcPr/>
          <w:tbl>
            <w:tblPr>
              <w:tblStyle w:val="Table"/>
              <w:tblW w:type="pct" w:w="4900"/>
              <w:tblLayout w:type="fixed"/>
              <w:tblLook w:firstRow="0" w:lastRow="0" w:firstColumn="0" w:lastColumn="0" w:noHBand="0" w:noVBand="0" w:val="0000"/>
            </w:tblPr>
            <w:tblGrid>
              <w:gridCol w:w="7761"/>
            </w:tblGrid>
            <w:tr>
              <w:tc>
                <w:tcPr/>
                <w:bookmarkStart w:id="65" w:name="fig-selectivity-fishery-compare-2"/>
                <w:p>
                  <w:pPr>
                    <w:pStyle w:val="Compact"/>
                    <w:jc w:val="center"/>
                    <w:jc w:val="left"/>
                  </w:pPr>
                  <w:r>
                    <w:drawing>
                      <wp:inline>
                        <wp:extent cx="2971800" cy="4754880"/>
                        <wp:effectExtent b="0" l="0" r="0" t="0"/>
                        <wp:docPr descr="" title="" id="63" name="Picture"/>
                        <a:graphic>
                          <a:graphicData uri="http://schemas.openxmlformats.org/drawingml/2006/picture">
                            <pic:pic>
                              <pic:nvPicPr>
                                <pic:cNvPr descr="JM-WP-BM-01_files/figure-docx/fig-selectivity-fishery-compare-2.png" id="64" name="Picture"/>
                                <pic:cNvPicPr>
                                  <a:picLocks noChangeArrowheads="1" noChangeAspect="1"/>
                                </pic:cNvPicPr>
                              </pic:nvPicPr>
                              <pic:blipFill>
                                <a:blip r:embed="rId62"/>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5"/>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6"/>
    <w:p>
      <w:pPr>
        <w:pStyle w:val="BodyText"/>
      </w:pPr>
      <w:r>
        <w:rPr>
          <w:b/>
          <w:bCs/>
        </w:rPr>
        <w:t xml:space="preserve">62.</w:t>
      </w:r>
      <w:r>
        <w:t xml:space="preserve"> </w:t>
      </w: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5</w:t>
        </w:r>
      </w:hyperlink>
      <w:r>
        <w:t xml:space="preserve"> </w:t>
      </w:r>
      <w:r>
        <w:t xml:space="preserve">and</w:t>
      </w:r>
      <w:r>
        <w:t xml:space="preserve"> </w:t>
      </w:r>
      <w:hyperlink w:anchor="fig-selectivity-blocks-rec">
        <w:r>
          <w:rPr>
            <w:rStyle w:val="Hyperlink"/>
          </w:rPr>
          <w:t xml:space="preserve">Figure 6</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rPr>
          <w:b/>
          <w:bCs/>
        </w:rPr>
        <w:t xml:space="preserve">63.</w:t>
      </w:r>
      <w:r>
        <w:t xml:space="preserve"> </w:t>
      </w:r>
      <w:r>
        <w:t xml:space="preserve">The negative-log-likelihood breakdown for the base single-stock model and the two simplified alternatives is shown in</w:t>
      </w:r>
      <w:r>
        <w:t xml:space="preserve"> </w:t>
      </w:r>
      <w:hyperlink w:anchor="tbl-h1-like-components">
        <w:r>
          <w:rPr>
            <w:rStyle w:val="Hyperlink"/>
          </w:rPr>
          <w:t xml:space="preserve">Table 3</w:t>
        </w:r>
      </w:hyperlink>
      <w:r>
        <w:t xml:space="preserve">. Relative to</w:t>
      </w:r>
      <w:r>
        <w:t xml:space="preserve"> </w:t>
      </w:r>
      <w:r>
        <w:rPr>
          <w:rStyle w:val="VerbatimChar"/>
        </w:rPr>
        <w:t xml:space="preserve">h1_1.14</w:t>
      </w:r>
      <w:r>
        <w:t xml:space="preserve">, the reduced-index sensitivity lowers the retained index-related likelihood contributions without materially worsening the overall fit, whereas the block-selectivity model reduces the number of estimated parameters more aggressively but at the cost of substantially higher age- and index-fit components.</w:t>
      </w:r>
    </w:p>
    <w:tbl>
      <w:tblPr>
        <w:tblStyle w:val="Table"/>
        <w:tblW w:type="pct" w:w="5000"/>
        <w:tblLayout w:type="fixed"/>
        <w:tblLook w:firstRow="0" w:lastRow="0" w:firstColumn="0" w:lastColumn="0" w:noHBand="0" w:noVBand="0" w:val="0000"/>
      </w:tblPr>
      <w:tblGrid>
        <w:gridCol w:w="7920"/>
      </w:tblGrid>
      <w:tr>
        <w:tc>
          <w:tcPr/>
          <w:bookmarkStart w:id="67" w:name="tbl-h1-like-components"/>
          <w:p>
            <w:pPr>
              <w:jc w:val="center"/>
            </w:pPr>
            <w:pPr>
              <w:jc w:val="left"/>
              <w:spacing w:before="200"/>
              <w:pStyle w:val="ImageCaption"/>
            </w:pPr>
            <w:r>
              <w:t xml:space="preserve">Table 3: Negative-log-likelihood components and estimated parameter counts for the single-stock base model (</w:t>
            </w:r>
            <w:r>
              <w:rPr>
                <w:rStyle w:val="VerbatimChar"/>
              </w:rPr>
              <w:t xml:space="preserve">h1_1.14</w:t>
            </w:r>
            <w:r>
              <w:t xml:space="preserve">), the reduced-index sensitivity (</w:t>
            </w:r>
            <w:r>
              <w:rPr>
                <w:rStyle w:val="VerbatimChar"/>
              </w:rPr>
              <w:t xml:space="preserve">h1_2.00</w:t>
            </w:r>
            <w:r>
              <w:t xml:space="preserve">), and the reduced-index model with fishery selectivity blocks (</w:t>
            </w:r>
            <w:r>
              <w:rPr>
                <w:rStyle w:val="VerbatimChar"/>
              </w:rPr>
              <w:t xml:space="preserve">h1_2.01</w:t>
            </w:r>
            <w:r>
              <w:t xml:space="preserve">). For index likelihoods, the aggregate and component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h1_1.14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2"/>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25.9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471.5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331.3</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136.5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17.9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F93"/>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E1D5"/>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1EA"/>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DC2AC"/>
                </w:tcPr>
                <w:p>
                  <w:pPr>
                    <w:spacing w:before="0" w:after="60"/>
                    <w:keepNext/>
                    <w:jc w:val="end"/>
                  </w:pPr>
                  <w:r>
                    <w:rPr>
                      <w:rFonts w:ascii="Calibri" w:hAnsi="Calibri"/>
                      <w:sz w:val="20"/>
                    </w:rPr>
                    <w:t xml:space="default">1,323.8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1,865</w:t>
                  </w:r>
                </w:p>
              </w:tc>
              <w:tc>
                <w:tcPr>
                  <w:tcBorders>
                    <w:top w:val="single" w:space="0" w:color="D3D3D3"/>
                    <w:bottom w:val="single" w:space="0" w:color="D3D3D3"/>
                    <w:start w:val="single" w:space="0" w:color="D3D3D3"/>
                    <w:end w:val="single" w:space="0" w:color="D3D3D3"/>
                  </w:tcBorders>
                  <w:shd w:val="clear" w:color="auto" w:fill="FFF3ED"/>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EE5D9"/>
                </w:tcPr>
                <w:p>
                  <w:pPr>
                    <w:spacing w:before="0" w:after="60"/>
                    <w:keepNext/>
                    <w:jc w:val="end"/>
                  </w:pPr>
                  <w:r>
                    <w:rPr>
                      <w:rFonts w:ascii="Calibri" w:hAnsi="Calibri"/>
                      <w:sz w:val="20"/>
                    </w:rPr>
                    <w:t xml:space="default">13.8579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bl>
          <w:bookmarkEnd w:id="67"/>
        </w:tc>
      </w:tr>
    </w:tbl>
    <w:p>
      <w:pPr>
        <w:pStyle w:val="BodyText"/>
      </w:pPr>
      <w:r>
        <w:rPr>
          <w:b/>
          <w:bCs/>
        </w:rPr>
        <w:t xml:space="preserve">64.</w:t>
      </w:r>
      <w:r>
        <w:t xml:space="preserve"> </w:t>
      </w:r>
      <w:r>
        <w:t xml:space="preserve">Viewed in more detail, the reduced-index configuration suggests that dropping the discontinued or older index series generally relaxes pressure on the rest of the fit. When attention is restricted to the retained comparable indices, the aggregate index likelihood declines modestly from</w:t>
      </w:r>
      <w:r>
        <w:t xml:space="preserve"> </w:t>
      </w:r>
      <w:r>
        <w:rPr>
          <w:rStyle w:val="VerbatimChar"/>
        </w:rPr>
        <w:t xml:space="preserve">136.5</w:t>
      </w:r>
      <w:r>
        <w:t xml:space="preserve"> </w:t>
      </w:r>
      <w:r>
        <w:t xml:space="preserve">in</w:t>
      </w:r>
      <w:r>
        <w:t xml:space="preserve"> </w:t>
      </w:r>
      <w:r>
        <w:rPr>
          <w:rStyle w:val="VerbatimChar"/>
        </w:rPr>
        <w:t xml:space="preserve">h1_1.14</w:t>
      </w:r>
      <w:r>
        <w:t xml:space="preserve"> </w:t>
      </w:r>
      <w:r>
        <w:t xml:space="preserve">to</w:t>
      </w:r>
      <w:r>
        <w:t xml:space="preserve"> </w:t>
      </w:r>
      <w:r>
        <w:rPr>
          <w:rStyle w:val="VerbatimChar"/>
        </w:rPr>
        <w:t xml:space="preserve">130.6</w:t>
      </w:r>
      <w:r>
        <w:t xml:space="preserve"> </w:t>
      </w:r>
      <w:r>
        <w:t xml:space="preserve">in</w:t>
      </w:r>
      <w:r>
        <w:t xml:space="preserve"> </w:t>
      </w:r>
      <w:r>
        <w:rPr>
          <w:rStyle w:val="VerbatimChar"/>
        </w:rPr>
        <w:t xml:space="preserve">h1_2.00</w:t>
      </w:r>
      <w:r>
        <w:t xml:space="preserve">, and the retained Chile CPUE, Peru CPUE, and Offshore CPUE contributions all improve modestly. Fishery catch, fishery length compositions, and most fishery age-composition terms also stay similar or improve slightly. The main exception is that the Acoustic North term remains large and only weakly improved, so the reduced-index simplification does not remove the tension associated with that series.</w:t>
      </w:r>
    </w:p>
    <w:p>
      <w:pPr>
        <w:pStyle w:val="BodyText"/>
      </w:pPr>
      <w:r>
        <w:rPr>
          <w:b/>
          <w:bCs/>
        </w:rPr>
        <w:t xml:space="preserve">65.</w:t>
      </w:r>
      <w:r>
        <w:t xml:space="preserve"> </w:t>
      </w:r>
      <w:r>
        <w:t xml:space="preserve">By contrast, imposing the block selectivity structure in</w:t>
      </w:r>
      <w:r>
        <w:t xml:space="preserve"> </w:t>
      </w:r>
      <w:r>
        <w:rPr>
          <w:rStyle w:val="VerbatimChar"/>
        </w:rPr>
        <w:t xml:space="preserve">h1_2.01</w:t>
      </w:r>
      <w:r>
        <w:t xml:space="preserve"> </w:t>
      </w:r>
      <w:r>
        <w:t xml:space="preserve">degrades the fit across a broad range of components rather than concentrating the penalty in a single place. The South-Central Chile and North Chile fishery age-composition terms increase strongly, the aggregate fishery length-composition likelihood worsens, and the retained index contributions rise for Acoustic North, Chile CPUE, Peru CPUE, and Offshore CPUE. In that sense, the selectivity simplification is not merely trading one data source against another; it reduces flexibility in a way that propagates across several of the main observation components simultaneously.</w:t>
      </w:r>
    </w:p>
    <w:p>
      <w:pPr>
        <w:pStyle w:val="BodyText"/>
      </w:pPr>
      <w:r>
        <w:rPr>
          <w:b/>
          <w:bCs/>
        </w:rPr>
        <w:t xml:space="preserve">66.</w:t>
      </w:r>
      <w:r>
        <w:t xml:space="preserve"> </w:t>
      </w:r>
      <w:r>
        <w:t xml:space="preserve">The visual fit to the retained and comparable abundance indices is shown in</w:t>
      </w:r>
      <w:r>
        <w:t xml:space="preserve"> </w:t>
      </w:r>
      <w:hyperlink w:anchor="fig-h1-index-fits">
        <w:r>
          <w:rPr>
            <w:rStyle w:val="Hyperlink"/>
          </w:rPr>
          <w:t xml:space="preserve">Figure 4</w:t>
        </w:r>
      </w:hyperlink>
      <w:r>
        <w:t xml:space="preserve">. This first comparison focuses on the base model, the reduced-index sensitivity, and the reduced-index model with block selectivity. It shows that</w:t>
      </w:r>
      <w:r>
        <w:t xml:space="preserve"> </w:t>
      </w:r>
      <w:r>
        <w:rPr>
          <w:rStyle w:val="VerbatimChar"/>
        </w:rPr>
        <w:t xml:space="preserve">h1_2.00</w:t>
      </w:r>
      <w:r>
        <w:t xml:space="preserve"> </w:t>
      </w:r>
      <w:r>
        <w:t xml:space="preserve">stays broadly close to</w:t>
      </w:r>
      <w:r>
        <w:t xml:space="preserve"> </w:t>
      </w:r>
      <w:r>
        <w:rPr>
          <w:rStyle w:val="VerbatimChar"/>
        </w:rPr>
        <w:t xml:space="preserve">h1_1.14</w:t>
      </w:r>
      <w:r>
        <w:t xml:space="preserve"> </w:t>
      </w:r>
      <w:r>
        <w:t xml:space="preserve">for the South-Central Chile CPUE, Peruvian CPUE, and Offshore CPUE series, whereas the additional selectivity simplification in</w:t>
      </w:r>
      <w:r>
        <w:t xml:space="preserve"> </w:t>
      </w:r>
      <w:r>
        <w:rPr>
          <w:rStyle w:val="VerbatimChar"/>
        </w:rPr>
        <w:t xml:space="preserve">h1_2.01</w:t>
      </w:r>
      <w:r>
        <w:t xml:space="preserve"> </w:t>
      </w:r>
      <w:r>
        <w:t xml:space="preserve">produces visibly worse fits for several of the retained indices, especially Acoustic North and Peru CPUE.</w:t>
      </w:r>
    </w:p>
    <w:tbl>
      <w:tblPr>
        <w:tblStyle w:val="Table"/>
        <w:tblW w:type="pct" w:w="5000"/>
        <w:tblLayout w:type="fixed"/>
        <w:tblLook w:firstRow="0" w:lastRow="0" w:firstColumn="0" w:lastColumn="0" w:noHBand="0" w:noVBand="0" w:val="0000"/>
      </w:tblPr>
      <w:tblGrid>
        <w:gridCol w:w="7920"/>
      </w:tblGrid>
      <w:tr>
        <w:tc>
          <w:tcPr/>
          <w:bookmarkStart w:id="71" w:name="fig-h1-index-fits"/>
          <w:p>
            <w:pPr>
              <w:pStyle w:val="Compact"/>
              <w:jc w:val="center"/>
            </w:pPr>
            <w:r>
              <w:drawing>
                <wp:inline>
                  <wp:extent cx="5334000" cy="4333875"/>
                  <wp:effectExtent b="0" l="0" r="0" t="0"/>
                  <wp:docPr descr="" title="" id="69" name="Picture"/>
                  <a:graphic>
                    <a:graphicData uri="http://schemas.openxmlformats.org/drawingml/2006/picture">
                      <pic:pic>
                        <pic:nvPicPr>
                          <pic:cNvPr descr="JM-WP-BM-01_files/figure-docx/fig-h1-index-fits-1.png" id="70" name="Picture"/>
                          <pic:cNvPicPr>
                            <a:picLocks noChangeArrowheads="1" noChangeAspect="1"/>
                          </pic:cNvPicPr>
                        </pic:nvPicPr>
                        <pic:blipFill>
                          <a:blip r:embed="rId68"/>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Observed and fitted index trajectories for</w:t>
            </w:r>
            <w:r>
              <w:t xml:space="preserve"> </w:t>
            </w:r>
            <w:r>
              <w:rPr>
                <w:rStyle w:val="VerbatimChar"/>
              </w:rPr>
              <w:t xml:space="preserve">h1_1.14</w:t>
            </w:r>
            <w:r>
              <w:t xml:space="preserve">,</w:t>
            </w:r>
            <w:r>
              <w:t xml:space="preserve"> </w:t>
            </w:r>
            <w:r>
              <w:rPr>
                <w:rStyle w:val="VerbatimChar"/>
              </w:rPr>
              <w:t xml:space="preserve">h1_2.00</w:t>
            </w:r>
            <w:r>
              <w:t xml:space="preserve">, and</w:t>
            </w:r>
            <w:r>
              <w:t xml:space="preserve"> </w:t>
            </w:r>
            <w:r>
              <w:rPr>
                <w:rStyle w:val="VerbatimChar"/>
              </w:rPr>
              <w:t xml:space="preserve">h1_2.01</w:t>
            </w:r>
            <w:r>
              <w:t xml:space="preserve">. Panels show the retained comparable index series: South-Central Chile CPUE, Acoustic North, Peruvian CPUE, and Offshore CPUE.</w:t>
            </w:r>
          </w:p>
          <w:bookmarkEnd w:id="71"/>
        </w:tc>
      </w:tr>
    </w:tbl>
    <w:p>
      <w:pPr>
        <w:pStyle w:val="BodyText"/>
      </w:pPr>
      <w:r>
        <w:rPr>
          <w:b/>
          <w:bCs/>
        </w:rPr>
        <w:t xml:space="preserve">67.</w:t>
      </w:r>
      <w:r>
        <w:t xml:space="preserve"> </w:t>
      </w: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68.</w:t>
            </w:r>
            <w:r>
              <w:t xml:space="preserve"> </w:t>
            </w: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rPr>
                <w:b/>
                <w:bCs/>
              </w:rPr>
              <w:t xml:space="preserve">69.</w:t>
            </w:r>
            <w:r>
              <w:t xml:space="preserve"> </w:t>
            </w: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rPr>
          <w:b/>
          <w:bCs/>
        </w:rPr>
        <w:t xml:space="preserve">70.</w:t>
      </w:r>
      <w:r>
        <w:t xml:space="preserve"> </w:t>
      </w: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tbl>
      <w:tblPr>
        <w:tblStyle w:val="Table"/>
        <w:tblW w:type="pct" w:w="5000"/>
        <w:tblLayout w:type="fixed"/>
        <w:tblLook w:firstRow="0" w:lastRow="0" w:firstColumn="0" w:lastColumn="0" w:noHBand="0" w:noVBand="0" w:val="0000"/>
      </w:tblPr>
      <w:tblGrid>
        <w:gridCol w:w="7920"/>
      </w:tblGrid>
      <w:tr>
        <w:tc>
          <w:tcPr/>
          <w:bookmarkStart w:id="77" w:name="fig-selectivity-blocks-ssb"/>
          <w:p>
            <w:pPr>
              <w:pStyle w:val="Compact"/>
              <w:jc w:val="center"/>
            </w:pPr>
            <w:r>
              <w:drawing>
                <wp:inline>
                  <wp:extent cx="5334000" cy="3194843"/>
                  <wp:effectExtent b="0" l="0" r="0" t="0"/>
                  <wp:docPr descr="" title="" id="75" name="Picture"/>
                  <a:graphic>
                    <a:graphicData uri="http://schemas.openxmlformats.org/drawingml/2006/picture">
                      <pic:pic>
                        <pic:nvPicPr>
                          <pic:cNvPr descr="JM-WP-BM-01_files/figure-docx/fig-selectivity-blocks-ssb-1.png" id="76" name="Picture"/>
                          <pic:cNvPicPr>
                            <a:picLocks noChangeArrowheads="1" noChangeAspect="1"/>
                          </pic:cNvPicPr>
                        </pic:nvPicPr>
                        <pic:blipFill>
                          <a:blip r:embed="rId7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selectivity-blocks-rec"/>
          <w:p>
            <w:pPr>
              <w:pStyle w:val="Compact"/>
              <w:jc w:val="center"/>
            </w:pPr>
            <w:r>
              <w:drawing>
                <wp:inline>
                  <wp:extent cx="5334000" cy="3194843"/>
                  <wp:effectExtent b="0" l="0" r="0" t="0"/>
                  <wp:docPr descr="" title="" id="79" name="Picture"/>
                  <a:graphic>
                    <a:graphicData uri="http://schemas.openxmlformats.org/drawingml/2006/picture">
                      <pic:pic>
                        <pic:nvPicPr>
                          <pic:cNvPr descr="JM-WP-BM-01_files/figure-docx/fig-selectivity-blocks-rec-1.png" id="80" name="Picture"/>
                          <pic:cNvPicPr>
                            <a:picLocks noChangeArrowheads="1" noChangeAspect="1"/>
                          </pic:cNvPicPr>
                        </pic:nvPicPr>
                        <pic:blipFill>
                          <a:blip r:embed="rId78"/>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81"/>
        </w:tc>
      </w:tr>
    </w:tbl>
    <w:p>
      <w:pPr>
        <w:pStyle w:val="BodyText"/>
      </w:pPr>
      <w:r>
        <w:rPr>
          <w:b/>
          <w:bCs/>
        </w:rPr>
        <w:t xml:space="preserve">71.</w:t>
      </w:r>
      <w:r>
        <w:t xml:space="preserve"> </w:t>
      </w:r>
      <w:r>
        <w:t xml:space="preserve">To isolate whether the deterioration in</w:t>
      </w:r>
      <w:r>
        <w:t xml:space="preserve"> </w:t>
      </w:r>
      <w:r>
        <w:rPr>
          <w:rStyle w:val="VerbatimChar"/>
        </w:rPr>
        <w:t xml:space="preserve">h1_2.01</w:t>
      </w:r>
      <w:r>
        <w:t xml:space="preserve"> </w:t>
      </w:r>
      <w:r>
        <w:t xml:space="preserve">is being driven mainly by the reduced flexibility assigned to the South-Central Chile fishery, I fitted an intermediate variant,</w:t>
      </w:r>
      <w:r>
        <w:t xml:space="preserve"> </w:t>
      </w:r>
      <w:r>
        <w:rPr>
          <w:rStyle w:val="VerbatimChar"/>
        </w:rPr>
        <w:t xml:space="preserve">h1_2.01.1</w:t>
      </w:r>
      <w:r>
        <w:t xml:space="preserve">, that keeps the fleet-specific block structure for the other fisheries but restores the annual selectivity-variation treatment for the South-Central Chile fleet used in</w:t>
      </w:r>
      <w:r>
        <w:t xml:space="preserve"> </w:t>
      </w:r>
      <w:r>
        <w:rPr>
          <w:rStyle w:val="VerbatimChar"/>
        </w:rPr>
        <w:t xml:space="preserve">h1_2.00</w:t>
      </w:r>
      <w:r>
        <w:t xml:space="preserve">. This intermediate run converged cleanly (</w:t>
      </w:r>
      <w:r>
        <w:rPr>
          <w:rStyle w:val="VerbatimChar"/>
        </w:rPr>
        <w:t xml:space="preserve">nll = 1364.8</w:t>
      </w:r>
      <w:r>
        <w:t xml:space="preserve">,</w:t>
      </w:r>
      <w:r>
        <w:t xml:space="preserve"> </w:t>
      </w:r>
      <w:r>
        <w:rPr>
          <w:rStyle w:val="VerbatimChar"/>
        </w:rPr>
        <w:t xml:space="preserve">maxgrad = 1.1e-4</w:t>
      </w:r>
      <w:r>
        <w:t xml:space="preserve">) and sits between</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w:t>
      </w:r>
      <w:r>
        <w:t xml:space="preserve">in overall fit. The SSB comparison in</w:t>
      </w:r>
      <w:r>
        <w:t xml:space="preserve"> </w:t>
      </w:r>
      <w:hyperlink w:anchor="fig-selectivity-sc-allowance-ssb">
        <w:r>
          <w:rPr>
            <w:rStyle w:val="Hyperlink"/>
          </w:rPr>
          <w:t xml:space="preserve">Figure 7</w:t>
        </w:r>
      </w:hyperlink>
      <w:r>
        <w:t xml:space="preserve"> </w:t>
      </w:r>
      <w:r>
        <w:t xml:space="preserve">shows that restoring that one source of selectivity flexibility pulls the stock trajectory partway back toward</w:t>
      </w:r>
      <w:r>
        <w:t xml:space="preserve"> </w:t>
      </w:r>
      <w:r>
        <w:rPr>
          <w:rStyle w:val="VerbatimChar"/>
        </w:rPr>
        <w:t xml:space="preserve">h1_2.00</w:t>
      </w:r>
      <w:r>
        <w:t xml:space="preserve">, although it does not fully recover the reduced-index baseline.</w:t>
      </w:r>
    </w:p>
    <w:tbl>
      <w:tblPr>
        <w:tblStyle w:val="Table"/>
        <w:tblW w:type="pct" w:w="5000"/>
        <w:tblLayout w:type="fixed"/>
        <w:tblLook w:firstRow="0" w:lastRow="0" w:firstColumn="0" w:lastColumn="0" w:noHBand="0" w:noVBand="0" w:val="0000"/>
      </w:tblPr>
      <w:tblGrid>
        <w:gridCol w:w="7920"/>
      </w:tblGrid>
      <w:tr>
        <w:tc>
          <w:tcPr/>
          <w:bookmarkStart w:id="85" w:name="fig-selectivity-sc-allowance-ssb"/>
          <w:p>
            <w:pPr>
              <w:pStyle w:val="Compact"/>
              <w:jc w:val="center"/>
            </w:pPr>
            <w:r>
              <w:drawing>
                <wp:inline>
                  <wp:extent cx="5334000" cy="3194843"/>
                  <wp:effectExtent b="0" l="0" r="0" t="0"/>
                  <wp:docPr descr="" title="" id="83" name="Picture"/>
                  <a:graphic>
                    <a:graphicData uri="http://schemas.openxmlformats.org/drawingml/2006/picture">
                      <pic:pic>
                        <pic:nvPicPr>
                          <pic:cNvPr descr="JM-WP-BM-01_files/figure-docx/fig-selectivity-sc-allowance-ssb-1.png" id="84" name="Picture"/>
                          <pic:cNvPicPr>
                            <a:picLocks noChangeArrowheads="1" noChangeAspect="1"/>
                          </pic:cNvPicPr>
                        </pic:nvPicPr>
                        <pic:blipFill>
                          <a:blip r:embed="rId82"/>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spawning biomass trajectories from the reduced-index sensitivity (</w:t>
            </w:r>
            <w:r>
              <w:rPr>
                <w:rStyle w:val="VerbatimChar"/>
              </w:rPr>
              <w:t xml:space="preserve">h1_2.00</w:t>
            </w:r>
            <w:r>
              <w:t xml:space="preserve">) and an intermediate selectivity variant (</w:t>
            </w:r>
            <w:r>
              <w:rPr>
                <w:rStyle w:val="VerbatimChar"/>
              </w:rPr>
              <w:t xml:space="preserve">h1_2.01.1</w:t>
            </w:r>
            <w:r>
              <w:t xml:space="preserve">) in which the South-Central Chile fishery retains the annual selectivity variability allowance from</w:t>
            </w:r>
            <w:r>
              <w:t xml:space="preserve"> </w:t>
            </w:r>
            <w:r>
              <w:rPr>
                <w:rStyle w:val="VerbatimChar"/>
              </w:rPr>
              <w:t xml:space="preserve">h1_2.00</w:t>
            </w:r>
            <w:r>
              <w:t xml:space="preserve">.</w:t>
            </w:r>
          </w:p>
          <w:bookmarkEnd w:id="85"/>
        </w:tc>
      </w:tr>
    </w:tbl>
    <w:p>
      <w:pPr>
        <w:pStyle w:val="BodyText"/>
      </w:pPr>
      <w:r>
        <w:rPr>
          <w:b/>
          <w:bCs/>
        </w:rPr>
        <w:t xml:space="preserve">72.</w:t>
      </w:r>
      <w:r>
        <w:t xml:space="preserve"> </w:t>
      </w:r>
      <w:r>
        <w:t xml:space="preserve">The corresponding selectivity surfaces are shown in</w:t>
      </w:r>
      <w:r>
        <w:t xml:space="preserve"> </w:t>
      </w:r>
      <w:hyperlink w:anchor="fig-selectivity-sc-allowance-compare">
        <w:r>
          <w:rPr>
            <w:rStyle w:val="Hyperlink"/>
          </w:rPr>
          <w:t xml:space="preserve">Figure 8</w:t>
        </w:r>
      </w:hyperlink>
      <w:r>
        <w:t xml:space="preserve">. This comparison makes the construction of</w:t>
      </w:r>
      <w:r>
        <w:t xml:space="preserve"> </w:t>
      </w:r>
      <w:r>
        <w:rPr>
          <w:rStyle w:val="VerbatimChar"/>
        </w:rPr>
        <w:t xml:space="preserve">h1_2.01.1</w:t>
      </w:r>
      <w:r>
        <w:t xml:space="preserve"> </w:t>
      </w:r>
      <w:r>
        <w:t xml:space="preserve">explicit: the North Chile, Far North, and Offshore fleets retain the block-based patterns from</w:t>
      </w:r>
      <w:r>
        <w:t xml:space="preserve"> </w:t>
      </w:r>
      <w:r>
        <w:rPr>
          <w:rStyle w:val="VerbatimChar"/>
        </w:rPr>
        <w:t xml:space="preserve">h1_2.01</w:t>
      </w:r>
      <w:r>
        <w:t xml:space="preserve">, while the South-Central Chile fishery reverts to the more flexible annual treatment. The main visual difference between the two panels is therefore concentrated in that one fishery, which is the intended diagnostic for whether the broader changes in</w:t>
      </w:r>
      <w:r>
        <w:t xml:space="preserve"> </w:t>
      </w:r>
      <w:r>
        <w:rPr>
          <w:rStyle w:val="VerbatimChar"/>
        </w:rPr>
        <w:t xml:space="preserve">h1_2.01</w:t>
      </w:r>
      <w:r>
        <w:t xml:space="preserve"> </w:t>
      </w:r>
      <w:r>
        <w:t xml:space="preserve">are being driven primarily by S-C Chile selectivity regularization.</w:t>
      </w:r>
    </w:p>
    <w:bookmarkStart w:id="94" w:name="fig-selectivity-sc-allowance-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9" w:name="fig-selectivity-sc-allowance-compare-1"/>
                <w:p>
                  <w:pPr>
                    <w:pStyle w:val="Compact"/>
                    <w:jc w:val="center"/>
                    <w:jc w:val="left"/>
                  </w:pPr>
                  <w:r>
                    <w:drawing>
                      <wp:inline>
                        <wp:extent cx="2971800" cy="4754880"/>
                        <wp:effectExtent b="0" l="0" r="0" t="0"/>
                        <wp:docPr descr="" title="" id="87" name="Picture"/>
                        <a:graphic>
                          <a:graphicData uri="http://schemas.openxmlformats.org/drawingml/2006/picture">
                            <pic:pic>
                              <pic:nvPicPr>
                                <pic:cNvPr descr="JM-WP-BM-01_files/figure-docx/fig-selectivity-sc-allowance-compare-1.png" id="88" name="Picture"/>
                                <pic:cNvPicPr>
                                  <a:picLocks noChangeArrowheads="1" noChangeAspect="1"/>
                                </pic:cNvPicPr>
                              </pic:nvPicPr>
                              <pic:blipFill>
                                <a:blip r:embed="rId86"/>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w:t>
                  </w:r>
                </w:p>
                <w:bookmarkEnd w:id="89"/>
              </w:tc>
            </w:tr>
          </w:tbl>
          <w:p/>
        </w:tc>
        <w:tc>
          <w:tcPr/>
          <w:tbl>
            <w:tblPr>
              <w:tblStyle w:val="Table"/>
              <w:tblW w:type="pct" w:w="4900"/>
              <w:tblLayout w:type="fixed"/>
              <w:tblLook w:firstRow="0" w:lastRow="0" w:firstColumn="0" w:lastColumn="0" w:noHBand="0" w:noVBand="0" w:val="0000"/>
            </w:tblPr>
            <w:tblGrid>
              <w:gridCol w:w="7761"/>
            </w:tblGrid>
            <w:tr>
              <w:tc>
                <w:tcPr/>
                <w:bookmarkStart w:id="93" w:name="fig-selectivity-sc-allowance-compare-2"/>
                <w:p>
                  <w:pPr>
                    <w:pStyle w:val="Compact"/>
                    <w:jc w:val="center"/>
                    <w:jc w:val="left"/>
                  </w:pPr>
                  <w:r>
                    <w:drawing>
                      <wp:inline>
                        <wp:extent cx="2971800" cy="4754880"/>
                        <wp:effectExtent b="0" l="0" r="0" t="0"/>
                        <wp:docPr descr="" title="" id="91" name="Picture"/>
                        <a:graphic>
                          <a:graphicData uri="http://schemas.openxmlformats.org/drawingml/2006/picture">
                            <pic:pic>
                              <pic:nvPicPr>
                                <pic:cNvPr descr="JM-WP-BM-01_files/figure-docx/fig-selectivity-sc-allowance-compare-2.png" id="92" name="Picture"/>
                                <pic:cNvPicPr>
                                  <a:picLocks noChangeArrowheads="1" noChangeAspect="1"/>
                                </pic:cNvPicPr>
                              </pic:nvPicPr>
                              <pic:blipFill>
                                <a:blip r:embed="rId90"/>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h1_2.01.1</w:t>
                  </w:r>
                </w:p>
                <w:bookmarkEnd w:id="93"/>
              </w:tc>
            </w:tr>
          </w:tbl>
          <w:p/>
        </w:tc>
      </w:tr>
    </w:tbl>
    <w:p>
      <w:pPr>
        <w:pStyle w:val="BodyText"/>
      </w:pPr>
      <w:pPr>
        <w:spacing w:before="200"/>
        <w:pStyle w:val="ImageCaption"/>
      </w:pPr>
      <w:r>
        <w:t xml:space="preserve">Figure 8: Estimates of selectivity by fishery over time for Models</w:t>
      </w:r>
      <w:r>
        <w:t xml:space="preserve"> </w:t>
      </w:r>
      <w:r>
        <w:rPr>
          <w:rStyle w:val="VerbatimChar"/>
        </w:rPr>
        <w:t xml:space="preserve">h1_2.01</w:t>
      </w:r>
      <w:r>
        <w:t xml:space="preserve"> </w:t>
      </w:r>
      <w:r>
        <w:t xml:space="preserve">and</w:t>
      </w:r>
      <w:r>
        <w:t xml:space="preserve"> </w:t>
      </w:r>
      <w:r>
        <w:rPr>
          <w:rStyle w:val="VerbatimChar"/>
        </w:rPr>
        <w:t xml:space="preserve">h1_2.01.1</w:t>
      </w:r>
      <w:r>
        <w:t xml:space="preserve">, shown in the same style as Figure 37 of the SC13 Jack Mackerel Technical Annex</w:t>
      </w:r>
      <w:r>
        <w:t xml:space="preserve"> </w:t>
      </w:r>
      <w:r>
        <w:t xml:space="preserve">(SPRFMO Scientific Committee, 2025)</w:t>
      </w:r>
      <w:r>
        <w:t xml:space="preserve">.</w:t>
      </w:r>
    </w:p>
    <w:bookmarkEnd w:id="94"/>
    <w:p>
      <w:pPr>
        <w:pStyle w:val="BodyText"/>
      </w:pPr>
      <w:r>
        <w:rPr>
          <w:b/>
          <w:bCs/>
        </w:rPr>
        <w:t xml:space="preserve">73.</w:t>
      </w:r>
      <w:r>
        <w:t xml:space="preserve"> </w:t>
      </w:r>
      <w:r>
        <w:t xml:space="preserve">The more detailed fit comparison is shown in</w:t>
      </w:r>
      <w:r>
        <w:t xml:space="preserve"> </w:t>
      </w:r>
      <w:hyperlink w:anchor="tbl-selectivity-scflex-like-components">
        <w:r>
          <w:rPr>
            <w:rStyle w:val="Hyperlink"/>
          </w:rPr>
          <w:t xml:space="preserve">Table 4</w:t>
        </w:r>
      </w:hyperlink>
      <w:r>
        <w:t xml:space="preserve">. Restoring annual flexibility for the South-Central Chile fishery reduces the total negative log likelihood from</w:t>
      </w:r>
      <w:r>
        <w:t xml:space="preserve"> </w:t>
      </w:r>
      <w:r>
        <w:rPr>
          <w:rStyle w:val="VerbatimChar"/>
        </w:rPr>
        <w:t xml:space="preserve">1544.1</w:t>
      </w:r>
      <w:r>
        <w:t xml:space="preserve"> </w:t>
      </w:r>
      <w:r>
        <w:t xml:space="preserve">in</w:t>
      </w:r>
      <w:r>
        <w:t xml:space="preserve"> </w:t>
      </w:r>
      <w:r>
        <w:rPr>
          <w:rStyle w:val="VerbatimChar"/>
        </w:rPr>
        <w:t xml:space="preserve">h1_2.01</w:t>
      </w:r>
      <w:r>
        <w:t xml:space="preserve"> </w:t>
      </w:r>
      <w:r>
        <w:t xml:space="preserve">to</w:t>
      </w:r>
      <w:r>
        <w:t xml:space="preserve"> </w:t>
      </w:r>
      <w:r>
        <w:rPr>
          <w:rStyle w:val="VerbatimChar"/>
        </w:rPr>
        <w:t xml:space="preserve">1364.8</w:t>
      </w:r>
      <w:r>
        <w:t xml:space="preserve"> </w:t>
      </w:r>
      <w:r>
        <w:t xml:space="preserve">in</w:t>
      </w:r>
      <w:r>
        <w:t xml:space="preserve"> </w:t>
      </w:r>
      <w:r>
        <w:rPr>
          <w:rStyle w:val="VerbatimChar"/>
        </w:rPr>
        <w:t xml:space="preserve">h1_2.01.1</w:t>
      </w:r>
      <w:r>
        <w:t xml:space="preserve">, while increasing the parameter count from</w:t>
      </w:r>
      <w:r>
        <w:t xml:space="preserve"> </w:t>
      </w:r>
      <w:r>
        <w:rPr>
          <w:rStyle w:val="VerbatimChar"/>
        </w:rPr>
        <w:t xml:space="preserve">480</w:t>
      </w:r>
      <w:r>
        <w:t xml:space="preserve"> </w:t>
      </w:r>
      <w:r>
        <w:t xml:space="preserve">to</w:t>
      </w:r>
      <w:r>
        <w:t xml:space="preserve"> </w:t>
      </w:r>
      <w:r>
        <w:rPr>
          <w:rStyle w:val="VerbatimChar"/>
        </w:rPr>
        <w:t xml:space="preserve">870</w:t>
      </w:r>
      <w:r>
        <w:t xml:space="preserve">. The largest direct improvement is in the South-Central Chile fishery age-composition term, which falls from about</w:t>
      </w:r>
      <w:r>
        <w:t xml:space="preserve"> </w:t>
      </w:r>
      <w:r>
        <w:rPr>
          <w:rStyle w:val="VerbatimChar"/>
        </w:rPr>
        <w:t xml:space="preserve">307.3</w:t>
      </w:r>
      <w:r>
        <w:t xml:space="preserve"> </w:t>
      </w:r>
      <w:r>
        <w:t xml:space="preserve">to</w:t>
      </w:r>
      <w:r>
        <w:t xml:space="preserve"> </w:t>
      </w:r>
      <w:r>
        <w:rPr>
          <w:rStyle w:val="VerbatimChar"/>
        </w:rPr>
        <w:t xml:space="preserve">139.2</w:t>
      </w:r>
      <w:r>
        <w:t xml:space="preserve">, close to the</w:t>
      </w:r>
      <w:r>
        <w:t xml:space="preserve"> </w:t>
      </w:r>
      <w:r>
        <w:rPr>
          <w:rStyle w:val="VerbatimChar"/>
        </w:rPr>
        <w:t xml:space="preserve">h1_2.00</w:t>
      </w:r>
      <w:r>
        <w:t xml:space="preserve"> </w:t>
      </w:r>
      <w:r>
        <w:t xml:space="preserve">value of</w:t>
      </w:r>
      <w:r>
        <w:t xml:space="preserve"> </w:t>
      </w:r>
      <w:r>
        <w:rPr>
          <w:rStyle w:val="VerbatimChar"/>
        </w:rPr>
        <w:t xml:space="preserve">124.0</w:t>
      </w:r>
      <w:r>
        <w:t xml:space="preserve">. Aggregate retained-index fit also improves materially, from about</w:t>
      </w:r>
      <w:r>
        <w:t xml:space="preserve"> </w:t>
      </w:r>
      <w:r>
        <w:rPr>
          <w:rStyle w:val="VerbatimChar"/>
        </w:rPr>
        <w:t xml:space="preserve">258.0</w:t>
      </w:r>
      <w:r>
        <w:t xml:space="preserve"> </w:t>
      </w:r>
      <w:r>
        <w:t xml:space="preserve">to</w:t>
      </w:r>
      <w:r>
        <w:t xml:space="preserve"> </w:t>
      </w:r>
      <w:r>
        <w:rPr>
          <w:rStyle w:val="VerbatimChar"/>
        </w:rPr>
        <w:t xml:space="preserve">185.9</w:t>
      </w:r>
      <w:r>
        <w:t xml:space="preserve">, although fishery length compositions remain much worse than in</w:t>
      </w:r>
      <w:r>
        <w:t xml:space="preserve"> </w:t>
      </w:r>
      <w:r>
        <w:rPr>
          <w:rStyle w:val="VerbatimChar"/>
        </w:rPr>
        <w:t xml:space="preserve">h1_2.00</w:t>
      </w:r>
      <w:r>
        <w:t xml:space="preserve">. Taken together, the figure and table suggest that a substantial part of the penalty in</w:t>
      </w:r>
      <w:r>
        <w:t xml:space="preserve"> </w:t>
      </w:r>
      <w:r>
        <w:rPr>
          <w:rStyle w:val="VerbatimChar"/>
        </w:rPr>
        <w:t xml:space="preserve">h1_2.01</w:t>
      </w:r>
      <w:r>
        <w:t xml:space="preserve"> </w:t>
      </w:r>
      <w:r>
        <w:t xml:space="preserve">comes from over-constraining the S-C Chile selectivity history, but not all of it.</w:t>
      </w:r>
    </w:p>
    <w:tbl>
      <w:tblPr>
        <w:tblStyle w:val="Table"/>
        <w:tblW w:type="pct" w:w="5000"/>
        <w:tblLayout w:type="fixed"/>
        <w:tblLook w:firstRow="0" w:lastRow="0" w:firstColumn="0" w:lastColumn="0" w:noHBand="0" w:noVBand="0" w:val="0000"/>
      </w:tblPr>
      <w:tblGrid>
        <w:gridCol w:w="7920"/>
      </w:tblGrid>
      <w:tr>
        <w:tc>
          <w:tcPr/>
          <w:bookmarkStart w:id="95" w:name="tbl-selectivity-scflex-like-components"/>
          <w:p>
            <w:pPr>
              <w:jc w:val="center"/>
            </w:pPr>
            <w:pPr>
              <w:jc w:val="left"/>
              <w:spacing w:before="200"/>
              <w:pStyle w:val="ImageCaption"/>
            </w:pPr>
            <w:r>
              <w:t xml:space="preserve">Table 4: Negative-log-likelihood components and estimated parameter counts for the reduced-index sensitivity (</w:t>
            </w:r>
            <w:r>
              <w:rPr>
                <w:rStyle w:val="VerbatimChar"/>
              </w:rPr>
              <w:t xml:space="preserve">h1_2.00</w:t>
            </w:r>
            <w:r>
              <w:t xml:space="preserve">), the reduced-index model with fishery selectivity blocks (</w:t>
            </w:r>
            <w:r>
              <w:rPr>
                <w:rStyle w:val="VerbatimChar"/>
              </w:rPr>
              <w:t xml:space="preserve">h1_2.01</w:t>
            </w:r>
            <w:r>
              <w:t xml:space="preserve">), and the intermediate selectivity variant (</w:t>
            </w:r>
            <w:r>
              <w:rPr>
                <w:rStyle w:val="VerbatimChar"/>
              </w:rPr>
              <w:t xml:space="preserve">h1_2.01.1</w:t>
            </w:r>
            <w:r>
              <w:t xml:space="preserve">) in which the South-Central Chile fishery retains the annual selectivity variability allowance.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374.8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FF2EC"/>
                </w:tcPr>
                <w:p>
                  <w:pPr>
                    <w:spacing w:before="0" w:after="60"/>
                    <w:keepNext/>
                    <w:jc w:val="end"/>
                  </w:pPr>
                  <w:r>
                    <w:rPr>
                      <w:rFonts w:ascii="Calibri" w:hAnsi="Calibri"/>
                      <w:sz w:val="20"/>
                    </w:rPr>
                    <w:t xml:space="default">199.0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139.2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EE5DA"/>
                </w:tcPr>
                <w:p>
                  <w:pPr>
                    <w:spacing w:before="0" w:after="60"/>
                    <w:keepNext/>
                    <w:jc w:val="end"/>
                  </w:pPr>
                  <w:r>
                    <w:rPr>
                      <w:rFonts w:ascii="Calibri" w:hAnsi="Calibri"/>
                      <w:sz w:val="20"/>
                    </w:rPr>
                    <w:t xml:space="default">36.5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FECE3"/>
                </w:tcPr>
                <w:p>
                  <w:pPr>
                    <w:spacing w:before="0" w:after="60"/>
                    <w:keepNext/>
                    <w:jc w:val="end"/>
                  </w:pPr>
                  <w:r>
                    <w:rPr>
                      <w:rFonts w:ascii="Calibri" w:hAnsi="Calibri"/>
                      <w:sz w:val="20"/>
                    </w:rPr>
                    <w:t xml:space="default">567.0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DC9B5"/>
                </w:tcPr>
                <w:p>
                  <w:pPr>
                    <w:spacing w:before="0" w:after="60"/>
                    <w:keepNext/>
                    <w:jc w:val="end"/>
                  </w:pPr>
                  <w:r>
                    <w:rPr>
                      <w:rFonts w:ascii="Calibri" w:hAnsi="Calibri"/>
                      <w:sz w:val="20"/>
                    </w:rPr>
                    <w:t xml:space="default">196.0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CDBA"/>
                </w:tcPr>
                <w:p>
                  <w:pPr>
                    <w:spacing w:before="0" w:after="60"/>
                    <w:keepNext/>
                    <w:jc w:val="end"/>
                  </w:pPr>
                  <w:r>
                    <w:rPr>
                      <w:rFonts w:ascii="Calibri" w:hAnsi="Calibri"/>
                      <w:sz w:val="20"/>
                    </w:rPr>
                    <w:t xml:space="default">185.9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1AA"/>
                </w:tcPr>
                <w:p>
                  <w:pPr>
                    <w:spacing w:before="0" w:after="60"/>
                    <w:keepNext/>
                    <w:jc w:val="end"/>
                  </w:pPr>
                  <w:r>
                    <w:rPr>
                      <w:rFonts w:ascii="Calibri" w:hAnsi="Calibri"/>
                      <w:sz w:val="20"/>
                    </w:rPr>
                    <w:t xml:space="default">77.0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9CB"/>
                </w:tcPr>
                <w:p>
                  <w:pPr>
                    <w:spacing w:before="0" w:after="60"/>
                    <w:keepNext/>
                    <w:jc w:val="end"/>
                  </w:pPr>
                  <w:r>
                    <w:rPr>
                      <w:rFonts w:ascii="Calibri" w:hAnsi="Calibri"/>
                      <w:sz w:val="20"/>
                    </w:rPr>
                    <w:t xml:space="default">51.3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CDBB"/>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79D"/>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ED3C3"/>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1,364.8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870</w:t>
                  </w:r>
                </w:p>
              </w:tc>
            </w:tr>
          </w:tbl>
          <w:bookmarkEnd w:id="95"/>
        </w:tc>
      </w:tr>
    </w:tbl>
    <w:p>
      <w:pPr>
        <w:pStyle w:val="BodyText"/>
      </w:pPr>
      <w:r>
        <w:rPr>
          <w:b/>
          <w:bCs/>
        </w:rPr>
        <w:t xml:space="preserve">74.</w:t>
      </w:r>
      <w:r>
        <w:t xml:space="preserve"> </w:t>
      </w:r>
      <w:r>
        <w:t xml:space="preserve">As a further check, I fitted a second South-Central Chile alternative,</w:t>
      </w:r>
      <w:r>
        <w:t xml:space="preserve"> </w:t>
      </w:r>
      <w:r>
        <w:rPr>
          <w:rStyle w:val="VerbatimChar"/>
        </w:rPr>
        <w:t xml:space="preserve">h1_2.01.2</w:t>
      </w:r>
      <w:r>
        <w:t xml:space="preserve">, which starts from</w:t>
      </w:r>
      <w:r>
        <w:t xml:space="preserve"> </w:t>
      </w:r>
      <w:r>
        <w:rPr>
          <w:rStyle w:val="VerbatimChar"/>
        </w:rPr>
        <w:t xml:space="preserve">h1_2.01.1</w:t>
      </w:r>
      <w:r>
        <w:t xml:space="preserve"> </w:t>
      </w:r>
      <w:r>
        <w:t xml:space="preserve">but replaces the annual S-C Chile selectivity history with five blocks separated at 1985, 1998, 2008, and 2016. The intention was to preserve the broad pre-1985 period, the late-1980s to 1990s narrowing of the dome, the late-1990s recruitment-regime shift, the 2008-2015 transitional period, and the distinct post-2016 shape without returning to a fully annual treatment. In practice, this five-block version converged cleanly (</w:t>
      </w:r>
      <w:r>
        <w:rPr>
          <w:rStyle w:val="VerbatimChar"/>
        </w:rPr>
        <w:t xml:space="preserve">nll = 1518.5</w:t>
      </w:r>
      <w:r>
        <w:t xml:space="preserve">,</w:t>
      </w:r>
      <w:r>
        <w:t xml:space="preserve"> </w:t>
      </w:r>
      <w:r>
        <w:rPr>
          <w:rStyle w:val="VerbatimChar"/>
        </w:rPr>
        <w:t xml:space="preserve">maxgrad = 9.6e-5</w:t>
      </w:r>
      <w:r>
        <w:t xml:space="preserve">) but performed much more like the original block model than like</w:t>
      </w:r>
      <w:r>
        <w:t xml:space="preserve"> </w:t>
      </w:r>
      <w:r>
        <w:rPr>
          <w:rStyle w:val="VerbatimChar"/>
        </w:rPr>
        <w:t xml:space="preserve">h1_2.01.1</w:t>
      </w:r>
      <w:r>
        <w:t xml:space="preserve">.</w:t>
      </w:r>
    </w:p>
    <w:p>
      <w:pPr>
        <w:pStyle w:val="BodyText"/>
      </w:pPr>
      <w:r>
        <w:rPr>
          <w:b/>
          <w:bCs/>
        </w:rPr>
        <w:t xml:space="preserve">75.</w:t>
      </w:r>
      <w:r>
        <w:t xml:space="preserve"> </w:t>
      </w:r>
      <w:r>
        <w:t xml:space="preserve">The resulting spawning biomass trajectories are shown in</w:t>
      </w:r>
      <w:r>
        <w:t xml:space="preserve"> </w:t>
      </w:r>
      <w:hyperlink w:anchor="fig-selectivity-sc5-ssb">
        <w:r>
          <w:rPr>
            <w:rStyle w:val="Hyperlink"/>
          </w:rPr>
          <w:t xml:space="preserve">Figure 9</w:t>
        </w:r>
      </w:hyperlink>
      <w:r>
        <w:t xml:space="preserve">. Relative to</w:t>
      </w:r>
      <w:r>
        <w:t xml:space="preserve"> </w:t>
      </w:r>
      <w:r>
        <w:rPr>
          <w:rStyle w:val="VerbatimChar"/>
        </w:rPr>
        <w:t xml:space="preserve">h1_2.01.1</w:t>
      </w:r>
      <w:r>
        <w:t xml:space="preserve">, the five-block S-C Chile variant moves the stock trajectory sharply upward and is closer to</w:t>
      </w:r>
      <w:r>
        <w:t xml:space="preserve"> </w:t>
      </w:r>
      <w:r>
        <w:rPr>
          <w:rStyle w:val="VerbatimChar"/>
        </w:rPr>
        <w:t xml:space="preserve">h1_2.01</w:t>
      </w:r>
      <w:r>
        <w:t xml:space="preserve"> </w:t>
      </w:r>
      <w:r>
        <w:t xml:space="preserve">than to the annual-S-C case. Its terminal spawning biomass reaches about</w:t>
      </w:r>
      <w:r>
        <w:t xml:space="preserve"> </w:t>
      </w:r>
      <w:r>
        <w:rPr>
          <w:rStyle w:val="VerbatimChar"/>
        </w:rPr>
        <w:t xml:space="preserve">23.8</w:t>
      </w:r>
      <w:r>
        <w:t xml:space="preserve"> </w:t>
      </w:r>
      <w:r>
        <w:t xml:space="preserve">kt, compared with about</w:t>
      </w:r>
      <w:r>
        <w:t xml:space="preserve"> </w:t>
      </w:r>
      <w:r>
        <w:rPr>
          <w:rStyle w:val="VerbatimChar"/>
        </w:rPr>
        <w:t xml:space="preserve">18.2</w:t>
      </w:r>
      <w:r>
        <w:t xml:space="preserve"> </w:t>
      </w:r>
      <w:r>
        <w:t xml:space="preserve">kt for</w:t>
      </w:r>
      <w:r>
        <w:t xml:space="preserve"> </w:t>
      </w:r>
      <w:r>
        <w:rPr>
          <w:rStyle w:val="VerbatimChar"/>
        </w:rPr>
        <w:t xml:space="preserve">h1_2.01.1</w:t>
      </w:r>
      <w:r>
        <w:t xml:space="preserve"> </w:t>
      </w:r>
      <w:r>
        <w:t xml:space="preserve">and</w:t>
      </w:r>
      <w:r>
        <w:t xml:space="preserve"> </w:t>
      </w:r>
      <w:r>
        <w:rPr>
          <w:rStyle w:val="VerbatimChar"/>
        </w:rPr>
        <w:t xml:space="preserve">19.9</w:t>
      </w:r>
      <w:r>
        <w:t xml:space="preserve"> </w:t>
      </w:r>
      <w:r>
        <w:t xml:space="preserve">kt for</w:t>
      </w:r>
      <w:r>
        <w:t xml:space="preserve"> </w:t>
      </w:r>
      <w:r>
        <w:rPr>
          <w:rStyle w:val="VerbatimChar"/>
        </w:rPr>
        <w:t xml:space="preserve">h1_2.01</w:t>
      </w:r>
      <w:r>
        <w:t xml:space="preserve">.</w:t>
      </w:r>
    </w:p>
    <w:tbl>
      <w:tblPr>
        <w:tblStyle w:val="Table"/>
        <w:tblW w:type="pct" w:w="5000"/>
        <w:tblLayout w:type="fixed"/>
        <w:tblLook w:firstRow="0" w:lastRow="0" w:firstColumn="0" w:lastColumn="0" w:noHBand="0" w:noVBand="0" w:val="0000"/>
      </w:tblPr>
      <w:tblGrid>
        <w:gridCol w:w="7920"/>
      </w:tblGrid>
      <w:tr>
        <w:tc>
          <w:tcPr/>
          <w:bookmarkStart w:id="99" w:name="fig-selectivity-sc5-ssb"/>
          <w:p>
            <w:pPr>
              <w:pStyle w:val="Compact"/>
              <w:jc w:val="center"/>
            </w:pPr>
            <w:r>
              <w:drawing>
                <wp:inline>
                  <wp:extent cx="5334000" cy="3194843"/>
                  <wp:effectExtent b="0" l="0" r="0" t="0"/>
                  <wp:docPr descr="" title="" id="97" name="Picture"/>
                  <a:graphic>
                    <a:graphicData uri="http://schemas.openxmlformats.org/drawingml/2006/picture">
                      <pic:pic>
                        <pic:nvPicPr>
                          <pic:cNvPr descr="JM-WP-BM-01_files/figure-docx/fig-selectivity-sc5-ssb-1.png" id="98" name="Picture"/>
                          <pic:cNvPicPr>
                            <a:picLocks noChangeArrowheads="1" noChangeAspect="1"/>
                          </pic:cNvPicPr>
                        </pic:nvPicPr>
                        <pic:blipFill>
                          <a:blip r:embed="rId96"/>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Comparison of spawning biomass trajectories for the original fishery-block model (</w:t>
            </w:r>
            <w:r>
              <w:rPr>
                <w:rStyle w:val="VerbatimChar"/>
              </w:rPr>
              <w:t xml:space="preserve">h1_2.01</w:t>
            </w:r>
            <w:r>
              <w:t xml:space="preserve">), the annual S-C Chile variant (</w:t>
            </w:r>
            <w:r>
              <w:rPr>
                <w:rStyle w:val="VerbatimChar"/>
              </w:rPr>
              <w:t xml:space="preserve">h1_2.01.1</w:t>
            </w:r>
            <w:r>
              <w:t xml:space="preserve">), and the five-block S-C Chile variant (</w:t>
            </w:r>
            <w:r>
              <w:rPr>
                <w:rStyle w:val="VerbatimChar"/>
              </w:rPr>
              <w:t xml:space="preserve">h1_2.01.2</w:t>
            </w:r>
            <w:r>
              <w:t xml:space="preserve">).</w:t>
            </w:r>
          </w:p>
          <w:bookmarkEnd w:id="99"/>
        </w:tc>
      </w:tr>
    </w:tbl>
    <w:p>
      <w:pPr>
        <w:pStyle w:val="BodyText"/>
      </w:pPr>
      <w:r>
        <w:rPr>
          <w:b/>
          <w:bCs/>
        </w:rPr>
        <w:t xml:space="preserve">76.</w:t>
      </w:r>
      <w:r>
        <w:t xml:space="preserve"> </w:t>
      </w:r>
      <w:r>
        <w:t xml:space="preserve">The direct selectivity comparison is shown in</w:t>
      </w:r>
      <w:r>
        <w:t xml:space="preserve"> </w:t>
      </w:r>
      <w:hyperlink w:anchor="fig-selectivity-sc5-compare">
        <w:r>
          <w:rPr>
            <w:rStyle w:val="Hyperlink"/>
          </w:rPr>
          <w:t xml:space="preserve">Figure 10</w:t>
        </w:r>
      </w:hyperlink>
      <w:r>
        <w:t xml:space="preserve">. As intended, the difference between</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w:t>
      </w:r>
      <w:r>
        <w:t xml:space="preserve">is confined to the South-Central Chile fishery, where the annual pattern is replaced by the five broader periods. However, the likelihood comparison in</w:t>
      </w:r>
      <w:r>
        <w:t xml:space="preserve"> </w:t>
      </w:r>
      <w:hyperlink w:anchor="tbl-selectivity-sc5-like-components">
        <w:r>
          <w:rPr>
            <w:rStyle w:val="Hyperlink"/>
          </w:rPr>
          <w:t xml:space="preserve">Table 5</w:t>
        </w:r>
      </w:hyperlink>
      <w:r>
        <w:t xml:space="preserve"> </w:t>
      </w:r>
      <w:r>
        <w:t xml:space="preserve">shows that this coarser representation gives back much of the fit recovered by</w:t>
      </w:r>
      <w:r>
        <w:t xml:space="preserve"> </w:t>
      </w:r>
      <w:r>
        <w:rPr>
          <w:rStyle w:val="VerbatimChar"/>
        </w:rPr>
        <w:t xml:space="preserve">h1_2.01.1</w:t>
      </w:r>
      <w:r>
        <w:t xml:space="preserve">: the total negative log likelihood rises from</w:t>
      </w:r>
      <w:r>
        <w:t xml:space="preserve"> </w:t>
      </w:r>
      <w:r>
        <w:rPr>
          <w:rStyle w:val="VerbatimChar"/>
        </w:rPr>
        <w:t xml:space="preserve">1364.8</w:t>
      </w:r>
      <w:r>
        <w:t xml:space="preserve"> </w:t>
      </w:r>
      <w:r>
        <w:t xml:space="preserve">to</w:t>
      </w:r>
      <w:r>
        <w:t xml:space="preserve"> </w:t>
      </w:r>
      <w:r>
        <w:rPr>
          <w:rStyle w:val="VerbatimChar"/>
        </w:rPr>
        <w:t xml:space="preserve">1518.5</w:t>
      </w:r>
      <w:r>
        <w:t xml:space="preserve">, the South-Central Chile fishery age-composition term rises from</w:t>
      </w:r>
      <w:r>
        <w:t xml:space="preserve"> </w:t>
      </w:r>
      <w:r>
        <w:rPr>
          <w:rStyle w:val="VerbatimChar"/>
        </w:rPr>
        <w:t xml:space="preserve">139.2</w:t>
      </w:r>
      <w:r>
        <w:t xml:space="preserve"> </w:t>
      </w:r>
      <w:r>
        <w:t xml:space="preserve">to</w:t>
      </w:r>
      <w:r>
        <w:t xml:space="preserve"> </w:t>
      </w:r>
      <w:r>
        <w:rPr>
          <w:rStyle w:val="VerbatimChar"/>
        </w:rPr>
        <w:t xml:space="preserve">285.4</w:t>
      </w:r>
      <w:r>
        <w:t xml:space="preserve">, and the retained-index total worsens from</w:t>
      </w:r>
      <w:r>
        <w:t xml:space="preserve"> </w:t>
      </w:r>
      <w:r>
        <w:rPr>
          <w:rStyle w:val="VerbatimChar"/>
        </w:rPr>
        <w:t xml:space="preserve">185.9</w:t>
      </w:r>
      <w:r>
        <w:t xml:space="preserve"> </w:t>
      </w:r>
      <w:r>
        <w:t xml:space="preserve">to</w:t>
      </w:r>
      <w:r>
        <w:t xml:space="preserve"> </w:t>
      </w:r>
      <w:r>
        <w:rPr>
          <w:rStyle w:val="VerbatimChar"/>
        </w:rPr>
        <w:t xml:space="preserve">239.6</w:t>
      </w:r>
      <w:r>
        <w:t xml:space="preserve">. Parameter count falls from</w:t>
      </w:r>
      <w:r>
        <w:t xml:space="preserve"> </w:t>
      </w:r>
      <w:r>
        <w:rPr>
          <w:rStyle w:val="VerbatimChar"/>
        </w:rPr>
        <w:t xml:space="preserve">870</w:t>
      </w:r>
      <w:r>
        <w:t xml:space="preserve"> </w:t>
      </w:r>
      <w:r>
        <w:t xml:space="preserve">to</w:t>
      </w:r>
      <w:r>
        <w:t xml:space="preserve"> </w:t>
      </w:r>
      <w:r>
        <w:rPr>
          <w:rStyle w:val="VerbatimChar"/>
        </w:rPr>
        <w:t xml:space="preserve">490</w:t>
      </w:r>
      <w:r>
        <w:t xml:space="preserve">, only slightly above the original</w:t>
      </w:r>
      <w:r>
        <w:t xml:space="preserve"> </w:t>
      </w:r>
      <w:r>
        <w:rPr>
          <w:rStyle w:val="VerbatimChar"/>
        </w:rPr>
        <w:t xml:space="preserve">h1_2.01</w:t>
      </w:r>
      <w:r>
        <w:t xml:space="preserve"> </w:t>
      </w:r>
      <w:r>
        <w:t xml:space="preserve">value of</w:t>
      </w:r>
      <w:r>
        <w:t xml:space="preserve"> </w:t>
      </w:r>
      <w:r>
        <w:rPr>
          <w:rStyle w:val="VerbatimChar"/>
        </w:rPr>
        <w:t xml:space="preserve">480</w:t>
      </w:r>
      <w:r>
        <w:t xml:space="preserve">. This indicates that, for the current data, the proposed five-block S-C Chile structure is still too restrictive to reproduce the main benefits of the annual S-C Chile treatment. A simpler follow-up worth testing later would be the suggested four-block alternative with breaks at 1985, 1998, and 2014.</w:t>
      </w:r>
    </w:p>
    <w:bookmarkStart w:id="108" w:name="fig-selectivity-sc5-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3" w:name="fig-selectivity-sc5-compare-1"/>
                <w:p>
                  <w:pPr>
                    <w:pStyle w:val="Compact"/>
                    <w:jc w:val="center"/>
                    <w:jc w:val="left"/>
                  </w:pPr>
                  <w:r>
                    <w:drawing>
                      <wp:inline>
                        <wp:extent cx="2971800" cy="4754880"/>
                        <wp:effectExtent b="0" l="0" r="0" t="0"/>
                        <wp:docPr descr="" title="" id="101" name="Picture"/>
                        <a:graphic>
                          <a:graphicData uri="http://schemas.openxmlformats.org/drawingml/2006/picture">
                            <pic:pic>
                              <pic:nvPicPr>
                                <pic:cNvPr descr="JM-WP-BM-01_files/figure-docx/fig-selectivity-sc5-compare-1.png" id="102" name="Picture"/>
                                <pic:cNvPicPr>
                                  <a:picLocks noChangeArrowheads="1" noChangeAspect="1"/>
                                </pic:cNvPicPr>
                              </pic:nvPicPr>
                              <pic:blipFill>
                                <a:blip r:embed="rId100"/>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h1_2.01.1</w:t>
                  </w:r>
                </w:p>
                <w:bookmarkEnd w:id="103"/>
              </w:tc>
            </w:tr>
          </w:tbl>
          <w:p/>
        </w:tc>
        <w:tc>
          <w:tcPr/>
          <w:tbl>
            <w:tblPr>
              <w:tblStyle w:val="Table"/>
              <w:tblW w:type="pct" w:w="4900"/>
              <w:tblLayout w:type="fixed"/>
              <w:tblLook w:firstRow="0" w:lastRow="0" w:firstColumn="0" w:lastColumn="0" w:noHBand="0" w:noVBand="0" w:val="0000"/>
            </w:tblPr>
            <w:tblGrid>
              <w:gridCol w:w="7761"/>
            </w:tblGrid>
            <w:tr>
              <w:tc>
                <w:tcPr/>
                <w:bookmarkStart w:id="107" w:name="fig-selectivity-sc5-compare-2"/>
                <w:p>
                  <w:pPr>
                    <w:pStyle w:val="Compact"/>
                    <w:jc w:val="center"/>
                    <w:jc w:val="left"/>
                  </w:pPr>
                  <w:r>
                    <w:drawing>
                      <wp:inline>
                        <wp:extent cx="2971800" cy="4754880"/>
                        <wp:effectExtent b="0" l="0" r="0" t="0"/>
                        <wp:docPr descr="" title="" id="105" name="Picture"/>
                        <a:graphic>
                          <a:graphicData uri="http://schemas.openxmlformats.org/drawingml/2006/picture">
                            <pic:pic>
                              <pic:nvPicPr>
                                <pic:cNvPr descr="JM-WP-BM-01_files/figure-docx/fig-selectivity-sc5-compare-2.png" id="106" name="Picture"/>
                                <pic:cNvPicPr>
                                  <a:picLocks noChangeArrowheads="1" noChangeAspect="1"/>
                                </pic:cNvPicPr>
                              </pic:nvPicPr>
                              <pic:blipFill>
                                <a:blip r:embed="rId104"/>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h1_2.01.2</w:t>
                  </w:r>
                </w:p>
                <w:bookmarkEnd w:id="107"/>
              </w:tc>
            </w:tr>
          </w:tbl>
          <w:p/>
        </w:tc>
      </w:tr>
    </w:tbl>
    <w:p>
      <w:pPr>
        <w:pStyle w:val="BodyText"/>
      </w:pPr>
      <w:pPr>
        <w:spacing w:before="200"/>
        <w:pStyle w:val="ImageCaption"/>
      </w:pPr>
      <w:r>
        <w:t xml:space="preserve">Figure 10: Estimates of selectivity by fishery over time for Models</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shown in the same style as Figure 37 of the SC13 Jack Mackerel Technical Annex</w:t>
      </w:r>
      <w:r>
        <w:t xml:space="preserve"> </w:t>
      </w:r>
      <w:r>
        <w:t xml:space="preserve">(SPRFMO Scientific Committee, 2025)</w:t>
      </w:r>
      <w:r>
        <w:t xml:space="preserve">.</w:t>
      </w:r>
    </w:p>
    <w:bookmarkEnd w:id="108"/>
    <w:p>
      <w:pPr>
        <w:pStyle w:val="BodyText"/>
      </w:pPr>
      <w:r>
        <w:rPr>
          <w:b/>
          <w:bCs/>
        </w:rPr>
        <w:t xml:space="preserve">77.</w:t>
      </w:r>
      <w:r>
        <w:t xml:space="preserve"> </w:t>
      </w:r>
      <w:r>
        <w:t xml:space="preserve">The more detailed fit comparison, now including the q-random-walk variant, is shown in</w:t>
      </w:r>
      <w:r>
        <w:t xml:space="preserve"> </w:t>
      </w:r>
      <w:hyperlink w:anchor="tbl-selectivity-sc5-like-components">
        <w:r>
          <w:rPr>
            <w:rStyle w:val="Hyperlink"/>
          </w:rPr>
          <w:t xml:space="preserve">Table 5</w:t>
        </w:r>
      </w:hyperlink>
      <w:r>
        <w:t xml:space="preserve">. Relative to</w:t>
      </w:r>
      <w:r>
        <w:t xml:space="preserve"> </w:t>
      </w:r>
      <w:r>
        <w:rPr>
          <w:rStyle w:val="VerbatimChar"/>
        </w:rPr>
        <w:t xml:space="preserve">h1_2.01</w:t>
      </w:r>
      <w:r>
        <w:t xml:space="preserve">, the annual-S-C variant</w:t>
      </w:r>
      <w:r>
        <w:t xml:space="preserve"> </w:t>
      </w:r>
      <w:r>
        <w:rPr>
          <w:rStyle w:val="VerbatimChar"/>
        </w:rPr>
        <w:t xml:space="preserve">h1_2.01.1</w:t>
      </w:r>
      <w:r>
        <w:t xml:space="preserve"> </w:t>
      </w:r>
      <w:r>
        <w:t xml:space="preserve">recovers a large part of the lost fit, while the five-block version</w:t>
      </w:r>
      <w:r>
        <w:t xml:space="preserve"> </w:t>
      </w:r>
      <w:r>
        <w:rPr>
          <w:rStyle w:val="VerbatimChar"/>
        </w:rPr>
        <w:t xml:space="preserve">h1_2.01.2</w:t>
      </w:r>
      <w:r>
        <w:t xml:space="preserve"> </w:t>
      </w:r>
      <w:r>
        <w:t xml:space="preserve">gives much of that improvement back. The q-random-walk version</w:t>
      </w:r>
      <w:r>
        <w:t xml:space="preserve"> </w:t>
      </w:r>
      <w:r>
        <w:rPr>
          <w:rStyle w:val="VerbatimChar"/>
        </w:rPr>
        <w:t xml:space="preserve">h1_2.01.3</w:t>
      </w:r>
      <w:r>
        <w:t xml:space="preserve"> </w:t>
      </w:r>
      <w:r>
        <w:t xml:space="preserve">lowers the retained comparable index contribution further to about</w:t>
      </w:r>
      <w:r>
        <w:t xml:space="preserve"> </w:t>
      </w:r>
      <w:r>
        <w:rPr>
          <w:rStyle w:val="VerbatimChar"/>
        </w:rPr>
        <w:t xml:space="preserve">163.9</w:t>
      </w:r>
      <w:r>
        <w:t xml:space="preserve">, compared with about</w:t>
      </w:r>
      <w:r>
        <w:t xml:space="preserve"> </w:t>
      </w:r>
      <w:r>
        <w:rPr>
          <w:rStyle w:val="VerbatimChar"/>
        </w:rPr>
        <w:t xml:space="preserve">258.0</w:t>
      </w:r>
      <w:r>
        <w:t xml:space="preserve"> </w:t>
      </w:r>
      <w:r>
        <w:t xml:space="preserve">for</w:t>
      </w:r>
      <w:r>
        <w:t xml:space="preserve"> </w:t>
      </w:r>
      <w:r>
        <w:rPr>
          <w:rStyle w:val="VerbatimChar"/>
        </w:rPr>
        <w:t xml:space="preserve">h1_2.01</w:t>
      </w:r>
      <w:r>
        <w:t xml:space="preserve">,</w:t>
      </w:r>
      <w:r>
        <w:t xml:space="preserve"> </w:t>
      </w:r>
      <w:r>
        <w:rPr>
          <w:rStyle w:val="VerbatimChar"/>
        </w:rPr>
        <w:t xml:space="preserve">185.9</w:t>
      </w:r>
      <w:r>
        <w:t xml:space="preserve"> </w:t>
      </w:r>
      <w:r>
        <w:t xml:space="preserve">for</w:t>
      </w:r>
      <w:r>
        <w:t xml:space="preserve"> </w:t>
      </w:r>
      <w:r>
        <w:rPr>
          <w:rStyle w:val="VerbatimChar"/>
        </w:rPr>
        <w:t xml:space="preserve">h1_2.01.1</w:t>
      </w:r>
      <w:r>
        <w:t xml:space="preserve">, and</w:t>
      </w:r>
      <w:r>
        <w:t xml:space="preserve"> </w:t>
      </w:r>
      <w:r>
        <w:rPr>
          <w:rStyle w:val="VerbatimChar"/>
        </w:rPr>
        <w:t xml:space="preserve">239.6</w:t>
      </w:r>
      <w:r>
        <w:t xml:space="preserve"> </w:t>
      </w:r>
      <w:r>
        <w:t xml:space="preserve">for</w:t>
      </w:r>
      <w:r>
        <w:t xml:space="preserve"> </w:t>
      </w:r>
      <w:r>
        <w:rPr>
          <w:rStyle w:val="VerbatimChar"/>
        </w:rPr>
        <w:t xml:space="preserve">h1_2.01.2</w:t>
      </w:r>
      <w:r>
        <w:t xml:space="preserve">, although it does so by shifting additional flexibility into time-varying catchability rather than selectivity. The same contrast appears in terminal-year spawning biomass uncertainty: the 2026 SSB interval is about</w:t>
      </w:r>
      <w:r>
        <w:t xml:space="preserve"> </w:t>
      </w:r>
      <w:r>
        <w:rPr>
          <w:rStyle w:val="VerbatimChar"/>
        </w:rPr>
        <w:t xml:space="preserve">15.1-26.1</w:t>
      </w:r>
      <w:r>
        <w:t xml:space="preserve"> </w:t>
      </w:r>
      <w:r>
        <w:t xml:space="preserve">kt for</w:t>
      </w:r>
      <w:r>
        <w:t xml:space="preserve"> </w:t>
      </w:r>
      <w:r>
        <w:rPr>
          <w:rStyle w:val="VerbatimChar"/>
        </w:rPr>
        <w:t xml:space="preserve">h1_2.01</w:t>
      </w:r>
      <w:r>
        <w:t xml:space="preserve">, narrows slightly to</w:t>
      </w:r>
      <w:r>
        <w:t xml:space="preserve"> </w:t>
      </w:r>
      <w:r>
        <w:rPr>
          <w:rStyle w:val="VerbatimChar"/>
        </w:rPr>
        <w:t xml:space="preserve">14.0-23.6</w:t>
      </w:r>
      <w:r>
        <w:t xml:space="preserve"> </w:t>
      </w:r>
      <w:r>
        <w:t xml:space="preserve">kt for</w:t>
      </w:r>
      <w:r>
        <w:t xml:space="preserve"> </w:t>
      </w:r>
      <w:r>
        <w:rPr>
          <w:rStyle w:val="VerbatimChar"/>
        </w:rPr>
        <w:t xml:space="preserve">h1_2.01.1</w:t>
      </w:r>
      <w:r>
        <w:t xml:space="preserve">, widens substantially to</w:t>
      </w:r>
      <w:r>
        <w:t xml:space="preserve"> </w:t>
      </w:r>
      <w:r>
        <w:rPr>
          <w:rStyle w:val="VerbatimChar"/>
        </w:rPr>
        <w:t xml:space="preserve">16.7-33.7</w:t>
      </w:r>
      <w:r>
        <w:t xml:space="preserve"> </w:t>
      </w:r>
      <w:r>
        <w:t xml:space="preserve">kt for</w:t>
      </w:r>
      <w:r>
        <w:t xml:space="preserve"> </w:t>
      </w:r>
      <w:r>
        <w:rPr>
          <w:rStyle w:val="VerbatimChar"/>
        </w:rPr>
        <w:t xml:space="preserve">h1_2.01.2</w:t>
      </w:r>
      <w:r>
        <w:t xml:space="preserve">, and shifts downward but remains broad at</w:t>
      </w:r>
      <w:r>
        <w:t xml:space="preserve"> </w:t>
      </w:r>
      <w:r>
        <w:rPr>
          <w:rStyle w:val="VerbatimChar"/>
        </w:rPr>
        <w:t xml:space="preserve">11.5-23.0</w:t>
      </w:r>
      <w:r>
        <w:t xml:space="preserve"> </w:t>
      </w:r>
      <w:r>
        <w:t xml:space="preserve">kt for</w:t>
      </w:r>
      <w:r>
        <w:t xml:space="preserve"> </w:t>
      </w:r>
      <w:r>
        <w:rPr>
          <w:rStyle w:val="VerbatimChar"/>
        </w:rPr>
        <w:t xml:space="preserve">h1_2.01.3</w:t>
      </w:r>
      <w:r>
        <w:t xml:space="preserve">. The resulting retained comparable index fits are shown in</w:t>
      </w:r>
      <w:r>
        <w:t xml:space="preserve"> </w:t>
      </w:r>
      <w:hyperlink w:anchor="fig-selectivity-sc5-index-fits">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electivity-sc5-like-components"/>
          <w:p>
            <w:pPr>
              <w:jc w:val="center"/>
            </w:pPr>
            <w:pPr>
              <w:jc w:val="left"/>
              <w:spacing w:before="200"/>
              <w:pStyle w:val="ImageCaption"/>
            </w:pPr>
            <w:r>
              <w:t xml:space="preserve">Table 5: Negative-log-likelihood components and estimated parameter counts for the original fishery-block model (</w:t>
            </w:r>
            <w:r>
              <w:rPr>
                <w:rStyle w:val="VerbatimChar"/>
              </w:rPr>
              <w:t xml:space="preserve">h1_2.01</w:t>
            </w:r>
            <w:r>
              <w:t xml:space="preserve">), the annual S-C Chile variant (</w:t>
            </w:r>
            <w:r>
              <w:rPr>
                <w:rStyle w:val="VerbatimChar"/>
              </w:rPr>
              <w:t xml:space="preserve">h1_2.01.1</w:t>
            </w:r>
            <w:r>
              <w:t xml:space="preserve">), the five-block S-C Chile variant (</w:t>
            </w:r>
            <w:r>
              <w:rPr>
                <w:rStyle w:val="VerbatimChar"/>
              </w:rPr>
              <w:t xml:space="preserve">h1_2.01.2</w:t>
            </w:r>
            <w:r>
              <w:t xml:space="preserve">), and the q-random-walk variant (</w:t>
            </w:r>
            <w:r>
              <w:rPr>
                <w:rStyle w:val="VerbatimChar"/>
              </w:rPr>
              <w:t xml:space="preserve">h1_2.01.3</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374.8</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528.4</w:t>
                  </w:r>
                </w:p>
              </w:tc>
              <w:tc>
                <w:tcPr>
                  <w:tcBorders>
                    <w:top w:val="single" w:space="0" w:color="D3D3D3"/>
                    <w:bottom w:val="single" w:space="0" w:color="D3D3D3"/>
                    <w:start w:val="single" w:space="0" w:color="D3D3D3"/>
                    <w:end w:val="single" w:space="0" w:color="D3D3D3"/>
                  </w:tcBorders>
                  <w:shd w:val="clear" w:color="auto" w:fill="FFEAE1"/>
                </w:tcPr>
                <w:p>
                  <w:pPr>
                    <w:spacing w:before="0" w:after="60"/>
                    <w:keepNext/>
                    <w:jc w:val="end"/>
                  </w:pPr>
                  <w:r>
                    <w:rPr>
                      <w:rFonts w:ascii="Calibri" w:hAnsi="Calibri"/>
                      <w:sz w:val="20"/>
                    </w:rPr>
                    <w:t xml:space="default">521.9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202.7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139.2</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285.4</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289.2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36.5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EE5DB"/>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567.0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586.2</w:t>
                  </w:r>
                </w:p>
              </w:tc>
              <w:tc>
                <w:tcPr>
                  <w:tcBorders>
                    <w:top w:val="single" w:space="0" w:color="D3D3D3"/>
                    <w:bottom w:val="single" w:space="0" w:color="D3D3D3"/>
                    <w:start w:val="single" w:space="0" w:color="D3D3D3"/>
                    <w:end w:val="single" w:space="0" w:color="D3D3D3"/>
                  </w:tcBorders>
                  <w:shd w:val="clear" w:color="auto" w:fill="FDC8B3"/>
                </w:tcPr>
                <w:p>
                  <w:pPr>
                    <w:spacing w:before="0" w:after="60"/>
                    <w:keepNext/>
                    <w:jc w:val="end"/>
                  </w:pPr>
                  <w:r>
                    <w:rPr>
                      <w:rFonts w:ascii="Calibri" w:hAnsi="Calibri"/>
                      <w:sz w:val="20"/>
                    </w:rPr>
                    <w:t xml:space="default">574.0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196.0</w:t>
                  </w:r>
                </w:p>
              </w:tc>
              <w:tc>
                <w:tcPr>
                  <w:tcBorders>
                    <w:top w:val="single" w:space="0" w:color="D3D3D3"/>
                    <w:bottom w:val="single" w:space="0" w:color="D3D3D3"/>
                    <w:start w:val="single" w:space="0" w:color="D3D3D3"/>
                    <w:end w:val="single" w:space="0" w:color="D3D3D3"/>
                  </w:tcBorders>
                  <w:shd w:val="clear" w:color="auto" w:fill="FDBEA6"/>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239.6</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85.8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69.2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shd w:val="clear" w:color="auto" w:fill="FFECE5"/>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shd w:val="clear" w:color="auto" w:fill="FDC3AE"/>
                </w:tcPr>
                <w:p>
                  <w:pPr>
                    <w:spacing w:before="0" w:after="60"/>
                    <w:keepNext/>
                    <w:jc w:val="end"/>
                  </w:pPr>
                  <w:r>
                    <w:rPr>
                      <w:rFonts w:ascii="Calibri" w:hAnsi="Calibri"/>
                      <w:sz w:val="20"/>
                    </w:rPr>
                    <w:t xml:space="default">38.5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3C2"/>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shd w:val="clear" w:color="auto" w:fill="FEE9E0"/>
                </w:tcPr>
                <w:p>
                  <w:pPr>
                    <w:spacing w:before="0" w:after="60"/>
                    <w:keepNext/>
                    <w:jc w:val="end"/>
                  </w:pPr>
                  <w:r>
                    <w:rPr>
                      <w:rFonts w:ascii="Calibri" w:hAnsi="Calibri"/>
                      <w:sz w:val="20"/>
                    </w:rPr>
                    <w:t xml:space="default">60.4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shd w:val="clear" w:color="auto" w:fill="FEE7DE"/>
                </w:tcPr>
                <w:p>
                  <w:pPr>
                    <w:spacing w:before="0" w:after="60"/>
                    <w:keepNext/>
                    <w:jc w:val="end"/>
                  </w:pPr>
                  <w:r>
                    <w:rPr>
                      <w:rFonts w:ascii="Calibri" w:hAnsi="Calibri"/>
                      <w:sz w:val="20"/>
                    </w:rPr>
                    <w:t xml:space="default">37.4</w:t>
                  </w:r>
                </w:p>
              </w:tc>
              <w:tc>
                <w:tcPr>
                  <w:tcBorders>
                    <w:top w:val="single" w:space="0" w:color="D3D3D3"/>
                    <w:bottom w:val="single" w:space="0" w:color="D3D3D3"/>
                    <w:start w:val="single" w:space="0" w:color="D3D3D3"/>
                    <w:end w:val="single" w:space="0" w:color="D3D3D3"/>
                  </w:tcBorders>
                  <w:shd w:val="clear" w:color="auto" w:fill="FED4C4"/>
                </w:tcPr>
                <w:p>
                  <w:pPr>
                    <w:spacing w:before="0" w:after="60"/>
                    <w:keepNext/>
                    <w:jc w:val="end"/>
                  </w:pPr>
                  <w:r>
                    <w:rPr>
                      <w:rFonts w:ascii="Calibri" w:hAnsi="Calibri"/>
                      <w:sz w:val="20"/>
                    </w:rPr>
                    <w:t xml:space="default">36.9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DCAB7"/>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D9CA"/>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DD1C0"/>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DCFBD"/>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1,364.8</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1,518.5</w:t>
                  </w:r>
                </w:p>
              </w:tc>
              <w:tc>
                <w:tcPr>
                  <w:tcBorders>
                    <w:top w:val="single" w:space="0" w:color="D3D3D3"/>
                    <w:bottom w:val="single" w:space="0" w:color="D3D3D3"/>
                    <w:start w:val="single" w:space="0" w:color="D3D3D3"/>
                    <w:end w:val="single" w:space="0" w:color="D3D3D3"/>
                  </w:tcBorders>
                  <w:shd w:val="clear" w:color="auto" w:fill="FDD0BF"/>
                </w:tcPr>
                <w:p>
                  <w:pPr>
                    <w:spacing w:before="0" w:after="60"/>
                    <w:keepNext/>
                    <w:jc w:val="end"/>
                  </w:pPr>
                  <w:r>
                    <w:rPr>
                      <w:rFonts w:ascii="Calibri" w:hAnsi="Calibri"/>
                      <w:sz w:val="20"/>
                    </w:rPr>
                    <w:t xml:space="default">1,450.8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870</w:t>
                  </w:r>
                </w:p>
              </w:tc>
              <w:tc>
                <w:tcPr>
                  <w:tcBorders>
                    <w:top w:val="single" w:space="0" w:color="D3D3D3"/>
                    <w:bottom w:val="single" w:space="0" w:color="D3D3D3"/>
                    <w:start w:val="single" w:space="0" w:color="D3D3D3"/>
                    <w:end w:val="single" w:space="0" w:color="D3D3D3"/>
                  </w:tcBorders>
                  <w:shd w:val="clear" w:color="auto" w:fill="FCB093"/>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shd w:val="clear" w:color="auto" w:fill="FDBFA8"/>
                </w:tcPr>
                <w:p>
                  <w:pPr>
                    <w:spacing w:before="0" w:after="60"/>
                    <w:keepNext/>
                    <w:jc w:val="end"/>
                  </w:pPr>
                  <w:r>
                    <w:rPr>
                      <w:rFonts w:ascii="Calibri" w:hAnsi="Calibri"/>
                      <w:sz w:val="20"/>
                    </w:rPr>
                    <w:t xml:space="default">575</w:t>
                  </w:r>
                </w:p>
              </w:tc>
            </w:tr>
          </w:tbl>
          <w:bookmarkEnd w:id="109"/>
        </w:tc>
      </w:tr>
    </w:tbl>
    <w:tbl>
      <w:tblPr>
        <w:tblStyle w:val="Table"/>
        <w:tblW w:type="pct" w:w="5000"/>
        <w:tblLayout w:type="fixed"/>
        <w:tblLook w:firstRow="0" w:lastRow="0" w:firstColumn="0" w:lastColumn="0" w:noHBand="0" w:noVBand="0" w:val="0000"/>
      </w:tblPr>
      <w:tblGrid>
        <w:gridCol w:w="7920"/>
      </w:tblGrid>
      <w:tr>
        <w:tc>
          <w:tcPr/>
          <w:bookmarkStart w:id="113" w:name="fig-selectivity-sc5-index-fits"/>
          <w:p>
            <w:pPr>
              <w:pStyle w:val="Compact"/>
              <w:jc w:val="center"/>
            </w:pPr>
            <w:r>
              <w:drawing>
                <wp:inline>
                  <wp:extent cx="5334000" cy="4333875"/>
                  <wp:effectExtent b="0" l="0" r="0" t="0"/>
                  <wp:docPr descr="" title="" id="111" name="Picture"/>
                  <a:graphic>
                    <a:graphicData uri="http://schemas.openxmlformats.org/drawingml/2006/picture">
                      <pic:pic>
                        <pic:nvPicPr>
                          <pic:cNvPr descr="JM-WP-BM-01_files/figure-docx/fig-selectivity-sc5-index-fits-1.png" id="112" name="Picture"/>
                          <pic:cNvPicPr>
                            <a:picLocks noChangeArrowheads="1" noChangeAspect="1"/>
                          </pic:cNvPicPr>
                        </pic:nvPicPr>
                        <pic:blipFill>
                          <a:blip r:embed="rId110"/>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Observed and fitted index trajectories for</w:t>
            </w:r>
            <w:r>
              <w:t xml:space="preserve"> </w:t>
            </w:r>
            <w:r>
              <w:rPr>
                <w:rStyle w:val="VerbatimChar"/>
              </w:rPr>
              <w:t xml:space="preserve">h1_2.01</w:t>
            </w:r>
            <w:r>
              <w:t xml:space="preserve">,</w:t>
            </w:r>
            <w:r>
              <w:t xml:space="preserve"> </w:t>
            </w:r>
            <w:r>
              <w:rPr>
                <w:rStyle w:val="VerbatimChar"/>
              </w:rPr>
              <w:t xml:space="preserve">h1_2.01.1</w:t>
            </w:r>
            <w:r>
              <w:t xml:space="preserve">,</w:t>
            </w:r>
            <w:r>
              <w:t xml:space="preserve"> </w:t>
            </w:r>
            <w:r>
              <w:rPr>
                <w:rStyle w:val="VerbatimChar"/>
              </w:rPr>
              <w:t xml:space="preserve">h1_2.01.2</w:t>
            </w:r>
            <w:r>
              <w:t xml:space="preserve">, and</w:t>
            </w:r>
            <w:r>
              <w:t xml:space="preserve"> </w:t>
            </w:r>
            <w:r>
              <w:rPr>
                <w:rStyle w:val="VerbatimChar"/>
              </w:rPr>
              <w:t xml:space="preserve">h1_2.01.3</w:t>
            </w:r>
            <w:r>
              <w:t xml:space="preserve">. Panels show the retained comparable index series: South-Central Chile CPUE, Acoustic North, Peruvian CPUE, and Offshore CPUE.</w:t>
            </w:r>
          </w:p>
          <w:bookmarkEnd w:id="113"/>
        </w:tc>
      </w:tr>
    </w:tbl>
    <w:p>
      <w:pPr>
        <w:pStyle w:val="BodyText"/>
      </w:pPr>
      <w:r>
        <w:rPr>
          <w:b/>
          <w:bCs/>
        </w:rPr>
        <w:t xml:space="preserve">78.</w:t>
      </w:r>
      <w:r>
        <w:t xml:space="preserve"> </w:t>
      </w:r>
      <w:r>
        <w:t xml:space="preserve">The fitted catchability paths for</w:t>
      </w:r>
      <w:r>
        <w:t xml:space="preserve"> </w:t>
      </w:r>
      <w:r>
        <w:rPr>
          <w:rStyle w:val="VerbatimChar"/>
        </w:rPr>
        <w:t xml:space="preserve">h1_2.01.3</w:t>
      </w:r>
      <w:r>
        <w:t xml:space="preserve"> </w:t>
      </w:r>
      <w:r>
        <w:t xml:space="preserve">are shown in</w:t>
      </w:r>
      <w:r>
        <w:t xml:space="preserve"> </w:t>
      </w:r>
      <w:hyperlink w:anchor="fig-selectivity-sc5-qtrend">
        <w:r>
          <w:rPr>
            <w:rStyle w:val="Hyperlink"/>
          </w:rPr>
          <w:t xml:space="preserve">Figure 12</w:t>
        </w:r>
      </w:hyperlink>
      <w:r>
        <w:t xml:space="preserve">. To place the four indices on a comparable scale, each q series is divided by its own mean over the common shortest fitted window, 2009-2024, which is the full random-walk span for Offshore CPUE. On that normalized scale, the figure emphasizes the relative temporal pattern rather than the absolute q level and shows that the strongest drift is concentrated in the retained index series where the fit gains were largest.</w:t>
      </w:r>
    </w:p>
    <w:tbl>
      <w:tblPr>
        <w:tblStyle w:val="Table"/>
        <w:tblW w:type="pct" w:w="5000"/>
        <w:tblLayout w:type="fixed"/>
        <w:tblLook w:firstRow="0" w:lastRow="0" w:firstColumn="0" w:lastColumn="0" w:noHBand="0" w:noVBand="0" w:val="0000"/>
      </w:tblPr>
      <w:tblGrid>
        <w:gridCol w:w="7920"/>
      </w:tblGrid>
      <w:tr>
        <w:tc>
          <w:tcPr/>
          <w:bookmarkStart w:id="117" w:name="fig-selectivity-sc5-qtrend"/>
          <w:p>
            <w:pPr>
              <w:pStyle w:val="Compact"/>
              <w:jc w:val="center"/>
            </w:pPr>
            <w:r>
              <w:drawing>
                <wp:inline>
                  <wp:extent cx="5334000" cy="3194843"/>
                  <wp:effectExtent b="0" l="0" r="0" t="0"/>
                  <wp:docPr descr="" title="" id="115" name="Picture"/>
                  <a:graphic>
                    <a:graphicData uri="http://schemas.openxmlformats.org/drawingml/2006/picture">
                      <pic:pic>
                        <pic:nvPicPr>
                          <pic:cNvPr descr="JM-WP-BM-01_files/figure-docx/fig-selectivity-sc5-qtrend-1.png" id="116" name="Picture"/>
                          <pic:cNvPicPr>
                            <a:picLocks noChangeArrowheads="1" noChangeAspect="1"/>
                          </pic:cNvPicPr>
                        </pic:nvPicPr>
                        <pic:blipFill>
                          <a:blip r:embed="rId11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Time trend in fitted catchability for the retained comparable indices in</w:t>
            </w:r>
            <w:r>
              <w:t xml:space="preserve"> </w:t>
            </w:r>
            <w:r>
              <w:rPr>
                <w:rStyle w:val="VerbatimChar"/>
              </w:rPr>
              <w:t xml:space="preserve">h1_2.01.3</w:t>
            </w:r>
            <w:r>
              <w:t xml:space="preserve">, rescaled so each series has mean 1 over 2009-2024, the shortest fitted random-walk window shared across the four series.</w:t>
            </w:r>
          </w:p>
          <w:bookmarkEnd w:id="117"/>
        </w:tc>
      </w:tr>
    </w:tbl>
    <w:bookmarkEnd w:id="118"/>
    <w:bookmarkEnd w:id="119"/>
    <w:bookmarkEnd w:id="120"/>
    <w:bookmarkStart w:id="128" w:name="harmonized-northern-treatment"/>
    <w:p>
      <w:pPr>
        <w:pStyle w:val="Heading2"/>
      </w:pPr>
      <w:r>
        <w:t xml:space="preserve">6.3 Harmonized Northern Treatment</w:t>
      </w:r>
    </w:p>
    <w:p>
      <w:pPr>
        <w:pStyle w:val="FirstParagraph"/>
      </w:pPr>
      <w:r>
        <w:rPr>
          <w:b/>
          <w:bCs/>
        </w:rPr>
        <w:t xml:space="preserve">79.</w:t>
      </w:r>
      <w:r>
        <w:t xml:space="preserve"> </w:t>
      </w: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rPr>
          <w:b/>
          <w:bCs/>
        </w:rPr>
        <w:t xml:space="preserve">80.</w:t>
      </w:r>
      <w:r>
        <w:t xml:space="preserve"> </w:t>
      </w: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note.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81.</w:t>
            </w:r>
            <w:r>
              <w:t xml:space="preserve"> </w:t>
            </w:r>
            <w:r>
              <w:t xml:space="preserve">The harmonization objective should be to align the</w:t>
            </w:r>
            <w:r>
              <w:t xml:space="preserve"> </w:t>
            </w:r>
            <w:r>
              <w:rPr>
                <w:b/>
                <w:bCs/>
              </w:rPr>
              <w:t xml:space="preserve">selectivity structure</w:t>
            </w:r>
            <w:r>
              <w:t xml:space="preserve"> </w:t>
            </w:r>
            <w:r>
              <w:t xml:space="preserve">of the Far North 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 the two-stock hypothesis. In practice, this means that differences in natural mortality, growth, maturity, and weight-at-age should be preserved in</w:t>
            </w:r>
            <w:r>
              <w:t xml:space="preserve"> </w:t>
            </w:r>
            <w:r>
              <w:rPr>
                <w:rStyle w:val="VerbatimChar"/>
              </w:rPr>
              <w:t xml:space="preserve">h2</w:t>
            </w:r>
            <w:r>
              <w:t xml:space="preserve"> </w:t>
            </w:r>
            <w:r>
              <w:t xml:space="preserve">as currently specified. What should be harmonized is the structural form and degree of flexibility allowed in Far North fleet selectivity, so that a comparison of h1 and h2 MSE outcomes reflects stock structure rather than selectivity regularization.</w:t>
            </w:r>
          </w:p>
          <w:p>
            <w:pPr>
              <w:pStyle w:val="BodyText"/>
            </w:pPr>
            <w:pPr>
              <w:spacing w:after="16"/>
            </w:pPr>
            <w:r>
              <w:rPr>
                <w:b/>
                <w:bCs/>
              </w:rPr>
              <w:t xml:space="preserve">82.</w:t>
            </w:r>
            <w:r>
              <w:t xml:space="preserve"> </w:t>
            </w:r>
            <w:r>
              <w:t xml:space="preserve">One additional area that has been discussed but not yet implemented is explicit uncertainty in northern stock biology, particularly growth. The two-stock hypothesis implies different population dynamics for the northern component, but the current implementation draws on growth parameters estimated from combined data without formal uncertainty in the stock-specific parameters. Uncertainty in northern growth or natural mortality could be incorporated as candidate robustness scenarios in later MSE phases if data become available to support alternative parameterizations.</w:t>
            </w:r>
          </w:p>
          <w:p/>
        </w:tc>
      </w:tr>
    </w:tbl>
    <w:p>
      <w:pPr>
        <w:pStyle w:val="BodyText"/>
      </w:pPr>
      <w:r>
        <w:rPr>
          <w:b/>
          <w:bCs/>
        </w:rPr>
        <w:t xml:space="preserve">83.</w:t>
      </w:r>
      <w:r>
        <w:t xml:space="preserve"> </w:t>
      </w:r>
      <w:r>
        <w:t xml:space="preserve">Implementing the selectivity harmonization will likely require re-fitting</w:t>
      </w:r>
      <w:r>
        <w:t xml:space="preserve"> </w:t>
      </w:r>
      <w:r>
        <w:rPr>
          <w:rStyle w:val="VerbatimChar"/>
        </w:rPr>
        <w:t xml:space="preserve">h1_1.14</w:t>
      </w:r>
      <w:r>
        <w:t xml:space="preserve"> </w:t>
      </w:r>
      <w:r>
        <w:t xml:space="preserve">with a simplified Far North selectivity structure that mirrors the</w:t>
      </w:r>
      <w:r>
        <w:t xml:space="preserve"> </w:t>
      </w:r>
      <w:r>
        <w:rPr>
          <w:rStyle w:val="VerbatimChar"/>
        </w:rPr>
        <w:t xml:space="preserve">h2</w:t>
      </w:r>
      <w:r>
        <w:t xml:space="preserve"> </w:t>
      </w:r>
      <w:r>
        <w:t xml:space="preserve">treatment, or equivalently 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 most defensible given the available data and model diagnostics.</w:t>
      </w:r>
    </w:p>
    <w:p>
      <w:pPr>
        <w:pStyle w:val="BodyText"/>
      </w:pPr>
      <w:r>
        <w:rPr>
          <w:b/>
          <w:bCs/>
        </w:rPr>
        <w:t xml:space="preserve">84.</w:t>
      </w:r>
      <w:r>
        <w:t xml:space="preserve"> </w:t>
      </w:r>
      <w:r>
        <w:t xml:space="preserve">To examine that issue more directly, I fitted two harmonized variants using the reduced-index data configuration. Model</w:t>
      </w:r>
      <w:r>
        <w:t xml:space="preserve"> </w:t>
      </w:r>
      <w:r>
        <w:rPr>
          <w:rStyle w:val="VerbatimChar"/>
        </w:rPr>
        <w:t xml:space="preserve">h1_2.02</w:t>
      </w:r>
      <w:r>
        <w:t xml:space="preserve"> </w:t>
      </w:r>
      <w:r>
        <w:t xml:space="preserve">is</w:t>
      </w:r>
      <w:r>
        <w:t xml:space="preserve"> </w:t>
      </w:r>
      <w:r>
        <w:rPr>
          <w:rStyle w:val="VerbatimChar"/>
        </w:rPr>
        <w:t xml:space="preserve">h1_2.00</w:t>
      </w:r>
      <w:r>
        <w:t xml:space="preserve"> </w:t>
      </w:r>
      <w:r>
        <w:t xml:space="preserve">with the Far North fishery selectivity simplified to the same 2002 split used in</w:t>
      </w:r>
      <w:r>
        <w:t xml:space="preserve"> </w:t>
      </w:r>
      <w:r>
        <w:rPr>
          <w:rStyle w:val="VerbatimChar"/>
        </w:rPr>
        <w:t xml:space="preserve">h2_1.14</w:t>
      </w:r>
      <w:r>
        <w:t xml:space="preserve">, while</w:t>
      </w:r>
      <w:r>
        <w:t xml:space="preserve"> </w:t>
      </w:r>
      <w:r>
        <w:rPr>
          <w:rStyle w:val="VerbatimChar"/>
        </w:rPr>
        <w:t xml:space="preserve">h2_2.02</w:t>
      </w:r>
      <w:r>
        <w:t xml:space="preserve"> </w:t>
      </w:r>
      <w:r>
        <w:t xml:space="preserve">is</w:t>
      </w:r>
      <w:r>
        <w:t xml:space="preserve"> </w:t>
      </w:r>
      <w:r>
        <w:rPr>
          <w:rStyle w:val="VerbatimChar"/>
        </w:rPr>
        <w:t xml:space="preserve">h2_1.14</w:t>
      </w:r>
      <w:r>
        <w:t xml:space="preserve"> </w:t>
      </w:r>
      <w:r>
        <w:t xml:space="preserve">rebuilt on the reduced-index</w:t>
      </w:r>
      <w:r>
        <w:t xml:space="preserve"> </w:t>
      </w:r>
      <w:r>
        <w:rPr>
          <w:rStyle w:val="VerbatimChar"/>
        </w:rPr>
        <w:t xml:space="preserve">2.00.dat</w:t>
      </w:r>
      <w:r>
        <w:t xml:space="preserve"> </w:t>
      </w:r>
      <w:r>
        <w:t xml:space="preserve">data set and with the same Far North selectivity treatment. The resulting likelihood comparison is shown in</w:t>
      </w:r>
      <w:r>
        <w:t xml:space="preserve"> </w:t>
      </w:r>
      <w:hyperlink w:anchor="tbl-north-harmonized-like-components">
        <w:r>
          <w:rPr>
            <w:rStyle w:val="Hyperlink"/>
          </w:rPr>
          <w:t xml:space="preserve">Table 6</w:t>
        </w:r>
      </w:hyperlink>
      <w:r>
        <w:t xml:space="preserve">, and the corresponding retained-index fits are shown in</w:t>
      </w:r>
      <w:r>
        <w:t xml:space="preserve"> </w:t>
      </w:r>
      <w:hyperlink w:anchor="fig-harmonized-index-fits">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3" w:name="tbl-north-harmonized-like-components"/>
          <w:p>
            <w:pPr>
              <w:jc w:val="center"/>
            </w:pPr>
            <w:pPr>
              <w:jc w:val="left"/>
              <w:spacing w:before="200"/>
              <w:pStyle w:val="ImageCaption"/>
            </w:pPr>
            <w:r>
              <w:t xml:space="preserve">Table 6: Negative-log-likelihood components and estimated parameter counts for the reduced-index single-stock model (</w:t>
            </w:r>
            <w:r>
              <w:rPr>
                <w:rStyle w:val="VerbatimChar"/>
              </w:rPr>
              <w:t xml:space="preserve">h1_2.00</w:t>
            </w:r>
            <w:r>
              <w:t xml:space="preserve">), the harmonized single-stock variant (</w:t>
            </w:r>
            <w:r>
              <w:rPr>
                <w:rStyle w:val="VerbatimChar"/>
              </w:rPr>
              <w:t xml:space="preserve">h1_2.02</w:t>
            </w:r>
            <w:r>
              <w:t xml:space="preserve">), and the harmonized two-stock reduced-index variant (</w:t>
            </w:r>
            <w:r>
              <w:rPr>
                <w:rStyle w:val="VerbatimChar"/>
              </w:rPr>
              <w:t xml:space="preserve">h2_2.02</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h2_2.02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ED2C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279.4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EE6DC"/>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139.1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DCEBB"/>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608.9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B498"/>
                </w:tcPr>
                <w:p>
                  <w:pPr>
                    <w:spacing w:before="0" w:after="60"/>
                    <w:keepNext/>
                    <w:jc w:val="end"/>
                  </w:pPr>
                  <w:r>
                    <w:rPr>
                      <w:rFonts w:ascii="Calibri" w:hAnsi="Calibri"/>
                      <w:sz w:val="20"/>
                    </w:rPr>
                    <w:t xml:space="default">211.5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155.2</w:t>
                  </w:r>
                </w:p>
              </w:tc>
              <w:tc>
                <w:tcPr>
                  <w:tcBorders>
                    <w:top w:val="single" w:space="0" w:color="D3D3D3"/>
                    <w:bottom w:val="single" w:space="0" w:color="D3D3D3"/>
                    <w:start w:val="single" w:space="0" w:color="D3D3D3"/>
                    <w:end w:val="single" w:space="0" w:color="D3D3D3"/>
                  </w:tcBorders>
                  <w:shd w:val="clear" w:color="auto" w:fill="FCB89E"/>
                </w:tcPr>
                <w:p>
                  <w:pPr>
                    <w:spacing w:before="0" w:after="60"/>
                    <w:keepNext/>
                    <w:jc w:val="end"/>
                  </w:pPr>
                  <w:r>
                    <w:rPr>
                      <w:rFonts w:ascii="Calibri" w:hAnsi="Calibri"/>
                      <w:sz w:val="20"/>
                    </w:rPr>
                    <w:t xml:space="default">134.1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72.1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FE9E0"/>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B196"/>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CB094"/>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EE3D8"/>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CB194"/>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EDED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1,293.1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1,604</w:t>
                  </w:r>
                </w:p>
              </w:tc>
            </w:tr>
          </w:tbl>
          <w:bookmarkEnd w:id="123"/>
        </w:tc>
      </w:tr>
    </w:tbl>
    <w:p>
      <w:pPr>
        <w:pStyle w:val="BodyText"/>
      </w:pPr>
      <w:r>
        <w:rPr>
          <w:b/>
          <w:bCs/>
        </w:rPr>
        <w:t xml:space="preserve">85.</w:t>
      </w:r>
      <w:r>
        <w:t xml:space="preserve"> </w:t>
      </w:r>
      <w:r>
        <w:t xml:space="preserve">The retained comparable index fits for these harmonized models are shown in</w:t>
      </w:r>
      <w:r>
        <w:t xml:space="preserve"> </w:t>
      </w:r>
      <w:hyperlink w:anchor="fig-harmonized-index-fits">
        <w:r>
          <w:rPr>
            <w:rStyle w:val="Hyperlink"/>
          </w:rPr>
          <w:t xml:space="preserve">Figure 13</w:t>
        </w:r>
      </w:hyperlink>
      <w:r>
        <w:t xml:space="preserve">. Relative to</w:t>
      </w:r>
      <w:r>
        <w:t xml:space="preserve"> </w:t>
      </w:r>
      <w:r>
        <w:rPr>
          <w:rStyle w:val="VerbatimChar"/>
        </w:rPr>
        <w:t xml:space="preserve">h1_2.00</w:t>
      </w:r>
      <w:r>
        <w:t xml:space="preserve">, the single-stock harmonized variant</w:t>
      </w:r>
      <w:r>
        <w:t xml:space="preserve"> </w:t>
      </w:r>
      <w:r>
        <w:rPr>
          <w:rStyle w:val="VerbatimChar"/>
        </w:rPr>
        <w:t xml:space="preserve">h1_2.02</w:t>
      </w:r>
      <w:r>
        <w:t xml:space="preserve"> </w:t>
      </w:r>
      <w:r>
        <w:t xml:space="preserve">changes little in the South-Central Chile CPUE, Peru CPUE, and Offshore CPUE panels, while the two-stock harmonized variant</w:t>
      </w:r>
      <w:r>
        <w:t xml:space="preserve"> </w:t>
      </w:r>
      <w:r>
        <w:rPr>
          <w:rStyle w:val="VerbatimChar"/>
        </w:rPr>
        <w:t xml:space="preserve">h2_2.02</w:t>
      </w:r>
      <w:r>
        <w:t xml:space="preserve"> </w:t>
      </w:r>
      <w:r>
        <w:t xml:space="preserve">differs more clearly in the Acoustic North fit and in parts of the Chile CPUE trajectory.</w:t>
      </w:r>
    </w:p>
    <w:tbl>
      <w:tblPr>
        <w:tblStyle w:val="Table"/>
        <w:tblW w:type="pct" w:w="5000"/>
        <w:tblLayout w:type="fixed"/>
        <w:tblLook w:firstRow="0" w:lastRow="0" w:firstColumn="0" w:lastColumn="0" w:noHBand="0" w:noVBand="0" w:val="0000"/>
      </w:tblPr>
      <w:tblGrid>
        <w:gridCol w:w="7920"/>
      </w:tblGrid>
      <w:tr>
        <w:tc>
          <w:tcPr/>
          <w:bookmarkStart w:id="127" w:name="fig-harmonized-index-fits"/>
          <w:p>
            <w:pPr>
              <w:pStyle w:val="Compact"/>
              <w:jc w:val="center"/>
            </w:pPr>
            <w:r>
              <w:drawing>
                <wp:inline>
                  <wp:extent cx="5334000" cy="4333875"/>
                  <wp:effectExtent b="0" l="0" r="0" t="0"/>
                  <wp:docPr descr="" title="" id="125" name="Picture"/>
                  <a:graphic>
                    <a:graphicData uri="http://schemas.openxmlformats.org/drawingml/2006/picture">
                      <pic:pic>
                        <pic:nvPicPr>
                          <pic:cNvPr descr="JM-WP-BM-01_files/figure-docx/fig-harmonized-index-fits-1.png" id="126" name="Picture"/>
                          <pic:cNvPicPr>
                            <a:picLocks noChangeArrowheads="1" noChangeAspect="1"/>
                          </pic:cNvPicPr>
                        </pic:nvPicPr>
                        <pic:blipFill>
                          <a:blip r:embed="rId124"/>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Observed and fitted index trajectories for</w:t>
            </w:r>
            <w:r>
              <w:t xml:space="preserve"> </w:t>
            </w:r>
            <w:r>
              <w:rPr>
                <w:rStyle w:val="VerbatimChar"/>
              </w:rPr>
              <w:t xml:space="preserve">h1_2.00</w:t>
            </w:r>
            <w:r>
              <w:t xml:space="preserve">,</w:t>
            </w:r>
            <w:r>
              <w:t xml:space="preserve"> </w:t>
            </w:r>
            <w:r>
              <w:rPr>
                <w:rStyle w:val="VerbatimChar"/>
              </w:rPr>
              <w:t xml:space="preserve">h1_2.02</w:t>
            </w:r>
            <w:r>
              <w:t xml:space="preserve">, and</w:t>
            </w:r>
            <w:r>
              <w:t xml:space="preserve"> </w:t>
            </w:r>
            <w:r>
              <w:rPr>
                <w:rStyle w:val="VerbatimChar"/>
              </w:rPr>
              <w:t xml:space="preserve">h2_2.02</w:t>
            </w:r>
            <w:r>
              <w:t xml:space="preserve">. Panels show the retained comparable index series: South-Central Chile CPUE, Acoustic North, Peruvian CPUE, and Offshore CPUE.</w:t>
            </w:r>
          </w:p>
          <w:bookmarkEnd w:id="127"/>
        </w:tc>
      </w:tr>
    </w:tbl>
    <w:bookmarkEnd w:id="128"/>
    <w:bookmarkStart w:id="143" w:name="simplified-recruitment-alternatives"/>
    <w:p>
      <w:pPr>
        <w:pStyle w:val="Heading2"/>
      </w:pPr>
      <w:r>
        <w:t xml:space="preserve">6.4 Simplified Recruitment Alternatives</w:t>
      </w:r>
    </w:p>
    <w:p>
      <w:pPr>
        <w:pStyle w:val="FirstParagraph"/>
      </w:pPr>
      <w:r>
        <w:rPr>
          <w:b/>
          <w:bCs/>
        </w:rPr>
        <w:t xml:space="preserve">86.</w:t>
      </w:r>
      <w:r>
        <w:t xml:space="preserve"> </w:t>
      </w:r>
      <w:r>
        <w:t xml:space="preserve">Another option is to reduce recruitment complexity by using one recruitment</w:t>
      </w:r>
      <w:r>
        <w:t xml:space="preserve"> </w:t>
      </w:r>
      <w:r>
        <w:t xml:space="preserve">relationship per stock hypothesis, or one per stock under the two-stock model,</w:t>
      </w:r>
      <w:r>
        <w:t xml:space="preserve"> </w:t>
      </w:r>
      <w:r>
        <w:t xml:space="preserve">without additional regime splitting unless that feature is shown to be essential</w:t>
      </w:r>
      <w:r>
        <w:t xml:space="preserve"> </w:t>
      </w:r>
      <w:r>
        <w:t xml:space="preserve">for management performance. The preferred approach is therefore to fit a single</w:t>
      </w:r>
      <w:r>
        <w:t xml:space="preserve"> </w:t>
      </w:r>
      <w:r>
        <w:t xml:space="preserve">Beverton-Holt relationship per stock in the simplified operating model, and then</w:t>
      </w:r>
      <w:r>
        <w:t xml:space="preserve"> </w:t>
      </w:r>
      <w:r>
        <w:t xml:space="preserve">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87.</w:t>
            </w:r>
            <w:r>
              <w:t xml:space="preserve"> </w:t>
            </w: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rPr>
                <w:b/>
                <w:bCs/>
              </w:rPr>
              <w:t xml:space="preserve">88.</w:t>
            </w:r>
            <w:r>
              <w:t xml:space="preserve"> </w:t>
            </w: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p>
      <w:pPr>
        <w:pStyle w:val="BodyText"/>
      </w:pPr>
      <w:r>
        <w:rPr>
          <w:b/>
          <w:bCs/>
        </w:rPr>
        <w:t xml:space="preserve">89.</w:t>
      </w:r>
      <w:r>
        <w:t xml:space="preserve"> </w:t>
      </w:r>
      <w:r>
        <w:t xml:space="preserve">To illustrate this simplification directly, I fitted</w:t>
      </w:r>
      <w:r>
        <w:t xml:space="preserve"> </w:t>
      </w:r>
      <w:r>
        <w:rPr>
          <w:rStyle w:val="VerbatimChar"/>
        </w:rPr>
        <w:t xml:space="preserve">h2_2.03</w:t>
      </w:r>
      <w:r>
        <w:t xml:space="preserve"> </w:t>
      </w:r>
      <w:r>
        <w:t xml:space="preserve">as a variant of</w:t>
      </w:r>
      <w:r>
        <w:t xml:space="preserve"> </w:t>
      </w:r>
      <w:r>
        <w:rPr>
          <w:rStyle w:val="VerbatimChar"/>
        </w:rPr>
        <w:t xml:space="preserve">h2_2.02</w:t>
      </w:r>
      <w:r>
        <w:t xml:space="preserve"> </w:t>
      </w:r>
      <w:r>
        <w:t xml:space="preserve">in which the second stock uses a single stock-recruitment regime spanning the combined years that were previously split across the two stock-2 regimes. The simplified model converged cleanly, with a slightly worse objective function than</w:t>
      </w:r>
      <w:r>
        <w:t xml:space="preserve"> </w:t>
      </w:r>
      <w:r>
        <w:rPr>
          <w:rStyle w:val="VerbatimChar"/>
        </w:rPr>
        <w:t xml:space="preserve">h2_2.02</w:t>
      </w:r>
      <w:r>
        <w:t xml:space="preserve"> </w:t>
      </w:r>
      <w:r>
        <w:t xml:space="preserve">(</w:t>
      </w:r>
      <w:r>
        <w:rPr>
          <w:rStyle w:val="VerbatimChar"/>
        </w:rPr>
        <w:t xml:space="preserve">1117.2</w:t>
      </w:r>
      <w:r>
        <w:t xml:space="preserve"> </w:t>
      </w:r>
      <w:r>
        <w:t xml:space="preserve">versus</w:t>
      </w:r>
      <w:r>
        <w:t xml:space="preserve"> </w:t>
      </w:r>
      <w:r>
        <w:rPr>
          <w:rStyle w:val="VerbatimChar"/>
        </w:rPr>
        <w:t xml:space="preserve">1111.4</w:t>
      </w:r>
      <w:r>
        <w:t xml:space="preserve">). The fitted stock-recruitment curves for stock 2 are compared in</w:t>
      </w:r>
      <w:r>
        <w:t xml:space="preserve"> </w:t>
      </w:r>
      <w:hyperlink w:anchor="fig-h2-sr-compare">
        <w:r>
          <w:rPr>
            <w:rStyle w:val="Hyperlink"/>
          </w:rPr>
          <w:t xml:space="preserve">Figure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fig-h2-sr-compare"/>
          <w:p>
            <w:pPr>
              <w:pStyle w:val="Compact"/>
              <w:jc w:val="center"/>
            </w:pPr>
            <w:r>
              <w:drawing>
                <wp:inline>
                  <wp:extent cx="5334000" cy="3194843"/>
                  <wp:effectExtent b="0" l="0" r="0" t="0"/>
                  <wp:docPr descr="" title="" id="132" name="Picture"/>
                  <a:graphic>
                    <a:graphicData uri="http://schemas.openxmlformats.org/drawingml/2006/picture">
                      <pic:pic>
                        <pic:nvPicPr>
                          <pic:cNvPr descr="JM-WP-BM-01_files/figure-docx/fig-h2-sr-compare-1.png" id="133" name="Picture"/>
                          <pic:cNvPicPr>
                            <a:picLocks noChangeArrowheads="1" noChangeAspect="1"/>
                          </pic:cNvPicPr>
                        </pic:nvPicPr>
                        <pic:blipFill>
                          <a:blip r:embed="rId131"/>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Stock-2 Beverton-Holt stock-recruitment curves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 The left panel shows the two stock-2 recruitment regimes retained in</w:t>
            </w:r>
            <w:r>
              <w:t xml:space="preserve"> </w:t>
            </w:r>
            <w:r>
              <w:rPr>
                <w:rStyle w:val="VerbatimChar"/>
              </w:rPr>
              <w:t xml:space="preserve">h2_2.02</w:t>
            </w:r>
            <w:r>
              <w:t xml:space="preserve">; the right panel shows the single stock-2 regime used in</w:t>
            </w:r>
            <w:r>
              <w:t xml:space="preserve"> </w:t>
            </w:r>
            <w:r>
              <w:rPr>
                <w:rStyle w:val="VerbatimChar"/>
              </w:rPr>
              <w:t xml:space="preserve">h2_2.03</w:t>
            </w:r>
            <w:r>
              <w:t xml:space="preserve">.</w:t>
            </w:r>
          </w:p>
          <w:bookmarkEnd w:id="134"/>
        </w:tc>
      </w:tr>
    </w:tbl>
    <w:p>
      <w:pPr>
        <w:pStyle w:val="BodyText"/>
      </w:pPr>
      <w:r>
        <w:rPr>
          <w:b/>
          <w:bCs/>
        </w:rPr>
        <w:t xml:space="preserve">90.</w:t>
      </w:r>
      <w:r>
        <w:t xml:space="preserve"> </w:t>
      </w:r>
      <w:r>
        <w:t xml:space="preserve">As in</w:t>
      </w:r>
      <w:r>
        <w:t xml:space="preserve"> </w:t>
      </w:r>
      <w:r>
        <w:rPr>
          <w:rStyle w:val="VerbatimChar"/>
        </w:rPr>
        <w:t xml:space="preserve">h2_1.14</w:t>
      </w:r>
      <w:r>
        <w:t xml:space="preserve">, model</w:t>
      </w:r>
      <w:r>
        <w:t xml:space="preserve"> </w:t>
      </w:r>
      <w:r>
        <w:rPr>
          <w:rStyle w:val="VerbatimChar"/>
        </w:rPr>
        <w:t xml:space="preserve">h2_2.02</w:t>
      </w:r>
      <w:r>
        <w:t xml:space="preserve"> </w:t>
      </w:r>
      <w:r>
        <w:t xml:space="preserve">uses two stock-2 recruitment-regime fitting windows for estimating the stock-recruitment relationships, but it intentionally omits some hatch years from those regime vectors. For</w:t>
      </w:r>
      <w:r>
        <w:t xml:space="preserve"> </w:t>
      </w:r>
      <w:r>
        <w:rPr>
          <w:rStyle w:val="VerbatimChar"/>
        </w:rPr>
        <w:t xml:space="preserve">h2_2.02</w:t>
      </w:r>
      <w:r>
        <w:t xml:space="preserve">, the fitting windows are</w:t>
      </w:r>
      <w:r>
        <w:t xml:space="preserve"> </w:t>
      </w:r>
      <w:r>
        <w:rPr>
          <w:rStyle w:val="VerbatimChar"/>
        </w:rPr>
        <w:t xml:space="preserve">SR_Curve_years_1 = 1970:1996</w:t>
      </w:r>
      <w:r>
        <w:t xml:space="preserve"> </w:t>
      </w:r>
      <w:r>
        <w:t xml:space="preserve">and</w:t>
      </w:r>
      <w:r>
        <w:t xml:space="preserve"> </w:t>
      </w:r>
      <w:r>
        <w:rPr>
          <w:rStyle w:val="VerbatimChar"/>
        </w:rPr>
        <w:t xml:space="preserve">SR_Curve_years_2 = 2001:2016</w:t>
      </w:r>
      <w:r>
        <w:t xml:space="preserve">, so hatch years</w:t>
      </w:r>
      <w:r>
        <w:t xml:space="preserve"> </w:t>
      </w:r>
      <w:r>
        <w:rPr>
          <w:rStyle w:val="VerbatimChar"/>
        </w:rPr>
        <w:t xml:space="preserve">1997-2000</w:t>
      </w:r>
      <w:r>
        <w:t xml:space="preserve"> </w:t>
      </w:r>
      <w:r>
        <w:t xml:space="preserve">are excluded from the stock-2 SR fitting windows. In principle a year label can be absent either because it is not assigned to a stock-2 SR regime or because label overlap is suppressed, but</w:t>
      </w:r>
      <w:r>
        <w:t xml:space="preserve"> </w:t>
      </w:r>
      <w:hyperlink w:anchor="fig-h2-sr-compare">
        <w:r>
          <w:rPr>
            <w:rStyle w:val="Hyperlink"/>
          </w:rPr>
          <w:t xml:space="preserve">Figure 14</w:t>
        </w:r>
      </w:hyperlink>
      <w:r>
        <w:t xml:space="preserve"> </w:t>
      </w:r>
      <w:r>
        <w:t xml:space="preserve">now plots all years explicitly. The years omitted from regime fitting are shown with yellow label backgrounds, so labels such as</w:t>
      </w:r>
      <w:r>
        <w:t xml:space="preserve"> </w:t>
      </w:r>
      <w:r>
        <w:rPr>
          <w:rStyle w:val="VerbatimChar"/>
        </w:rPr>
        <w:t xml:space="preserve">98</w:t>
      </w:r>
      <w:r>
        <w:t xml:space="preserve"> </w:t>
      </w:r>
      <w:r>
        <w:t xml:space="preserve">now appear as excluded years rather than seeming to be missing by accident.</w:t>
      </w:r>
    </w:p>
    <w:p>
      <w:pPr>
        <w:pStyle w:val="BodyText"/>
      </w:pPr>
      <w:r>
        <w:rPr>
          <w:b/>
          <w:bCs/>
        </w:rPr>
        <w:t xml:space="preserve">91.</w:t>
      </w:r>
      <w:r>
        <w:t xml:space="preserve"> </w:t>
      </w:r>
      <w:r>
        <w:t xml:space="preserve">The corresponding stock-2 spawning biomass trajectories are compared in</w:t>
      </w:r>
      <w:r>
        <w:t xml:space="preserve"> </w:t>
      </w:r>
      <w:hyperlink w:anchor="fig-h2-stock2-ssb">
        <w:r>
          <w:rPr>
            <w:rStyle w:val="Hyperlink"/>
          </w:rPr>
          <w:t xml:space="preserve">Figure 15</w:t>
        </w:r>
      </w:hyperlink>
      <w:r>
        <w:t xml:space="preserve">. The single-regime formulation leaves the broad stock-2 biomass history similar to</w:t>
      </w:r>
      <w:r>
        <w:t xml:space="preserve"> </w:t>
      </w:r>
      <w:r>
        <w:rPr>
          <w:rStyle w:val="VerbatimChar"/>
        </w:rPr>
        <w:t xml:space="preserve">h2_2.02</w:t>
      </w:r>
      <w:r>
        <w:t xml:space="preserve">, but with a modest upward shift over much of the series. The corresponding stock-2 recruitment estimates are compared in</w:t>
      </w:r>
      <w:r>
        <w:t xml:space="preserve"> </w:t>
      </w:r>
      <w:hyperlink w:anchor="fig-h2-stock2-rec">
        <w:r>
          <w:rPr>
            <w:rStyle w:val="Hyperlink"/>
          </w:rPr>
          <w:t xml:space="preserve">Figure 16</w:t>
        </w:r>
      </w:hyperlink>
      <w:r>
        <w:t xml:space="preserve">. The single-regime formulation changes the fitted recruitment trajectory modestly, with the largest differences occurring in the early years and around some of the higher-recruitment episodes.</w:t>
      </w:r>
    </w:p>
    <w:tbl>
      <w:tblPr>
        <w:tblStyle w:val="Table"/>
        <w:tblW w:type="pct" w:w="5000"/>
        <w:tblLayout w:type="fixed"/>
        <w:tblLook w:firstRow="0" w:lastRow="0" w:firstColumn="0" w:lastColumn="0" w:noHBand="0" w:noVBand="0" w:val="0000"/>
      </w:tblPr>
      <w:tblGrid>
        <w:gridCol w:w="7920"/>
      </w:tblGrid>
      <w:tr>
        <w:tc>
          <w:tcPr/>
          <w:bookmarkStart w:id="138" w:name="fig-h2-stock2-ssb"/>
          <w:p>
            <w:pPr>
              <w:pStyle w:val="Compact"/>
              <w:jc w:val="center"/>
            </w:pPr>
            <w:r>
              <w:drawing>
                <wp:inline>
                  <wp:extent cx="5334000" cy="3062882"/>
                  <wp:effectExtent b="0" l="0" r="0" t="0"/>
                  <wp:docPr descr="" title="" id="136" name="Picture"/>
                  <a:graphic>
                    <a:graphicData uri="http://schemas.openxmlformats.org/drawingml/2006/picture">
                      <pic:pic>
                        <pic:nvPicPr>
                          <pic:cNvPr descr="JM-WP-BM-01_files/figure-docx/fig-h2-stock2-ssb-1.png" id="137" name="Picture"/>
                          <pic:cNvPicPr>
                            <a:picLocks noChangeArrowheads="1" noChangeAspect="1"/>
                          </pic:cNvPicPr>
                        </pic:nvPicPr>
                        <pic:blipFill>
                          <a:blip r:embed="rId135"/>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Estimated stock-2 spawning biomass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38"/>
        </w:tc>
      </w:tr>
    </w:tbl>
    <w:tbl>
      <w:tblPr>
        <w:tblStyle w:val="Table"/>
        <w:tblW w:type="pct" w:w="5000"/>
        <w:tblLayout w:type="fixed"/>
        <w:tblLook w:firstRow="0" w:lastRow="0" w:firstColumn="0" w:lastColumn="0" w:noHBand="0" w:noVBand="0" w:val="0000"/>
      </w:tblPr>
      <w:tblGrid>
        <w:gridCol w:w="7920"/>
      </w:tblGrid>
      <w:tr>
        <w:tc>
          <w:tcPr/>
          <w:bookmarkStart w:id="142" w:name="fig-h2-stock2-rec"/>
          <w:p>
            <w:pPr>
              <w:pStyle w:val="Compact"/>
              <w:jc w:val="center"/>
            </w:pPr>
            <w:r>
              <w:drawing>
                <wp:inline>
                  <wp:extent cx="5334000" cy="3062882"/>
                  <wp:effectExtent b="0" l="0" r="0" t="0"/>
                  <wp:docPr descr="" title="" id="140" name="Picture"/>
                  <a:graphic>
                    <a:graphicData uri="http://schemas.openxmlformats.org/drawingml/2006/picture">
                      <pic:pic>
                        <pic:nvPicPr>
                          <pic:cNvPr descr="JM-WP-BM-01_files/figure-docx/fig-h2-stock2-rec-1.png" id="141" name="Picture"/>
                          <pic:cNvPicPr>
                            <a:picLocks noChangeArrowheads="1" noChangeAspect="1"/>
                          </pic:cNvPicPr>
                        </pic:nvPicPr>
                        <pic:blipFill>
                          <a:blip r:embed="rId139"/>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Estimated stock-2 recruitment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42"/>
        </w:tc>
      </w:tr>
    </w:tbl>
    <w:bookmarkEnd w:id="143"/>
    <w:bookmarkStart w:id="146" w:name="fixed-reference-point-alternatives"/>
    <w:p>
      <w:pPr>
        <w:pStyle w:val="Heading2"/>
      </w:pPr>
      <w:r>
        <w:t xml:space="preserve">6.5 Fixed-Reference-Point Alternatives</w:t>
      </w:r>
    </w:p>
    <w:p>
      <w:pPr>
        <w:pStyle w:val="FirstParagraph"/>
      </w:pPr>
      <w:r>
        <w:rPr>
          <w:b/>
          <w:bCs/>
        </w:rPr>
        <w:t xml:space="preserve">92.</w:t>
      </w:r>
      <w:r>
        <w:t xml:space="preserve"> </w:t>
      </w:r>
      <w:r>
        <w:t xml:space="preserve">An issue also arose regarding fixed biomass and harvest-rate reference points</w:t>
      </w:r>
      <w:r>
        <w:br/>
      </w:r>
      <w:r>
        <w:t xml:space="preserve">rather than dynamic reference points estimated from terminal-year conditions.</w:t>
      </w:r>
      <w:r>
        <w:t xml:space="preserve"> </w:t>
      </w:r>
      <w:r>
        <w:t xml:space="preserve">This would make the interpretation of management performance much clearer</w:t>
      </w:r>
      <w:r>
        <w:t xml:space="preserve"> </w:t>
      </w:r>
      <w:r>
        <w:t xml:space="preserve">while still allowing later comparison back to the SC13 assessment convention.</w:t>
      </w:r>
    </w:p>
    <w:p>
      <w:pPr>
        <w:pStyle w:val="BodyText"/>
      </w:pPr>
      <w:r>
        <w:rPr>
          <w:b/>
          <w:bCs/>
        </w:rPr>
        <w:t xml:space="preserve">93.</w:t>
      </w:r>
      <w:r>
        <w:t xml:space="preserve"> </w:t>
      </w:r>
      <w:r>
        <w:t xml:space="preserve">The dynamic reference point system in the JJM — where</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shift</w:t>
      </w:r>
      <w:r>
        <w:t xml:space="preserve"> </w:t>
      </w:r>
      <w:r>
        <w:t xml:space="preserve">with terminal-year selectivity and weight-at-age — is appropriate in the</w:t>
      </w:r>
      <w:r>
        <w:t xml:space="preserve"> </w:t>
      </w:r>
      <w:r>
        <w:t xml:space="preserve">annual assessment context but problematic for MSE. If reference points change</w:t>
      </w:r>
      <w:r>
        <w:t xml:space="preserve"> </w:t>
      </w:r>
      <w:r>
        <w:t xml:space="preserve">every year as a function of the operating model state, it becomes difficult</w:t>
      </w:r>
      <w:r>
        <w:t xml:space="preserve"> </w:t>
      </w:r>
      <w:r>
        <w:t xml:space="preserve">to distinguish genuine changes in stock productivity from artefacts of the</w:t>
      </w:r>
      <w:r>
        <w:t xml:space="preserve"> </w:t>
      </w:r>
      <w:r>
        <w:t xml:space="preserve">simulation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quarto/share/formats/docx/note.png" id="14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94.</w:t>
            </w:r>
            <w:r>
              <w:t xml:space="preserve"> </w:t>
            </w:r>
            <w:r>
              <w:t xml:space="preserve">If the simplified selectivity alternative adopts block-based selectivity, then reference points should be calculated using the selectivity pattern from the</w:t>
            </w:r>
            <w:r>
              <w:t xml:space="preserve"> </w:t>
            </w:r>
            <w:r>
              <w:rPr>
                <w:b/>
                <w:bCs/>
              </w:rPr>
              <w:t xml:space="preserve">final block period</w:t>
            </w:r>
            <w:r>
              <w:t xml:space="preserve"> </w:t>
            </w:r>
            <w:r>
              <w:t xml:space="preserve">for all future projections. This is internally consistent: the operating model should use the same selectivity for calculating</w:t>
            </w:r>
            <w:r>
              <w:t xml:space="preserve"> </w:t>
            </w:r>
            <w:r>
              <w:rPr>
                <w:rStyle w:val="VerbatimChar"/>
              </w:rPr>
              <w:t xml:space="preserve">FMSY</w:t>
            </w:r>
            <w:r>
              <w:t xml:space="preserve"> </w:t>
            </w:r>
            <w:r>
              <w:t xml:space="preserve">and</w:t>
            </w:r>
            <w:r>
              <w:t xml:space="preserve"> </w:t>
            </w:r>
            <w:r>
              <w:rPr>
                <w:rStyle w:val="VerbatimChar"/>
              </w:rPr>
              <w:t xml:space="preserve">BMSY</w:t>
            </w:r>
            <w:r>
              <w:t xml:space="preserve"> </w:t>
            </w:r>
            <w:r>
              <w:t xml:space="preserve">as it uses for projecting future mortality. Using the last block’s selectivity as the reference configuration avoids the problem of reference points shifting mid-simulation as selectivity changes, and it is analogous to the fixed-reference-point convention already applied in several RFMO MSE programmes.</w:t>
            </w:r>
          </w:p>
          <w:p/>
        </w:tc>
      </w:tr>
    </w:tbl>
    <w:p>
      <w:pPr>
        <w:pStyle w:val="BodyText"/>
      </w:pPr>
      <w:r>
        <w:rPr>
          <w:b/>
          <w:bCs/>
        </w:rPr>
        <w:t xml:space="preserve">95.</w:t>
      </w:r>
      <w:r>
        <w:t xml:space="preserve"> </w:t>
      </w: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146"/>
    <w:bookmarkEnd w:id="147"/>
    <w:bookmarkStart w:id="148" w:name="summary"/>
    <w:p>
      <w:pPr>
        <w:pStyle w:val="Heading1"/>
      </w:pPr>
      <w:r>
        <w:t xml:space="preserve">7. Summary</w:t>
      </w:r>
    </w:p>
    <w:p>
      <w:pPr>
        <w:pStyle w:val="FirstParagraph"/>
      </w:pPr>
      <w:r>
        <w:rPr>
          <w:b/>
          <w:bCs/>
        </w:rPr>
        <w:t xml:space="preserve">96.</w:t>
      </w:r>
      <w:r>
        <w:t xml:space="preserve"> </w:t>
      </w:r>
      <w:r>
        <w:t xml:space="preserve">The evaluations presented here are intended as discussion items leading into the benchmark workshop, but some clearer conclusions now emerge from the fitted alternatives:</w:t>
      </w:r>
    </w:p>
    <w:p>
      <w:pPr>
        <w:pStyle w:val="Compact"/>
        <w:numPr>
          <w:ilvl w:val="0"/>
          <w:numId w:val="1011"/>
        </w:numPr>
      </w:pPr>
      <w:r>
        <w:rPr>
          <w:b/>
          <w:bCs/>
        </w:rPr>
        <w:t xml:space="preserve">The reduced-index simplification is a defensible starting point.</w:t>
      </w:r>
      <w:r>
        <w:t xml:space="preserve"> </w:t>
      </w:r>
      <w:r>
        <w:t xml:space="preserve">Relative to</w:t>
      </w:r>
      <w:r>
        <w:t xml:space="preserve"> </w:t>
      </w:r>
      <w:r>
        <w:rPr>
          <w:rStyle w:val="VerbatimChar"/>
        </w:rPr>
        <w:t xml:space="preserve">h1_1.14</w:t>
      </w:r>
      <w:r>
        <w:t xml:space="preserve">, model</w:t>
      </w:r>
      <w:r>
        <w:t xml:space="preserve"> </w:t>
      </w:r>
      <w:r>
        <w:rPr>
          <w:rStyle w:val="VerbatimChar"/>
        </w:rPr>
        <w:t xml:space="preserve">h1_2.00</w:t>
      </w:r>
      <w:r>
        <w:t xml:space="preserve"> </w:t>
      </w:r>
      <w:r>
        <w:t xml:space="preserve">stays close to the SC13 assessment picture while removing the discontinued or less comparable index series. For the retained comparable indices, this reduction generally improves or at least preserves fit, with Acoustic North remaining the main unresolved tension.</w:t>
      </w:r>
    </w:p>
    <w:p>
      <w:pPr>
        <w:pStyle w:val="Compact"/>
        <w:numPr>
          <w:ilvl w:val="0"/>
          <w:numId w:val="1011"/>
        </w:numPr>
      </w:pPr>
      <w:r>
        <w:rPr>
          <w:b/>
          <w:bCs/>
        </w:rPr>
        <w:t xml:space="preserve">A broad fishery-block simplification is too restrictive if applied everywhere at once.</w:t>
      </w:r>
      <w:r>
        <w:t xml:space="preserve"> </w:t>
      </w:r>
      <w:r>
        <w:t xml:space="preserve">Model</w:t>
      </w:r>
      <w:r>
        <w:t xml:space="preserve"> </w:t>
      </w:r>
      <w:r>
        <w:rPr>
          <w:rStyle w:val="VerbatimChar"/>
        </w:rPr>
        <w:t xml:space="preserve">h1_2.01</w:t>
      </w:r>
      <w:r>
        <w:t xml:space="preserve"> </w:t>
      </w:r>
      <w:r>
        <w:t xml:space="preserve">worsens the fit across multiple observation types simultaneously, including retained indices, fishery length compositions, and especially the South-Central Chile and North Chile age compositions. That is a stronger degradation than would be desirable for a primary operating-model simplification.</w:t>
      </w:r>
    </w:p>
    <w:p>
      <w:pPr>
        <w:pStyle w:val="Compact"/>
        <w:numPr>
          <w:ilvl w:val="0"/>
          <w:numId w:val="1011"/>
        </w:numPr>
      </w:pPr>
      <w:r>
        <w:rPr>
          <w:b/>
          <w:bCs/>
        </w:rPr>
        <w:t xml:space="preserve">The South-Central Chile fishery is the main driver of that deterioration.</w:t>
      </w:r>
      <w:r>
        <w:t xml:space="preserve"> </w:t>
      </w:r>
      <w:r>
        <w:t xml:space="preserve">Restoring annual selectivity flexibility only for that fleet in</w:t>
      </w:r>
      <w:r>
        <w:t xml:space="preserve"> </w:t>
      </w:r>
      <w:r>
        <w:rPr>
          <w:rStyle w:val="VerbatimChar"/>
        </w:rPr>
        <w:t xml:space="preserve">h1_2.01.1</w:t>
      </w:r>
      <w:r>
        <w:t xml:space="preserve"> </w:t>
      </w:r>
      <w:r>
        <w:t xml:space="preserve">recovers much of the lost fit and pulls the spawning biomass trajectory back toward</w:t>
      </w:r>
      <w:r>
        <w:t xml:space="preserve"> </w:t>
      </w:r>
      <w:r>
        <w:rPr>
          <w:rStyle w:val="VerbatimChar"/>
        </w:rPr>
        <w:t xml:space="preserve">h1_2.00</w:t>
      </w:r>
      <w:r>
        <w:t xml:space="preserve">. By contrast, the five-block alternative</w:t>
      </w:r>
      <w:r>
        <w:t xml:space="preserve"> </w:t>
      </w:r>
      <w:r>
        <w:rPr>
          <w:rStyle w:val="VerbatimChar"/>
        </w:rPr>
        <w:t xml:space="preserve">h1_2.01.2</w:t>
      </w:r>
      <w:r>
        <w:t xml:space="preserve"> </w:t>
      </w:r>
      <w:r>
        <w:t xml:space="preserve">remains too restrictive: it gives back much of the gain in fit, behaves more like</w:t>
      </w:r>
      <w:r>
        <w:t xml:space="preserve"> </w:t>
      </w:r>
      <w:r>
        <w:rPr>
          <w:rStyle w:val="VerbatimChar"/>
        </w:rPr>
        <w:t xml:space="preserve">h1_2.01</w:t>
      </w:r>
      <w:r>
        <w:t xml:space="preserve"> </w:t>
      </w:r>
      <w:r>
        <w:t xml:space="preserve">than</w:t>
      </w:r>
      <w:r>
        <w:t xml:space="preserve"> </w:t>
      </w:r>
      <w:r>
        <w:rPr>
          <w:rStyle w:val="VerbatimChar"/>
        </w:rPr>
        <w:t xml:space="preserve">h1_2.01.1</w:t>
      </w:r>
      <w:r>
        <w:t xml:space="preserve">, and leaves broader terminal spawning-biomass uncertainty.</w:t>
      </w:r>
    </w:p>
    <w:p>
      <w:pPr>
        <w:pStyle w:val="Compact"/>
        <w:numPr>
          <w:ilvl w:val="0"/>
          <w:numId w:val="1011"/>
        </w:numPr>
      </w:pPr>
      <w:r>
        <w:rPr>
          <w:b/>
          <w:bCs/>
        </w:rPr>
        <w:t xml:space="preserve">Allowing time-varying index catchability can recover retained-index fit, but it changes where the flexibility sits.</w:t>
      </w:r>
      <w:r>
        <w:t xml:space="preserve"> </w:t>
      </w:r>
      <w:r>
        <w:t xml:space="preserve">Model</w:t>
      </w:r>
      <w:r>
        <w:t xml:space="preserve"> </w:t>
      </w:r>
      <w:r>
        <w:rPr>
          <w:rStyle w:val="VerbatimChar"/>
        </w:rPr>
        <w:t xml:space="preserve">h1_2.01.3</w:t>
      </w:r>
      <w:r>
        <w:t xml:space="preserve"> </w:t>
      </w:r>
      <w:r>
        <w:t xml:space="preserve">gives the best retained comparable index fit among the</w:t>
      </w:r>
      <w:r>
        <w:t xml:space="preserve"> </w:t>
      </w:r>
      <w:r>
        <w:rPr>
          <w:rStyle w:val="VerbatimChar"/>
        </w:rPr>
        <w:t xml:space="preserve">h1_2.01</w:t>
      </w:r>
      <w:r>
        <w:t xml:space="preserve">-based variants and shows that part of the tension can be absorbed by drifting q. However, it does so by moving flexibility from selectivity into time-varying catchability, with a lower terminal spawning-biomass distribution than the other S-C Chile variants. That makes</w:t>
      </w:r>
      <w:r>
        <w:t xml:space="preserve"> </w:t>
      </w:r>
      <w:r>
        <w:rPr>
          <w:rStyle w:val="VerbatimChar"/>
        </w:rPr>
        <w:t xml:space="preserve">h1_2.01.3</w:t>
      </w:r>
      <w:r>
        <w:t xml:space="preserve"> </w:t>
      </w:r>
      <w:r>
        <w:t xml:space="preserve">more persuasive as a robustness case than as a primary operating-model simplification.</w:t>
      </w:r>
    </w:p>
    <w:p>
      <w:pPr>
        <w:pStyle w:val="Compact"/>
        <w:numPr>
          <w:ilvl w:val="0"/>
          <w:numId w:val="1011"/>
        </w:numPr>
      </w:pPr>
      <w:r>
        <w:rPr>
          <w:b/>
          <w:bCs/>
        </w:rPr>
        <w:t xml:space="preserve">Far North selectivity harmonization is worthwhile before comparing</w:t>
      </w:r>
      <w:r>
        <w:rPr>
          <w:b/>
          <w:bCs/>
        </w:rPr>
        <w:t xml:space="preserve"> </w:t>
      </w:r>
      <w:r>
        <w:rPr>
          <w:rStyle w:val="VerbatimChar"/>
          <w:b/>
          <w:bCs/>
        </w:rPr>
        <w:t xml:space="preserve">h1</w:t>
      </w:r>
      <w:r>
        <w:rPr>
          <w:b/>
          <w:bCs/>
        </w:rPr>
        <w:t xml:space="preserve"> </w:t>
      </w:r>
      <w:r>
        <w:rPr>
          <w:b/>
          <w:bCs/>
        </w:rPr>
        <w:t xml:space="preserve">and</w:t>
      </w:r>
      <w:r>
        <w:rPr>
          <w:b/>
          <w:bCs/>
        </w:rPr>
        <w:t xml:space="preserve"> </w:t>
      </w:r>
      <w:r>
        <w:rPr>
          <w:rStyle w:val="VerbatimChar"/>
          <w:b/>
          <w:bCs/>
        </w:rPr>
        <w:t xml:space="preserve">h2</w:t>
      </w:r>
      <w:r>
        <w:rPr>
          <w:b/>
          <w:bCs/>
        </w:rPr>
        <w:t xml:space="preserve">.</w:t>
      </w:r>
      <w:r>
        <w:t xml:space="preserve"> </w:t>
      </w:r>
      <w:r>
        <w:t xml:space="preserve">The harmonized single-stock model</w:t>
      </w:r>
      <w:r>
        <w:t xml:space="preserve"> </w:t>
      </w:r>
      <w:r>
        <w:rPr>
          <w:rStyle w:val="VerbatimChar"/>
        </w:rPr>
        <w:t xml:space="preserve">h1_2.02</w:t>
      </w:r>
      <w:r>
        <w:t xml:space="preserve"> </w:t>
      </w:r>
      <w:r>
        <w:t xml:space="preserve">stays broadly close to</w:t>
      </w:r>
      <w:r>
        <w:t xml:space="preserve"> </w:t>
      </w:r>
      <w:r>
        <w:rPr>
          <w:rStyle w:val="VerbatimChar"/>
        </w:rPr>
        <w:t xml:space="preserve">h1_2.00</w:t>
      </w:r>
      <w:r>
        <w:t xml:space="preserve">, while</w:t>
      </w:r>
      <w:r>
        <w:t xml:space="preserve"> </w:t>
      </w:r>
      <w:r>
        <w:rPr>
          <w:rStyle w:val="VerbatimChar"/>
        </w:rPr>
        <w:t xml:space="preserve">h2_2.02</w:t>
      </w:r>
      <w:r>
        <w:t xml:space="preserve"> </w:t>
      </w:r>
      <w:r>
        <w:t xml:space="preserve">provides a cleaner two-stock comparator because it uses the same reduced-index data treatment and a similar simplified Far North selectivity structure. That makes the</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comparison easier to interpret as a stock-structure contrast rather than a selectivity-regularization contrast.</w:t>
      </w:r>
    </w:p>
    <w:p>
      <w:pPr>
        <w:pStyle w:val="Compact"/>
        <w:numPr>
          <w:ilvl w:val="0"/>
          <w:numId w:val="1011"/>
        </w:numPr>
      </w:pPr>
      <w:r>
        <w:rPr>
          <w:b/>
          <w:bCs/>
        </w:rPr>
        <w:t xml:space="preserve">Simplifying the stock-2 recruitment structure in</w:t>
      </w:r>
      <w:r>
        <w:rPr>
          <w:b/>
          <w:bCs/>
        </w:rPr>
        <w:t xml:space="preserve"> </w:t>
      </w:r>
      <w:r>
        <w:rPr>
          <w:rStyle w:val="VerbatimChar"/>
          <w:b/>
          <w:bCs/>
        </w:rPr>
        <w:t xml:space="preserve">h2</w:t>
      </w:r>
      <w:r>
        <w:rPr>
          <w:b/>
          <w:bCs/>
        </w:rPr>
        <w:t xml:space="preserve"> </w:t>
      </w:r>
      <w:r>
        <w:rPr>
          <w:b/>
          <w:bCs/>
        </w:rPr>
        <w:t xml:space="preserve">appears feasible, but it changes both fit and interpretation.</w:t>
      </w:r>
      <w:r>
        <w:t xml:space="preserve"> </w:t>
      </w:r>
      <w:r>
        <w:t xml:space="preserve">Model</w:t>
      </w:r>
      <w:r>
        <w:t xml:space="preserve"> </w:t>
      </w:r>
      <w:r>
        <w:rPr>
          <w:rStyle w:val="VerbatimChar"/>
        </w:rPr>
        <w:t xml:space="preserve">h2_2.03</w:t>
      </w:r>
      <w:r>
        <w:t xml:space="preserve"> </w:t>
      </w:r>
      <w:r>
        <w:t xml:space="preserve">converges cleanly and only modestly worsens the objective function relative to</w:t>
      </w:r>
      <w:r>
        <w:t xml:space="preserve"> </w:t>
      </w:r>
      <w:r>
        <w:rPr>
          <w:rStyle w:val="VerbatimChar"/>
        </w:rPr>
        <w:t xml:space="preserve">h2_2.02</w:t>
      </w:r>
      <w:r>
        <w:t xml:space="preserve">, so a single stock-2 relationship looks workable. At the same time, the stock-recruitment comparison now makes clearer that</w:t>
      </w:r>
      <w:r>
        <w:t xml:space="preserve"> </w:t>
      </w:r>
      <w:r>
        <w:rPr>
          <w:rStyle w:val="VerbatimChar"/>
        </w:rPr>
        <w:t xml:space="preserve">h2_1.14</w:t>
      </w:r>
      <w:r>
        <w:t xml:space="preserve"> </w:t>
      </w:r>
      <w:r>
        <w:t xml:space="preserve">and</w:t>
      </w:r>
      <w:r>
        <w:t xml:space="preserve"> </w:t>
      </w:r>
      <w:r>
        <w:rPr>
          <w:rStyle w:val="VerbatimChar"/>
        </w:rPr>
        <w:t xml:space="preserve">h2_2.02</w:t>
      </w:r>
      <w:r>
        <w:t xml:space="preserve"> </w:t>
      </w:r>
      <w:r>
        <w:t xml:space="preserve">estimated stock-2 relationships using restricted hatch-year windows and omitted hatch years</w:t>
      </w:r>
      <w:r>
        <w:t xml:space="preserve"> </w:t>
      </w:r>
      <w:r>
        <w:rPr>
          <w:rStyle w:val="VerbatimChar"/>
        </w:rPr>
        <w:t xml:space="preserve">1997-2000</w:t>
      </w:r>
      <w:r>
        <w:t xml:space="preserve">, whereas</w:t>
      </w:r>
      <w:r>
        <w:t xml:space="preserve"> </w:t>
      </w:r>
      <w:r>
        <w:rPr>
          <w:rStyle w:val="VerbatimChar"/>
        </w:rPr>
        <w:t xml:space="preserve">h2_2.03</w:t>
      </w:r>
      <w:r>
        <w:t xml:space="preserve"> </w:t>
      </w:r>
      <w:r>
        <w:t xml:space="preserve">removes that gap by fitting one relationship across the combined period. The choice is therefore not only about the number of regimes; it also changes which years are allowed to inform the fitted stock-2 stock-recruitment relationship.</w:t>
      </w:r>
    </w:p>
    <w:p>
      <w:pPr>
        <w:pStyle w:val="Compact"/>
        <w:numPr>
          <w:ilvl w:val="0"/>
          <w:numId w:val="1011"/>
        </w:numPr>
      </w:pPr>
      <w:r>
        <w:rPr>
          <w:b/>
          <w:bCs/>
        </w:rPr>
        <w:t xml:space="preserve">The strongest current operating-model candidates are now better defined.</w:t>
      </w:r>
      <w:r>
        <w:t xml:space="preserve"> </w:t>
      </w:r>
      <w:r>
        <w:rPr>
          <w:rStyle w:val="VerbatimChar"/>
        </w:rPr>
        <w:t xml:space="preserve">h1_2.00</w:t>
      </w:r>
      <w:r>
        <w:t xml:space="preserve"> </w:t>
      </w:r>
      <w:r>
        <w:t xml:space="preserve">remains a sensible reduced-data baseline,</w:t>
      </w:r>
      <w:r>
        <w:t xml:space="preserve"> </w:t>
      </w:r>
      <w:r>
        <w:rPr>
          <w:rStyle w:val="VerbatimChar"/>
        </w:rPr>
        <w:t xml:space="preserve">h1_2.01.1</w:t>
      </w:r>
      <w:r>
        <w:t xml:space="preserve"> </w:t>
      </w:r>
      <w:r>
        <w:t xml:space="preserve">is the strongest single-stock selectivity simplification tested so far, and</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provide the most interpretable harmonized single-stock versus two-stock comparison.</w:t>
      </w:r>
      <w:r>
        <w:t xml:space="preserve"> </w:t>
      </w:r>
      <w:r>
        <w:rPr>
          <w:rStyle w:val="VerbatimChar"/>
        </w:rPr>
        <w:t xml:space="preserve">h1_2.01.3</w:t>
      </w:r>
      <w:r>
        <w:t xml:space="preserve"> </w:t>
      </w:r>
      <w:r>
        <w:t xml:space="preserve">is valuable, but primarily as a robustness test for index-standardization and q-variability assumptions.</w:t>
      </w:r>
    </w:p>
    <w:p>
      <w:pPr>
        <w:pStyle w:val="Compact"/>
        <w:numPr>
          <w:ilvl w:val="0"/>
          <w:numId w:val="1011"/>
        </w:numPr>
      </w:pPr>
      <w:r>
        <w:rPr>
          <w:b/>
          <w:bCs/>
        </w:rPr>
        <w:t xml:space="preserve">The main remaining robustness dimensions are now clearer and more targeted.</w:t>
      </w:r>
      <w:r>
        <w:t xml:space="preserve"> </w:t>
      </w:r>
      <w:r>
        <w:t xml:space="preserve">Projection-period selectivity uncertainty should still be explored using averaging-window alternatives, reference points should be fixed once from the terminal selectivity state before MSE simulation, stock-2 recruitment structure should be treated as an explicit robustness axis, and northern biology uncertainty and index-standardization choices remain natural later-phase candidates.</w:t>
      </w:r>
    </w:p>
    <w:p>
      <w:pPr>
        <w:pStyle w:val="FirstParagraph"/>
      </w:pPr>
      <w:r>
        <w:rPr>
          <w:b/>
          <w:bCs/>
        </w:rPr>
        <w:t xml:space="preserve">97.</w:t>
      </w:r>
      <w:r>
        <w:t xml:space="preserve"> </w:t>
      </w:r>
      <w:r>
        <w:t xml:space="preserve">Taken together, these results suggest that the next stage should focus less on broad additional simplification and more on selecting a compact set of well-motivated operating models and robustness scenarios. The current evidence points toward carrying forward a reduced-index baseline, a single-stock model that preserves South-Central Chile selectivity flexibility, a harmonized two-stock comparator, and targeted robustness cases for q variability, projection selectivity, and alternative stock-2 recruitment structure.</w:t>
      </w:r>
    </w:p>
    <w:bookmarkEnd w:id="148"/>
    <w:bookmarkStart w:id="158"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149"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149"/>
    <w:bookmarkStart w:id="150"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150"/>
    <w:bookmarkStart w:id="151"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151"/>
    <w:bookmarkStart w:id="152"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152"/>
    <w:bookmarkStart w:id="153"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153"/>
    <w:bookmarkStart w:id="154"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154"/>
    <w:bookmarkStart w:id="155"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155"/>
    <w:bookmarkStart w:id="156"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156"/>
    <w:bookmarkStart w:id="157"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w:r>
        <w:rPr>
          <w:rStyle w:val="VerbatimChar"/>
        </w:rPr>
        <w:t xml:space="preserve">FMSY</w:t>
      </w:r>
      <w:r>
        <w:t xml:space="preserve">,</w:t>
      </w:r>
      <w:r>
        <w:t xml:space="preserve"> </w:t>
      </w:r>
      <w:r>
        <w:rPr>
          <w:rStyle w:val="VerbatimChar"/>
        </w:rPr>
        <w:t xml:space="preserve">MSY</w:t>
      </w:r>
      <w:r>
        <w:t xml:space="preserve">, and</w:t>
      </w:r>
      <w:r>
        <w:t xml:space="preserve"> </w:t>
      </w:r>
      <w:r>
        <w:rPr>
          <w:rStyle w:val="VerbatimChar"/>
        </w:rPr>
        <w:t xml:space="preserve">BMSY</w:t>
      </w:r>
      <w:r>
        <w:t xml:space="preserve"> </w:t>
      </w:r>
      <w:r>
        <w:t xml:space="preserve">vary through time in the SC13 assessment rather than remaining fixed constants.</w:t>
      </w:r>
    </w:p>
    <w:bookmarkEnd w:id="157"/>
    <w:bookmarkEnd w:id="158"/>
    <w:bookmarkStart w:id="192" w:name="references"/>
    <w:p>
      <w:pPr>
        <w:pStyle w:val="Heading1"/>
      </w:pPr>
      <w:r>
        <w:t xml:space="preserve">References</w:t>
      </w:r>
    </w:p>
    <w:bookmarkStart w:id="191" w:name="refs"/>
    <w:bookmarkStart w:id="160" w:name="ref-vonbertalanffy1957growth"/>
    <w:p>
      <w:pPr>
        <w:pStyle w:val="Bibliography"/>
      </w:pPr>
      <w:r>
        <w:t xml:space="preserve">Bertalanffy, L. von. (1957). Quantitative laws in metabolism and growth.</w:t>
      </w:r>
      <w:r>
        <w:t xml:space="preserve"> </w:t>
      </w:r>
      <w:r>
        <w:rPr>
          <w:i/>
          <w:iCs/>
        </w:rPr>
        <w:t xml:space="preserve">The Quarterly Review of Biology</w:t>
      </w:r>
      <w:r>
        <w:t xml:space="preserve">,</w:t>
      </w:r>
      <w:r>
        <w:t xml:space="preserve"> </w:t>
      </w:r>
      <w:r>
        <w:rPr>
          <w:i/>
          <w:iCs/>
        </w:rPr>
        <w:t xml:space="preserve">32</w:t>
      </w:r>
      <w:r>
        <w:t xml:space="preserve">(3), 217–231.</w:t>
      </w:r>
      <w:r>
        <w:t xml:space="preserve"> </w:t>
      </w:r>
      <w:hyperlink r:id="rId159">
        <w:r>
          <w:rPr>
            <w:rStyle w:val="Hyperlink"/>
          </w:rPr>
          <w:t xml:space="preserve">https://doi.org/10.1086/401873</w:t>
        </w:r>
      </w:hyperlink>
    </w:p>
    <w:bookmarkEnd w:id="160"/>
    <w:bookmarkStart w:id="161"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61"/>
    <w:bookmarkStart w:id="163"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62">
        <w:r>
          <w:rPr>
            <w:rStyle w:val="Hyperlink"/>
          </w:rPr>
          <w:t xml:space="preserve">https://doi.org/10.1006/jmsc.1999.0532</w:t>
        </w:r>
      </w:hyperlink>
    </w:p>
    <w:bookmarkEnd w:id="163"/>
    <w:bookmarkStart w:id="165"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64">
        <w:r>
          <w:rPr>
            <w:rStyle w:val="Hyperlink"/>
          </w:rPr>
          <w:t xml:space="preserve">https://www.iccat.int/Documents/CVSP/CV081_2024/n_2/CV08102149.pdf</w:t>
        </w:r>
      </w:hyperlink>
    </w:p>
    <w:bookmarkEnd w:id="165"/>
    <w:bookmarkStart w:id="167"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66">
        <w:r>
          <w:rPr>
            <w:rStyle w:val="Hyperlink"/>
          </w:rPr>
          <w:t xml:space="preserve">https://doi.org/10.1080/10556788.2011.597854</w:t>
        </w:r>
      </w:hyperlink>
    </w:p>
    <w:bookmarkEnd w:id="167"/>
    <w:bookmarkStart w:id="169"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68">
        <w:r>
          <w:rPr>
            <w:rStyle w:val="Hyperlink"/>
          </w:rPr>
          <w:t xml:space="preserve">https://doi.org/10.1139/f82-157</w:t>
        </w:r>
      </w:hyperlink>
    </w:p>
    <w:bookmarkEnd w:id="169"/>
    <w:bookmarkStart w:id="171"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70">
        <w:r>
          <w:rPr>
            <w:rStyle w:val="Hyperlink"/>
          </w:rPr>
          <w:t xml:space="preserve">https://doi.org/10.1139/f2011-025</w:t>
        </w:r>
      </w:hyperlink>
    </w:p>
    <w:bookmarkEnd w:id="171"/>
    <w:bookmarkStart w:id="173"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72">
        <w:r>
          <w:rPr>
            <w:rStyle w:val="Hyperlink"/>
          </w:rPr>
          <w:t xml:space="preserve">https://doi.org/10.1007/978-1-4615-3598-0</w:t>
        </w:r>
      </w:hyperlink>
    </w:p>
    <w:bookmarkEnd w:id="173"/>
    <w:bookmarkStart w:id="175"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74">
        <w:r>
          <w:rPr>
            <w:rStyle w:val="Hyperlink"/>
          </w:rPr>
          <w:t xml:space="preserve">https://doi.org/10.1093/icesjms/fsq173</w:t>
        </w:r>
      </w:hyperlink>
    </w:p>
    <w:bookmarkEnd w:id="175"/>
    <w:bookmarkStart w:id="176" w:name="ref-mccullagh1989glm"/>
    <w:p>
      <w:pPr>
        <w:pStyle w:val="Bibliography"/>
      </w:pPr>
      <w:r>
        <w:t xml:space="preserve">McCullagh, P., &amp; Nelder, J. A. (1989).</w:t>
      </w:r>
      <w:r>
        <w:t xml:space="preserve"> </w:t>
      </w:r>
      <w:r>
        <w:rPr>
          <w:i/>
          <w:iCs/>
        </w:rPr>
        <w:t xml:space="preserve">Generalized linear models</w:t>
      </w:r>
      <w:r>
        <w:t xml:space="preserve"> </w:t>
      </w:r>
      <w:r>
        <w:t xml:space="preserve">(2nd ed.). Chapman; Hall.</w:t>
      </w:r>
    </w:p>
    <w:bookmarkEnd w:id="176"/>
    <w:bookmarkStart w:id="178" w:name="ref-nelder1972glm"/>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177">
        <w:r>
          <w:rPr>
            <w:rStyle w:val="Hyperlink"/>
          </w:rPr>
          <w:t xml:space="preserve">https://doi.org/10.2307/2344614</w:t>
        </w:r>
      </w:hyperlink>
    </w:p>
    <w:bookmarkEnd w:id="178"/>
    <w:bookmarkStart w:id="180"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79">
        <w:r>
          <w:rPr>
            <w:rStyle w:val="Hyperlink"/>
          </w:rPr>
          <w:t xml:space="preserve">https://doi.org/10.1111/faf.12104</w:t>
        </w:r>
      </w:hyperlink>
    </w:p>
    <w:bookmarkEnd w:id="180"/>
    <w:bookmarkStart w:id="182"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81">
        <w:r>
          <w:rPr>
            <w:rStyle w:val="Hyperlink"/>
          </w:rPr>
          <w:t xml:space="preserve">https://doi.org/10.1073/pnas.1820344116</w:t>
        </w:r>
      </w:hyperlink>
    </w:p>
    <w:bookmarkEnd w:id="182"/>
    <w:bookmarkStart w:id="184"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83">
        <w:r>
          <w:rPr>
            <w:rStyle w:val="Hyperlink"/>
          </w:rPr>
          <w:t xml:space="preserve">https://doi.org/10.1139/f95-800</w:t>
        </w:r>
      </w:hyperlink>
    </w:p>
    <w:bookmarkEnd w:id="184"/>
    <w:bookmarkStart w:id="186"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85">
        <w:r>
          <w:rPr>
            <w:rStyle w:val="Hyperlink"/>
          </w:rPr>
          <w:t xml:space="preserve">https://doi.org/10.1111/faf.12579</w:t>
        </w:r>
      </w:hyperlink>
    </w:p>
    <w:bookmarkEnd w:id="186"/>
    <w:bookmarkStart w:id="188"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87">
        <w:r>
          <w:rPr>
            <w:rStyle w:val="Hyperlink"/>
          </w:rPr>
          <w:t xml:space="preserve">https://www.sprfmo.int/assets/Meetings/02-SC/13th-SC-2025/Jack-Mackerel/SC13-JM09-Report-of-the-JMWG-Management-Strategy-Evaluation-Technical-Workshop.pdf</w:t>
        </w:r>
      </w:hyperlink>
    </w:p>
    <w:bookmarkEnd w:id="188"/>
    <w:bookmarkStart w:id="190"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89">
        <w:r>
          <w:rPr>
            <w:rStyle w:val="Hyperlink"/>
          </w:rPr>
          <w:t xml:space="preserve">https://sprfmo.int/assets/Meetings/02-SC/13th-SC-2025/SC13-Report-Annex-11_final.pdf</w:t>
        </w:r>
      </w:hyperlink>
    </w:p>
    <w:bookmarkEnd w:id="190"/>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68" Target="media/rId68.png" /><Relationship Type="http://schemas.openxmlformats.org/officeDocument/2006/relationships/image" Id="rId131" Target="media/rId131.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24" Target="media/rId124.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96" Target="media/rId96.png" /><Relationship Type="http://schemas.openxmlformats.org/officeDocument/2006/relationships/image" Id="rId20" Target="media/rId20.png" /><Relationship Type="http://schemas.openxmlformats.org/officeDocument/2006/relationships/hyperlink" Id="rId162" Target="https://doi.org/10.1006/jmsc.1999.0532" TargetMode="External" /><Relationship Type="http://schemas.openxmlformats.org/officeDocument/2006/relationships/hyperlink" Id="rId172" Target="https://doi.org/10.1007/978-1-4615-3598-0" TargetMode="External" /><Relationship Type="http://schemas.openxmlformats.org/officeDocument/2006/relationships/hyperlink" Id="rId181" Target="https://doi.org/10.1073/pnas.1820344116" TargetMode="External" /><Relationship Type="http://schemas.openxmlformats.org/officeDocument/2006/relationships/hyperlink" Id="rId166" Target="https://doi.org/10.1080/10556788.2011.597854" TargetMode="External" /><Relationship Type="http://schemas.openxmlformats.org/officeDocument/2006/relationships/hyperlink" Id="rId159" Target="https://doi.org/10.1086/401873" TargetMode="External" /><Relationship Type="http://schemas.openxmlformats.org/officeDocument/2006/relationships/hyperlink" Id="rId174" Target="https://doi.org/10.1093/icesjms/fsq173" TargetMode="External" /><Relationship Type="http://schemas.openxmlformats.org/officeDocument/2006/relationships/hyperlink" Id="rId179" Target="https://doi.org/10.1111/faf.12104" TargetMode="External" /><Relationship Type="http://schemas.openxmlformats.org/officeDocument/2006/relationships/hyperlink" Id="rId185" Target="https://doi.org/10.1111/faf.12579" TargetMode="External" /><Relationship Type="http://schemas.openxmlformats.org/officeDocument/2006/relationships/hyperlink" Id="rId170" Target="https://doi.org/10.1139/f2011-025" TargetMode="External" /><Relationship Type="http://schemas.openxmlformats.org/officeDocument/2006/relationships/hyperlink" Id="rId168" Target="https://doi.org/10.1139/f82-157" TargetMode="External" /><Relationship Type="http://schemas.openxmlformats.org/officeDocument/2006/relationships/hyperlink" Id="rId183" Target="https://doi.org/10.1139/f95-800" TargetMode="External" /><Relationship Type="http://schemas.openxmlformats.org/officeDocument/2006/relationships/hyperlink" Id="rId177" Target="https://doi.org/10.2307/2344614" TargetMode="External" /><Relationship Type="http://schemas.openxmlformats.org/officeDocument/2006/relationships/hyperlink" Id="rId24" Target="https://sprfmo.github.io/SCW15_report/" TargetMode="External" /><Relationship Type="http://schemas.openxmlformats.org/officeDocument/2006/relationships/hyperlink" Id="rId189" Target="https://sprfmo.int/assets/Meetings/02-SC/13th-SC-2025/SC13-Report-Annex-11_final.pdf" TargetMode="External" /><Relationship Type="http://schemas.openxmlformats.org/officeDocument/2006/relationships/hyperlink" Id="rId164" Target="https://www.iccat.int/Documents/CVSP/CV081_2024/n_2/CV08102149.pdf" TargetMode="External" /><Relationship Type="http://schemas.openxmlformats.org/officeDocument/2006/relationships/hyperlink" Id="rId187"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62" Target="https://doi.org/10.1006/jmsc.1999.0532" TargetMode="External" /><Relationship Type="http://schemas.openxmlformats.org/officeDocument/2006/relationships/hyperlink" Id="rId172" Target="https://doi.org/10.1007/978-1-4615-3598-0" TargetMode="External" /><Relationship Type="http://schemas.openxmlformats.org/officeDocument/2006/relationships/hyperlink" Id="rId181" Target="https://doi.org/10.1073/pnas.1820344116" TargetMode="External" /><Relationship Type="http://schemas.openxmlformats.org/officeDocument/2006/relationships/hyperlink" Id="rId166" Target="https://doi.org/10.1080/10556788.2011.597854" TargetMode="External" /><Relationship Type="http://schemas.openxmlformats.org/officeDocument/2006/relationships/hyperlink" Id="rId159" Target="https://doi.org/10.1086/401873" TargetMode="External" /><Relationship Type="http://schemas.openxmlformats.org/officeDocument/2006/relationships/hyperlink" Id="rId174" Target="https://doi.org/10.1093/icesjms/fsq173" TargetMode="External" /><Relationship Type="http://schemas.openxmlformats.org/officeDocument/2006/relationships/hyperlink" Id="rId179" Target="https://doi.org/10.1111/faf.12104" TargetMode="External" /><Relationship Type="http://schemas.openxmlformats.org/officeDocument/2006/relationships/hyperlink" Id="rId185" Target="https://doi.org/10.1111/faf.12579" TargetMode="External" /><Relationship Type="http://schemas.openxmlformats.org/officeDocument/2006/relationships/hyperlink" Id="rId170" Target="https://doi.org/10.1139/f2011-025" TargetMode="External" /><Relationship Type="http://schemas.openxmlformats.org/officeDocument/2006/relationships/hyperlink" Id="rId168" Target="https://doi.org/10.1139/f82-157" TargetMode="External" /><Relationship Type="http://schemas.openxmlformats.org/officeDocument/2006/relationships/hyperlink" Id="rId183" Target="https://doi.org/10.1139/f95-800" TargetMode="External" /><Relationship Type="http://schemas.openxmlformats.org/officeDocument/2006/relationships/hyperlink" Id="rId177" Target="https://doi.org/10.2307/2344614" TargetMode="External" /><Relationship Type="http://schemas.openxmlformats.org/officeDocument/2006/relationships/hyperlink" Id="rId24" Target="https://sprfmo.github.io/SCW15_report/" TargetMode="External" /><Relationship Type="http://schemas.openxmlformats.org/officeDocument/2006/relationships/hyperlink" Id="rId189" Target="https://sprfmo.int/assets/Meetings/02-SC/13th-SC-2025/SC13-Report-Annex-11_final.pdf" TargetMode="External" /><Relationship Type="http://schemas.openxmlformats.org/officeDocument/2006/relationships/hyperlink" Id="rId164" Target="https://www.iccat.int/Documents/CVSP/CV081_2024/n_2/CV08102149.pdf" TargetMode="External" /><Relationship Type="http://schemas.openxmlformats.org/officeDocument/2006/relationships/hyperlink" Id="rId187"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Developments of the base SC13 model for benchmark and MSE considerations</dc:title>
  <dc:creator/>
  <cp:keywords/>
  <dcterms:created xsi:type="dcterms:W3CDTF">2026-03-20T23:54:56Z</dcterms:created>
  <dcterms:modified xsi:type="dcterms:W3CDTF">2026-03-20T23:54:56Z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shorttitle">
    <vt:lpwstr>Working paper JM-WP-BM-01</vt:lpwstr>
  </property>
  <property fmtid="{D5CDD505-2E9C-101B-9397-08002B2CF9AE}" pid="12" name="title-block">
    <vt:lpwstr>False</vt:lpwstr>
  </property>
  <property fmtid="{D5CDD505-2E9C-101B-9397-08002B2CF9AE}" pid="13" name="toc-title">
    <vt:lpwstr>Table of contents</vt:lpwstr>
  </property>
</Properties>
</file>