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9.png" ContentType="image/png"/>
  <Override PartName="/word/media/rId21.png" ContentType="image/png"/>
  <Override PartName="/word/media/rId36.svg" ContentType="image/svg+xml"/>
  <Override PartName="/word/media/rId41.svg" ContentType="image/svg+xml"/>
  <Override PartName="/word/media/rId46.svg" ContentType="image/svg+xml"/>
  <Override PartName="/word/media/rId51.svg" ContentType="image/svg+xml"/>
  <Override PartName="/word/media/rId56.svg" ContentType="image/svg+xml"/>
  <Override PartName="/word/media/rId39.png" ContentType="image/png"/>
  <Override PartName="/word/media/rId44.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Benchmark meeting report 2026</w:t>
      </w:r>
    </w:p>
    <w:p>
      <w:pPr>
        <w:pStyle w:val="BodyText"/>
      </w:pPr>
      <w:r>
        <w:t xml:space="preserve">07 June 2026</w:t>
      </w:r>
      <w:r>
        <w:t xml:space="preserve"> </w:t>
      </w:r>
      <w:r>
        <w:t xml:space="preserve">10:13 PDT</w:t>
      </w:r>
    </w:p>
    <w:bookmarkStart w:id="12" w:name="summary"/>
    <w:p>
      <w:pPr>
        <w:pStyle w:val="Heading1"/>
      </w:pPr>
      <w:r>
        <w:t xml:space="preserve">Summary</w:t>
      </w:r>
    </w:p>
    <w:p>
      <w:pPr>
        <w:pStyle w:val="FirstParagraph"/>
      </w:pPr>
      <w:r>
        <w:rPr>
          <w:b/>
          <w:bCs/>
        </w:rPr>
        <w:t xml:space="preserve">2.</w:t>
      </w:r>
      <w:r>
        <w:t xml:space="preserve"> </w:t>
      </w:r>
      <w:r>
        <w:t xml:space="preserve">This report summarizes the 2026 Jack Mackerel Working Group benchmark meeting.</w:t>
      </w:r>
      <w:r>
        <w:t xml:space="preserve"> </w:t>
      </w:r>
      <w:r>
        <w:t xml:space="preserve">It records the main workshop decisions, agreed recommendations, unresolved</w:t>
      </w:r>
      <w:r>
        <w:t xml:space="preserve"> </w:t>
      </w:r>
      <w:r>
        <w:t xml:space="preserve">technical issues, and follow-up tasks needed to support the June 2026 management</w:t>
      </w:r>
      <w:r>
        <w:t xml:space="preserve"> </w:t>
      </w:r>
      <w:r>
        <w:t xml:space="preserve">strategy evaluation workshop and subsequent Scientific Committee review.</w:t>
      </w:r>
    </w:p>
    <w:p>
      <w:pPr>
        <w:pStyle w:val="BodyText"/>
      </w:pPr>
      <w:r>
        <w:rPr>
          <w:b/>
          <w:bCs/>
        </w:rPr>
        <w:t xml:space="preserve">3.</w:t>
      </w:r>
      <w:r>
        <w:t xml:space="preserve"> </w:t>
      </w:r>
      <w:r>
        <w:t xml:space="preserve">The benchmark meeting focused on assessment inputs, abundance-index evaluation,</w:t>
      </w:r>
      <w:r>
        <w:t xml:space="preserve"> </w:t>
      </w:r>
      <w:r>
        <w:t xml:space="preserve">biological data and assumptions, assessment-model simplification,</w:t>
      </w:r>
      <w:r>
        <w:t xml:space="preserve"> </w:t>
      </w:r>
      <w:r>
        <w:t xml:space="preserve">operating-model conditioning, and priorities for the MSE work programme. The</w:t>
      </w:r>
      <w:r>
        <w:t xml:space="preserve"> </w:t>
      </w:r>
      <w:r>
        <w:t xml:space="preserve">report was developed from meeting notes, technical presentations, comments, and</w:t>
      </w:r>
      <w:r>
        <w:t xml:space="preserve"> </w:t>
      </w:r>
      <w:r>
        <w:t xml:space="preserve">working-group discussion. Artificial intelligence tools were used extensively to</w:t>
      </w:r>
      <w:r>
        <w:t xml:space="preserve"> </w:t>
      </w:r>
      <w:r>
        <w:t xml:space="preserve">help convert notes and comments into report text, with content reviewed and</w:t>
      </w:r>
      <w:r>
        <w:t xml:space="preserve"> </w:t>
      </w:r>
      <w:r>
        <w:t xml:space="preserve">edited by the report authors and meeting participants.</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rPr>
          <w:b/>
          <w:bCs/>
        </w:rPr>
        <w:t xml:space="preserve">4.</w:t>
      </w:r>
      <w:r>
        <w:t xml:space="preserve"> </w:t>
      </w: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rPr>
          <w:b/>
          <w:bCs/>
        </w:rPr>
        <w:t xml:space="preserve">5.</w:t>
      </w:r>
      <w:r>
        <w:t xml:space="preserve"> </w:t>
      </w: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rPr>
          <w:b/>
          <w:bCs/>
        </w:rPr>
        <w:t xml:space="preserve">6.</w:t>
      </w:r>
      <w:r>
        <w:t xml:space="preserve"> </w:t>
      </w: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rPr>
          <w:b/>
          <w:bCs/>
        </w:rPr>
        <w:t xml:space="preserve">7.</w:t>
      </w:r>
      <w:r>
        <w:t xml:space="preserve"> </w:t>
      </w: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rPr>
          <w:b/>
          <w:bCs/>
        </w:rPr>
        <w:t xml:space="preserve">8.</w:t>
      </w:r>
      <w:r>
        <w:t xml:space="preserve"> </w:t>
      </w: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rPr>
          <w:b/>
          <w:bCs/>
        </w:rPr>
        <w:t xml:space="preserve">9.</w:t>
      </w:r>
      <w:r>
        <w:t xml:space="preserve"> </w:t>
      </w: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rPr>
          <w:b/>
          <w:bCs/>
        </w:rPr>
        <w:t xml:space="preserve">10.</w:t>
      </w:r>
      <w:r>
        <w:t xml:space="preserve"> </w:t>
      </w: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rPr>
          <w:b/>
          <w:bCs/>
        </w:rPr>
        <w:t xml:space="preserve">11.</w:t>
      </w:r>
      <w:r>
        <w:t xml:space="preserve"> </w:t>
      </w: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66" w:name="key-discussion-summary"/>
    <w:p>
      <w:pPr>
        <w:pStyle w:val="Heading1"/>
      </w:pPr>
      <w:r>
        <w:t xml:space="preserve">Key Discussion Summary</w:t>
      </w:r>
    </w:p>
    <w:bookmarkStart w:id="19" w:name="general-data-recommendations"/>
    <w:p>
      <w:pPr>
        <w:pStyle w:val="Heading2"/>
      </w:pPr>
      <w:r>
        <w:t xml:space="preserve">General data recommendations</w:t>
      </w:r>
    </w:p>
    <w:p>
      <w:pPr>
        <w:pStyle w:val="FirstParagraph"/>
      </w:pPr>
      <w:r>
        <w:rPr>
          <w:b/>
          <w:bCs/>
        </w:rPr>
        <w:t xml:space="preserve">12.</w:t>
      </w:r>
      <w:r>
        <w:t xml:space="preserve"> </w:t>
      </w: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rPr>
          <w:b/>
          <w:bCs/>
        </w:rPr>
        <w:t xml:space="preserve">13.</w:t>
      </w:r>
      <w:r>
        <w:t xml:space="preserve"> </w:t>
      </w:r>
      <w:r>
        <w:t xml:space="preserve">The catch and fishery data quality-check presentation emphasized that the JMWG</w:t>
      </w:r>
      <w:r>
        <w:t xml:space="preserve"> </w:t>
      </w:r>
      <w:r>
        <w:t xml:space="preserve">has historically worked under a compressed assessment-data schedule. Members</w:t>
      </w:r>
      <w:r>
        <w:t xml:space="preserve"> </w:t>
      </w:r>
      <w:r>
        <w:t xml:space="preserve">noted that the current data-submission templates and associated processing</w:t>
      </w:r>
      <w:r>
        <w:t xml:space="preserve"> </w:t>
      </w:r>
      <w:r>
        <w:t xml:space="preserve">routines are pragmatic tools for meeting that schedule, and that development of</w:t>
      </w:r>
      <w:r>
        <w:t xml:space="preserve"> </w:t>
      </w:r>
      <w:r>
        <w:t xml:space="preserve">Secretariat database infrastructure would not by itself resolve the immediate</w:t>
      </w:r>
      <w:r>
        <w:t xml:space="preserve"> </w:t>
      </w:r>
      <w:r>
        <w:t xml:space="preserve">benchmark needs. The meeting requested that the quality-check work be posted to</w:t>
      </w:r>
      <w:r>
        <w:t xml:space="preserve"> </w:t>
      </w:r>
      <w:r>
        <w:t xml:space="preserve">the</w:t>
      </w:r>
      <w:r>
        <w:t xml:space="preserve"> </w:t>
      </w:r>
      <w:r>
        <w:rPr>
          <w:rStyle w:val="VerbatimChar"/>
        </w:rPr>
        <w:t xml:space="preserve">jjmData</w:t>
      </w:r>
      <w:r>
        <w:t xml:space="preserve"> </w:t>
      </w:r>
      <w:r>
        <w:t xml:space="preserve">GitHub repository, and that the group clarify how members use terms</w:t>
      </w:r>
      <w:r>
        <w:t xml:space="preserve"> </w:t>
      </w:r>
      <w:r>
        <w:t xml:space="preserve">such as sampling, coverage, and sample size. In particular, the meeting requested</w:t>
      </w:r>
      <w:r>
        <w:t xml:space="preserve"> </w:t>
      </w:r>
      <w:r>
        <w:t xml:space="preserve">checks on the age-length-key sample-size reporting to identify discrepancies</w:t>
      </w:r>
      <w:r>
        <w:t xml:space="preserve"> </w:t>
      </w:r>
      <w:r>
        <w:t xml:space="preserve">between reported numbers of ages and numbers of length measurements.</w:t>
      </w:r>
    </w:p>
    <w:bookmarkEnd w:id="19"/>
    <w:bookmarkStart w:id="20" w:name="acoustic-indices"/>
    <w:p>
      <w:pPr>
        <w:pStyle w:val="Heading2"/>
      </w:pPr>
      <w:r>
        <w:t xml:space="preserve">Acoustic Indices</w:t>
      </w:r>
    </w:p>
    <w:p>
      <w:pPr>
        <w:pStyle w:val="FirstParagraph"/>
      </w:pPr>
      <w:r>
        <w:rPr>
          <w:b/>
          <w:bCs/>
        </w:rPr>
        <w:t xml:space="preserve">14.</w:t>
      </w:r>
      <w:r>
        <w:t xml:space="preserve"> </w:t>
      </w: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sonar applications relevant to jack mackerel and anchoveta fisheries, and acoustic information collected by fishing vessels in Peru.</w:t>
      </w:r>
    </w:p>
    <w:p>
      <w:pPr>
        <w:pStyle w:val="BodyText"/>
      </w:pPr>
      <w:r>
        <w:rPr>
          <w:b/>
          <w:bCs/>
        </w:rPr>
        <w:t xml:space="preserve">15.</w:t>
      </w:r>
      <w:r>
        <w:t xml:space="preserve"> </w:t>
      </w: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rPr>
          <w:b/>
          <w:bCs/>
        </w:rPr>
        <w:t xml:space="preserve">16.</w:t>
      </w:r>
      <w:r>
        <w:t xml:space="preserve"> </w:t>
      </w:r>
      <w:r>
        <w:t xml:space="preserve">Presentation summaries are provided in Appendix D. Those tables should be updated</w:t>
      </w:r>
      <w:r>
        <w:t xml:space="preserve"> </w:t>
      </w:r>
      <w:r>
        <w:t xml:space="preserve">as presenters confirm titles, authors, and whether each presentation should be</w:t>
      </w:r>
      <w:r>
        <w:t xml:space="preserve"> </w:t>
      </w:r>
      <w:r>
        <w:t xml:space="preserve">cited as a working paper, supporting presentation, or meeting-record item.</w:t>
      </w:r>
    </w:p>
    <w:p>
      <w:pPr>
        <w:pStyle w:val="BodyText"/>
      </w:pPr>
      <w:r>
        <w:rPr>
          <w:b/>
          <w:bCs/>
        </w:rPr>
        <w:t xml:space="preserve">17.</w:t>
      </w:r>
      <w:r>
        <w:t xml:space="preserve"> </w:t>
      </w: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rPr>
          <w:b/>
          <w:bCs/>
        </w:rPr>
        <w:t xml:space="preserve">18.</w:t>
      </w:r>
      <w:r>
        <w:t xml:space="preserve"> </w:t>
      </w: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rPr>
          <w:b/>
          <w:bCs/>
        </w:rPr>
        <w:t xml:space="preserve">19.</w:t>
      </w:r>
      <w:r>
        <w:t xml:space="preserve"> </w:t>
      </w: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the distribution of fish in 2026 compared to 2025 was more patchy, which</w:t>
      </w:r>
      <w:r>
        <w:t xml:space="preserve"> </w:t>
      </w:r>
      <w:r>
        <w:t xml:space="preserve">may render it largely undetectable by acoustics, and that acoustic-trawl</w:t>
      </w:r>
      <w:r>
        <w:t xml:space="preserve"> </w:t>
      </w:r>
      <w:r>
        <w:t xml:space="preserve">operations were most effective around dawn, when jack mackerel tended to</w:t>
      </w:r>
      <w:r>
        <w:t xml:space="preserve"> </w:t>
      </w:r>
      <w:r>
        <w:t xml:space="preserve">concentrate.</w:t>
      </w:r>
    </w:p>
    <w:p>
      <w:pPr>
        <w:pStyle w:val="BodyText"/>
      </w:pPr>
      <w:r>
        <w:rPr>
          <w:b/>
          <w:bCs/>
        </w:rPr>
        <w:t xml:space="preserve">20.</w:t>
      </w:r>
      <w:r>
        <w:t xml:space="preserve"> </w:t>
      </w:r>
      <w:r>
        <w:t xml:space="preserve">The working group had a long discussion about whether to include the most recent</w:t>
      </w:r>
      <w:r>
        <w:t xml:space="preserve"> </w:t>
      </w:r>
      <w:r>
        <w:t xml:space="preserve">2026 acoustic survey data point in the assessment runs, noting that the survey</w:t>
      </w:r>
      <w:r>
        <w:t xml:space="preserve"> </w:t>
      </w:r>
      <w:r>
        <w:t xml:space="preserve">biomass estimate had declined from more than 3 million t in 2025 to a</w:t>
      </w:r>
      <w:r>
        <w:t xml:space="preserve"> </w:t>
      </w:r>
      <w:r>
        <w:t xml:space="preserve">preliminary value just over 0.64 million t in 2026. Members also noted that the</w:t>
      </w:r>
      <w:r>
        <w:t xml:space="preserve"> </w:t>
      </w:r>
      <w:r>
        <w:t xml:space="preserve">Chilean fleet’s year-to-date catch was about 30% of the comparable catch level</w:t>
      </w:r>
      <w:r>
        <w:t xml:space="preserve"> </w:t>
      </w:r>
      <w:r>
        <w:t xml:space="preserve">from the previous year. The Chair requested that members provide their best</w:t>
      </w:r>
      <w:r>
        <w:t xml:space="preserve"> </w:t>
      </w:r>
      <w:r>
        <w:t xml:space="preserve">estimate of the most likely 2026 catch so that at least some indication of the</w:t>
      </w:r>
      <w:r>
        <w:t xml:space="preserve"> </w:t>
      </w:r>
      <w:r>
        <w:t xml:space="preserve">apparent stock trend could be relayed before the MSE meeting and Scientific</w:t>
      </w:r>
      <w:r>
        <w:t xml:space="preserve"> </w:t>
      </w:r>
      <w:r>
        <w:t xml:space="preserve">Committee review. Part</w:t>
      </w:r>
      <w:r>
        <w:t xml:space="preserve"> </w:t>
      </w:r>
      <w:r>
        <w:t xml:space="preserve">of the difficulty was that the benchmark had two related but distinct goals: to</w:t>
      </w:r>
      <w:r>
        <w:t xml:space="preserve"> </w:t>
      </w:r>
      <w:r>
        <w:t xml:space="preserve">improve future assessment modelling, and to generate appropriate scenarios for</w:t>
      </w:r>
      <w:r>
        <w:t xml:space="preserve"> </w:t>
      </w:r>
      <w:r>
        <w:t xml:space="preserve">MSE testing. If the benchmark were being used only to improve the assessment,</w:t>
      </w:r>
      <w:r>
        <w:t xml:space="preserve"> </w:t>
      </w:r>
      <w:r>
        <w:t xml:space="preserve">there would be less immediate need to resolve the 2026 treatment because the</w:t>
      </w:r>
      <w:r>
        <w:t xml:space="preserve"> </w:t>
      </w:r>
      <w:r>
        <w:t xml:space="preserve">issue could be taken up at the Scientific Committee meeting later in the year.</w:t>
      </w:r>
      <w:r>
        <w:t xml:space="preserve"> </w:t>
      </w:r>
      <w:r>
        <w:t xml:space="preserve">However, the need to define plausible MSE scenarios made the question more</w:t>
      </w:r>
      <w:r>
        <w:t xml:space="preserve"> </w:t>
      </w:r>
      <w:r>
        <w:t xml:space="preserve">time-sensitive. One member was reluctant to conduct that model run, citing too</w:t>
      </w:r>
      <w:r>
        <w:t xml:space="preserve"> </w:t>
      </w:r>
      <w:r>
        <w:t xml:space="preserve">much uncertainty in estimating 2026 catch levels, even as a sensitivity. The</w:t>
      </w:r>
      <w:r>
        <w:t xml:space="preserve"> </w:t>
      </w:r>
      <w:r>
        <w:t xml:space="preserve">group noted the awkwardness of proposing an MSE under conditions that appear to</w:t>
      </w:r>
      <w:r>
        <w:t xml:space="preserve"> </w:t>
      </w:r>
      <w:r>
        <w:t xml:space="preserve">be exceptional, given the apparent dispersion of jack mackerel and pending El</w:t>
      </w:r>
      <w:r>
        <w:t xml:space="preserve"> </w:t>
      </w:r>
      <w:r>
        <w:t xml:space="preserve">Nino conditions.</w:t>
      </w:r>
    </w:p>
    <w:p>
      <w:pPr>
        <w:pStyle w:val="BodyText"/>
      </w:pPr>
      <w:r>
        <w:rPr>
          <w:b/>
          <w:bCs/>
        </w:rPr>
        <w:t xml:space="preserve">21.</w:t>
      </w:r>
      <w:r>
        <w:t xml:space="preserve"> </w:t>
      </w: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rPr>
          <w:b/>
          <w:bCs/>
        </w:rPr>
        <w:t xml:space="preserve">22.</w:t>
      </w:r>
      <w:r>
        <w:t xml:space="preserve"> </w:t>
      </w: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second northern Chile analysis also used</w:t>
      </w:r>
      <w:r>
        <w:t xml:space="preserve"> </w:t>
      </w:r>
      <w:r>
        <w:rPr>
          <w:rStyle w:val="VerbatimChar"/>
        </w:rPr>
        <w:t xml:space="preserve">sdmTMB</w:t>
      </w:r>
      <w:r>
        <w:t xml:space="preserve">, with acoustic</w:t>
      </w:r>
      <w:r>
        <w:t xml:space="preserve"> </w:t>
      </w:r>
      <w:r>
        <w:t xml:space="preserve">information converted to biomass using biological data, and participants</w:t>
      </w:r>
      <w:r>
        <w:t xml:space="preserve"> </w:t>
      </w:r>
      <w:r>
        <w:t xml:space="preserve">discussed the roles of occurrence, positive density, anisotropy, and</w:t>
      </w:r>
      <w:r>
        <w:t xml:space="preserve"> </w:t>
      </w:r>
      <w:r>
        <w:t xml:space="preserve">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 The meeting also noted that there would be an advantage to developing</w:t>
      </w:r>
      <w:r>
        <w:t xml:space="preserve"> </w:t>
      </w:r>
      <w:r>
        <w:t xml:space="preserve">a synoptic acoustic survey design that covers the northern to southern parts of</w:t>
      </w:r>
      <w:r>
        <w:t xml:space="preserve"> </w:t>
      </w:r>
      <w:r>
        <w:t xml:space="preserve">Chile, so that future survey information can better distinguish changes in</w:t>
      </w:r>
      <w:r>
        <w:t xml:space="preserve"> </w:t>
      </w:r>
      <w:r>
        <w:t xml:space="preserve">abundance from shifts in distribution and availability.</w:t>
      </w:r>
    </w:p>
    <w:p>
      <w:pPr>
        <w:pStyle w:val="BodyText"/>
      </w:pPr>
      <w:r>
        <w:rPr>
          <w:b/>
          <w:bCs/>
        </w:rPr>
        <w:t xml:space="preserve">23.</w:t>
      </w:r>
      <w:r>
        <w:t xml:space="preserve"> </w:t>
      </w:r>
      <w:r>
        <w:t xml:space="preserve">On Day 3, the meeting revisited the Chile Acoustic North survey treatment.</w:t>
      </w:r>
      <w:r>
        <w:t xml:space="preserve"> </w:t>
      </w:r>
      <w:r>
        <w:t xml:space="preserve">Participants noted that the spatio-temporal modelling work by INPESCA is a</w:t>
      </w:r>
      <w:r>
        <w:t xml:space="preserve"> </w:t>
      </w:r>
      <w:r>
        <w:t xml:space="preserve">substantial contribution and should be acknowledged in the report. The group</w:t>
      </w:r>
      <w:r>
        <w:t xml:space="preserve"> </w:t>
      </w:r>
      <w:r>
        <w:t xml:space="preserve">noted that spatio-temporal modelling of acoustic data is generally less common</w:t>
      </w:r>
      <w:r>
        <w:t xml:space="preserve"> </w:t>
      </w:r>
      <w:r>
        <w:t xml:space="preserve">than spatio-temporal standardization of CPUE. The latter time series is</w:t>
      </w:r>
      <w:r>
        <w:t xml:space="preserve"> </w:t>
      </w:r>
      <w:r>
        <w:t xml:space="preserve">largely affected by fishers’ choice, which often disguises changes in population</w:t>
      </w:r>
      <w:r>
        <w:t xml:space="preserve"> </w:t>
      </w:r>
      <w:r>
        <w:t xml:space="preserve">densities. The Chile Acoustic North survey, however, follows a design-based</w:t>
      </w:r>
      <w:r>
        <w:t xml:space="preserve"> </w:t>
      </w:r>
      <w:r>
        <w:t xml:space="preserve">approach with pre-determined transects that are largely comparable across years</w:t>
      </w:r>
      <w:r>
        <w:t xml:space="preserve"> </w:t>
      </w:r>
      <w:r>
        <w:t xml:space="preserve">and hence do not suffer from fisheries behaviour in the same way. It is assumed</w:t>
      </w:r>
      <w:r>
        <w:t xml:space="preserve"> </w:t>
      </w:r>
      <w:r>
        <w:t xml:space="preserve">that the survey observes all relevant fish densities in the area and hence does</w:t>
      </w:r>
      <w:r>
        <w:t xml:space="preserve"> </w:t>
      </w:r>
      <w:r>
        <w:t xml:space="preserve">not require interpolation or extrapolation to other areas such as those used for</w:t>
      </w:r>
      <w:r>
        <w:t xml:space="preserve"> </w:t>
      </w:r>
      <w:r>
        <w:t xml:space="preserve">the CPUE standardization. The Day 3 decision was to retain the raw or</w:t>
      </w:r>
      <w:r>
        <w:t xml:space="preserve"> </w:t>
      </w:r>
      <w:r>
        <w:t xml:space="preserve">design-based acoustic biomass treatment for assessment use at this stage, while</w:t>
      </w:r>
      <w:r>
        <w:t xml:space="preserve"> </w:t>
      </w:r>
      <w:r>
        <w:t xml:space="preserve">using the spatio-temporal acoustic modelling as research and diagnostic</w:t>
      </w:r>
      <w:r>
        <w:t xml:space="preserve"> </w:t>
      </w:r>
      <w:r>
        <w:t xml:space="preserve">information rather than as a replacement base-model index.</w:t>
      </w:r>
    </w:p>
    <w:p>
      <w:pPr>
        <w:pStyle w:val="BodyText"/>
      </w:pPr>
      <w:r>
        <w:rPr>
          <w:b/>
          <w:bCs/>
        </w:rPr>
        <w:t xml:space="preserve">24.</w:t>
      </w:r>
      <w:r>
        <w:t xml:space="preserve"> </w:t>
      </w: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and seasonal shifts.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w:t>
      </w:r>
      <w:r>
        <w:t xml:space="preserve"> </w:t>
      </w:r>
      <w:r>
        <w:t xml:space="preserve">as a diagnostic or future sensitivity until the effects of seasonality, vessel</w:t>
      </w:r>
      <w:r>
        <w:t xml:space="preserve"> </w:t>
      </w:r>
      <w:r>
        <w:t xml:space="preserve">coverage, and fleet behaviour are better understood.</w:t>
      </w:r>
    </w:p>
    <w:p>
      <w:pPr>
        <w:pStyle w:val="BodyText"/>
      </w:pPr>
      <w:r>
        <w:rPr>
          <w:b/>
          <w:bCs/>
        </w:rPr>
        <w:t xml:space="preserve">25.</w:t>
      </w:r>
      <w:r>
        <w:t xml:space="preserve"> </w:t>
      </w:r>
      <w:r>
        <w:t xml:space="preserve">For the Chile South-Central acoustic survey time series, participants noted that</w:t>
      </w:r>
      <w:r>
        <w:t xml:space="preserve"> </w:t>
      </w:r>
      <w:r>
        <w:t xml:space="preserve">significant changes in acoustic survey sampling designs have been necessary to</w:t>
      </w:r>
      <w:r>
        <w:t xml:space="preserve"> </w:t>
      </w:r>
      <w:r>
        <w:t xml:space="preserve">track shifts in Chilean jack mackerel distribution. During the early part of the</w:t>
      </w:r>
      <w:r>
        <w:t xml:space="preserve"> </w:t>
      </w:r>
      <w:r>
        <w:t xml:space="preserve">series, from 1997-2003, survey cruises maintained a relatively stable transect</w:t>
      </w:r>
      <w:r>
        <w:t xml:space="preserve"> </w:t>
      </w:r>
      <w:r>
        <w:t xml:space="preserve">design focused on the coastal zone, approximately the first 100 nmi from</w:t>
      </w:r>
      <w:r>
        <w:t xml:space="preserve"> </w:t>
      </w:r>
      <w:r>
        <w:t xml:space="preserve">Valparaiso (33 degrees S) to Corral (40 degrees S). This was followed by an</w:t>
      </w:r>
      <w:r>
        <w:t xml:space="preserve"> </w:t>
      </w:r>
      <w:r>
        <w:t xml:space="preserve">extended period from 2004-2017 characterized by annual changes to transect</w:t>
      </w:r>
      <w:r>
        <w:t xml:space="preserve"> </w:t>
      </w:r>
      <w:r>
        <w:t xml:space="preserve">design, driven primarily by offshore movement of jack mackerel into oceanic</w:t>
      </w:r>
      <w:r>
        <w:t xml:space="preserve"> </w:t>
      </w:r>
      <w:r>
        <w:t xml:space="preserve">waters. This spatial shift is supported by commercial fleet catch distributions,</w:t>
      </w:r>
      <w:r>
        <w:t xml:space="preserve"> </w:t>
      </w:r>
      <w:r>
        <w:t xml:space="preserve">which show vessels operating up to 800 nmi from the coast in search of fishing</w:t>
      </w:r>
      <w:r>
        <w:t xml:space="preserve"> </w:t>
      </w:r>
      <w:r>
        <w:t xml:space="preserve">grounds. In some years the survey could not operate, while in other years</w:t>
      </w:r>
      <w:r>
        <w:t xml:space="preserve"> </w:t>
      </w:r>
      <w:r>
        <w:t xml:space="preserve">operational and administrative issues may have resulted in false negatives in</w:t>
      </w:r>
      <w:r>
        <w:t xml:space="preserve"> </w:t>
      </w:r>
      <w:r>
        <w:t xml:space="preserve">the acoustic data, particularly during 2009-2015.</w:t>
      </w:r>
    </w:p>
    <w:p>
      <w:pPr>
        <w:pStyle w:val="BodyText"/>
      </w:pPr>
      <w:r>
        <w:rPr>
          <w:b/>
          <w:bCs/>
        </w:rPr>
        <w:t xml:space="preserve">26.</w:t>
      </w:r>
      <w:r>
        <w:t xml:space="preserve"> </w:t>
      </w:r>
      <w:r>
        <w:t xml:space="preserve">These methodological changes raised concerns about comparability of survey</w:t>
      </w:r>
      <w:r>
        <w:t xml:space="preserve"> </w:t>
      </w:r>
      <w:r>
        <w:t xml:space="preserve">results over time, including changes in the number of transects, longitudinal</w:t>
      </w:r>
      <w:r>
        <w:t xml:space="preserve"> </w:t>
      </w:r>
      <w:r>
        <w:t xml:space="preserve">extent, latitudinal extent, and overall study area. Consequently, only a</w:t>
      </w:r>
      <w:r>
        <w:t xml:space="preserve"> </w:t>
      </w:r>
      <w:r>
        <w:t xml:space="preserve">restricted period of the time series, 2001-2009, has historically been used for</w:t>
      </w:r>
      <w:r>
        <w:t xml:space="preserve"> </w:t>
      </w:r>
      <w:r>
        <w:t xml:space="preserve">jack mackerel stock assessments, consistent with the SCW14 benchmark agreement.</w:t>
      </w:r>
      <w:r>
        <w:t xml:space="preserve"> </w:t>
      </w:r>
      <w:r>
        <w:t xml:space="preserve">Participants noted that modifying acoustic survey design is essential for highly</w:t>
      </w:r>
      <w:r>
        <w:t xml:space="preserve"> </w:t>
      </w:r>
      <w:r>
        <w:t xml:space="preserve">mobile pelagic stocks whose spatial distributions shift with changing</w:t>
      </w:r>
      <w:r>
        <w:t xml:space="preserve"> </w:t>
      </w:r>
      <w:r>
        <w:t xml:space="preserve">oceanographic conditions. Fixed historical grids can bias abundance estimates</w:t>
      </w:r>
      <w:r>
        <w:t xml:space="preserve"> </w:t>
      </w:r>
      <w:r>
        <w:t xml:space="preserve">when fish move beyond the original sampling frame, while adaptive sampling</w:t>
      </w:r>
      <w:r>
        <w:t xml:space="preserve"> </w:t>
      </w:r>
      <w:r>
        <w:t xml:space="preserve">protocols that track density boundaries can reduce these errors. However,</w:t>
      </w:r>
      <w:r>
        <w:t xml:space="preserve"> </w:t>
      </w:r>
      <w:r>
        <w:t xml:space="preserve">fluctuating survey areas also challenge the assumption of constant catchability,</w:t>
      </w:r>
      <w:r>
        <w:t xml:space="preserve"> </w:t>
      </w:r>
      <w:r>
        <w:t xml:space="preserve">making raw design-based indices difficult to use directly in population models</w:t>
      </w:r>
      <w:r>
        <w:t xml:space="preserve"> </w:t>
      </w:r>
      <w:r>
        <w:t xml:space="preserve">without additional standardization. Spatio-temporal standardization approaches,</w:t>
      </w:r>
      <w:r>
        <w:t xml:space="preserve"> </w:t>
      </w:r>
      <w:r>
        <w:t xml:space="preserve">including methods such as VAST, were identified as tools that could account for</w:t>
      </w:r>
      <w:r>
        <w:t xml:space="preserve"> </w:t>
      </w:r>
      <w:r>
        <w:t xml:space="preserve">the varying survey footprint and generate a more robust continuous biomass index</w:t>
      </w:r>
      <w:r>
        <w:t xml:space="preserve"> </w:t>
      </w:r>
      <w:r>
        <w:t xml:space="preserve">for modern assessments. Chile noted that a project is underway to improve jack</w:t>
      </w:r>
      <w:r>
        <w:t xml:space="preserve"> </w:t>
      </w:r>
      <w:r>
        <w:t xml:space="preserve">mackerel hydroacoustic surveys through optimized survey design, estimation of</w:t>
      </w:r>
      <w:r>
        <w:t xml:space="preserve"> </w:t>
      </w:r>
      <w:r>
        <w:t xml:space="preserve">mean acoustic density and associated uncertainty, and standardization of</w:t>
      </w:r>
      <w:r>
        <w:t xml:space="preserve"> </w:t>
      </w:r>
      <w:r>
        <w:t xml:space="preserve">historical survey time series using Bayesian and/or classical approaches. The</w:t>
      </w:r>
      <w:r>
        <w:t xml:space="preserve"> </w:t>
      </w:r>
      <w:r>
        <w:t xml:space="preserve">project also aims to propose standardized abundance and biomass indices derived</w:t>
      </w:r>
      <w:r>
        <w:t xml:space="preserve"> </w:t>
      </w:r>
      <w:r>
        <w:t xml:space="preserve">from jack mackerel acoustic surveys, with results expected to be presented at a</w:t>
      </w:r>
      <w:r>
        <w:t xml:space="preserve"> </w:t>
      </w:r>
      <w:r>
        <w:t xml:space="preserve">future SPRFMO Scientific Committee meeting for consideration in the jack mackerel</w:t>
      </w:r>
      <w:r>
        <w:t xml:space="preserve"> </w:t>
      </w:r>
      <w:r>
        <w:t xml:space="preserve">stock assessment model.</w:t>
      </w:r>
    </w:p>
    <w:p>
      <w:pPr>
        <w:pStyle w:val="BodyText"/>
      </w:pPr>
      <w:r>
        <w:rPr>
          <w:b/>
          <w:bCs/>
        </w:rPr>
        <w:t xml:space="preserve">27.</w:t>
      </w:r>
      <w:r>
        <w:t xml:space="preserve"> </w:t>
      </w: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For the new acoustic surveys</w:t>
      </w:r>
      <w:r>
        <w:t xml:space="preserve"> </w:t>
      </w:r>
      <w:r>
        <w:t xml:space="preserve">in the Peruvian zone, the length-composition effective sample size was scaled to</w:t>
      </w:r>
      <w:r>
        <w:t xml:space="preserve"> </w:t>
      </w:r>
      <w:r>
        <w:t xml:space="preserve">the number of survey tows that included jack mackerel. For scaling, large</w:t>
      </w:r>
      <w:r>
        <w:t xml:space="preserve"> </w:t>
      </w:r>
      <w:r>
        <w:t xml:space="preserve">numbers of tows were capped at 30, and the survey vector was then rescaled to an</w:t>
      </w:r>
      <w:r>
        <w:t xml:space="preserve"> </w:t>
      </w:r>
      <w:r>
        <w:t xml:space="preserve">average effective sample size of 15, consistent with other surveys of this type.</w:t>
      </w:r>
      <w:r>
        <w:t xml:space="preserve"> </w:t>
      </w:r>
      <w:r>
        <w:t xml:space="preserve">The meeting also noted that summer and winter surveys may need to be treated</w:t>
      </w:r>
      <w:r>
        <w:t xml:space="preserve"> </w:t>
      </w:r>
      <w:r>
        <w:t xml:space="preserve">separately because seasonal differences and contrasting within-year values may</w:t>
      </w:r>
      <w:r>
        <w:t xml:space="preserve"> </w:t>
      </w:r>
      <w:r>
        <w:t xml:space="preserve">contain useful information. Day 3 follow-up items included checking that the</w:t>
      </w:r>
      <w:r>
        <w:t xml:space="preserve"> </w:t>
      </w:r>
      <w:r>
        <w:t xml:space="preserve">average survey month and seasonal assignment were implemented correctly in the</w:t>
      </w:r>
      <w:r>
        <w:t xml:space="preserve"> </w:t>
      </w:r>
      <w:r>
        <w:t xml:space="preserve">model runs, reviewing fits to zero observations, and obtaining survey length</w:t>
      </w:r>
      <w:r>
        <w:t xml:space="preserve"> </w:t>
      </w:r>
      <w:r>
        <w:t xml:space="preserve">frequencies as soon as possible.</w:t>
      </w:r>
    </w:p>
    <w:p>
      <w:pPr>
        <w:pStyle w:val="BodyText"/>
      </w:pPr>
      <w:r>
        <w:rPr>
          <w:b/>
          <w:bCs/>
        </w:rPr>
        <w:t xml:space="preserve">28.</w:t>
      </w:r>
      <w:r>
        <w:t xml:space="preserve"> </w:t>
      </w: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r>
        <w:rPr>
          <w:b/>
          <w:bCs/>
        </w:rPr>
        <w:t xml:space="preserve">29.</w:t>
      </w:r>
      <w:r>
        <w:t xml:space="preserve"> </w:t>
      </w: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bookmarkEnd w:id="20"/>
    <w:bookmarkStart w:id="35" w:name="cpue-indices"/>
    <w:p>
      <w:pPr>
        <w:pStyle w:val="Heading2"/>
      </w:pPr>
      <w:r>
        <w:t xml:space="preserve">CPUE Indices</w:t>
      </w:r>
    </w:p>
    <w:p>
      <w:pPr>
        <w:pStyle w:val="FirstParagraph"/>
      </w:pPr>
      <w:r>
        <w:rPr>
          <w:b/>
          <w:bCs/>
        </w:rPr>
        <w:t xml:space="preserve">30.</w:t>
      </w:r>
      <w:r>
        <w:t xml:space="preserve"> </w:t>
      </w:r>
      <w:r>
        <w:t xml:space="preserve">The Day 2 CPUE session reviewed catch and fishery data quality checks, Chilean</w:t>
      </w:r>
      <w:r>
        <w:t xml:space="preserve"> </w:t>
      </w:r>
      <w:r>
        <w:t xml:space="preserve">effort-creep correction, spatio-temporal Chilean CPUE standardization using</w:t>
      </w:r>
      <w:r>
        <w:t xml:space="preserve"> </w:t>
      </w:r>
      <w:r>
        <w:rPr>
          <w:rStyle w:val="VerbatimChar"/>
        </w:rPr>
        <w:t xml:space="preserve">sdmTMB</w:t>
      </w:r>
      <w:r>
        <w:t xml:space="preserve"> </w:t>
      </w:r>
      <w:r>
        <w:t xml:space="preserve">and INLA-based approaches, Peruvian CPUE standardization, and offshore</w:t>
      </w:r>
      <w:r>
        <w:t xml:space="preserve"> </w:t>
      </w:r>
      <w:r>
        <w:t xml:space="preserve">CPUE treatment. The discussion focused on whether candidate CPUE products are</w:t>
      </w:r>
      <w:r>
        <w:t xml:space="preserve"> </w:t>
      </w:r>
      <w:r>
        <w:t xml:space="preserve">ready for assessment use, what additional diagnostics are needed, and how to</w:t>
      </w:r>
      <w:r>
        <w:t xml:space="preserve"> </w:t>
      </w:r>
      <w:r>
        <w:t xml:space="preserve">document any change from the current assessment CPUE treatment.</w:t>
      </w:r>
    </w:p>
    <w:p>
      <w:pPr>
        <w:pStyle w:val="BodyText"/>
      </w:pPr>
      <w:r>
        <w:rPr>
          <w:b/>
          <w:bCs/>
        </w:rPr>
        <w:t xml:space="preserve">31.</w:t>
      </w:r>
      <w:r>
        <w:t xml:space="preserve"> </w:t>
      </w:r>
      <w:r>
        <w:t xml:space="preserve">During the evaluation of the modelling procedure for the Chilean South-Central</w:t>
      </w:r>
      <w:r>
        <w:t xml:space="preserve"> </w:t>
      </w:r>
      <w:r>
        <w:t xml:space="preserve">(SC) fleet abundance index, benchmark participants deliberated on the most</w:t>
      </w:r>
      <w:r>
        <w:t xml:space="preserve"> </w:t>
      </w:r>
      <w:r>
        <w:t xml:space="preserve">robust method to account for effort creep. Initial positions diverged, with</w:t>
      </w:r>
      <w:r>
        <w:t xml:space="preserve"> </w:t>
      </w:r>
      <w:r>
        <w:t xml:space="preserve">Chile proposing to apply an informed correction factor from 2005 onwards,</w:t>
      </w:r>
      <w:r>
        <w:t xml:space="preserve"> </w:t>
      </w:r>
      <w:r>
        <w:t xml:space="preserve">whereas the EU advocated for maintaining a fixed 1% compounded factor across the</w:t>
      </w:r>
      <w:r>
        <w:t xml:space="preserve"> </w:t>
      </w:r>
      <w:r>
        <w:t xml:space="preserve">entire time series. Arguments suggesting continuous improvement in efficiency</w:t>
      </w:r>
      <w:r>
        <w:t xml:space="preserve"> </w:t>
      </w:r>
      <w:r>
        <w:t xml:space="preserve">focused on development in gear technology, improved online communication between</w:t>
      </w:r>
      <w:r>
        <w:t xml:space="preserve"> </w:t>
      </w:r>
      <w:r>
        <w:t xml:space="preserve">skippers via WhatsApp, improved echosounders and sonars, and newly available</w:t>
      </w:r>
      <w:r>
        <w:t xml:space="preserve"> </w:t>
      </w:r>
      <w:r>
        <w:t xml:space="preserve">AI-derived predictions of resource density via providers such as Greenfish.</w:t>
      </w:r>
      <w:r>
        <w:t xml:space="preserve"> </w:t>
      </w:r>
      <w:r>
        <w:t xml:space="preserve">Industry representatives from several member countries corroborated that these</w:t>
      </w:r>
      <w:r>
        <w:t xml:space="preserve"> </w:t>
      </w:r>
      <w:r>
        <w:t xml:space="preserve">innovations increased fishing efficiency. After extensive discussion, it was</w:t>
      </w:r>
      <w:r>
        <w:t xml:space="preserve"> </w:t>
      </w:r>
      <w:r>
        <w:t xml:space="preserve">agreed to proceed with Chile’s proposal and apply a 1% compounded increase creep</w:t>
      </w:r>
      <w:r>
        <w:t xml:space="preserve"> </w:t>
      </w:r>
      <w:r>
        <w:t xml:space="preserve">factor up to 2004, followed by a transition to the p10 correction factor from</w:t>
      </w:r>
      <w:r>
        <w:t xml:space="preserve"> </w:t>
      </w:r>
      <w:r>
        <w:t xml:space="preserve">2005 onward, where a fixed multiplicative factor of 0.669 is applied to the</w:t>
      </w:r>
      <w:r>
        <w:t xml:space="preserve"> </w:t>
      </w:r>
      <w:r>
        <w:t xml:space="preserve">abundance index, as proposed by Zenteno and Paya (2026). The EU objected and the</w:t>
      </w:r>
      <w:r>
        <w:t xml:space="preserve"> </w:t>
      </w:r>
      <w:r>
        <w:t xml:space="preserve">Chair noted that it could be raised again at SC but should not have a large</w:t>
      </w:r>
      <w:r>
        <w:t xml:space="preserve"> </w:t>
      </w:r>
      <w:r>
        <w:t xml:space="preserve">effect on making progress with the MSE.</w:t>
      </w:r>
    </w:p>
    <w:p>
      <w:pPr>
        <w:pStyle w:val="BodyText"/>
      </w:pPr>
      <w:r>
        <w:rPr>
          <w:b/>
          <w:bCs/>
        </w:rPr>
        <w:t xml:space="preserve">32.</w:t>
      </w:r>
      <w:r>
        <w:t xml:space="preserve"> </w:t>
      </w:r>
      <w:r>
        <w:t xml:space="preserve">Participants also discussed whether applying the creep factor as an effort</w:t>
      </w:r>
      <w:r>
        <w:t xml:space="preserve"> </w:t>
      </w:r>
      <w:r>
        <w:t xml:space="preserve">correction is equivalent to imposing a catchability change, and whether the</w:t>
      </w:r>
      <w:r>
        <w:t xml:space="preserve"> </w:t>
      </w:r>
      <w:r>
        <w:t xml:space="preserve">survey/interview information used to estimate creep can be maintained regularly.</w:t>
      </w:r>
      <w:r>
        <w:t xml:space="preserve"> </w:t>
      </w:r>
      <w:r>
        <w:t xml:space="preserve">The meeting noted that the artisanal fleet now accounts for a larger share of</w:t>
      </w:r>
      <w:r>
        <w:t xml:space="preserve"> </w:t>
      </w:r>
      <w:r>
        <w:t xml:space="preserve">Chilean catch and may need to be considered in future effort-creep work. As a</w:t>
      </w:r>
      <w:r>
        <w:t xml:space="preserve"> </w:t>
      </w:r>
      <w:r>
        <w:t xml:space="preserve">diagnostic, the meeting requested a model run with no creep correction but with a</w:t>
      </w:r>
      <w:r>
        <w:t xml:space="preserve"> </w:t>
      </w:r>
      <w:r>
        <w:t xml:space="preserve">catchability step change in 2005, to evaluate whether the assessment estimates a</w:t>
      </w:r>
      <w:r>
        <w:t xml:space="preserve"> </w:t>
      </w:r>
      <w:r>
        <w:t xml:space="preserve">large catchability shift without imposing the creep correction directly.</w:t>
      </w:r>
    </w:p>
    <w:p>
      <w:pPr>
        <w:pStyle w:val="BodyText"/>
      </w:pPr>
      <w:r>
        <w:rPr>
          <w:b/>
          <w:bCs/>
        </w:rPr>
        <w:t xml:space="preserve">33.</w:t>
      </w:r>
      <w:r>
        <w:t xml:space="preserve"> </w:t>
      </w:r>
      <w:r>
        <w:t xml:space="preserve">Chile agreed to continue surveying industry on innovations that may trigger</w:t>
      </w:r>
      <w:r>
        <w:t xml:space="preserve"> </w:t>
      </w:r>
      <w:r>
        <w:t xml:space="preserve">effort-creep corrections in the future.</w:t>
      </w:r>
    </w:p>
    <w:p>
      <w:pPr>
        <w:pStyle w:val="BodyText"/>
      </w:pPr>
      <w:r>
        <w:rPr>
          <w:b/>
          <w:bCs/>
        </w:rPr>
        <w:t xml:space="preserve">34.</w:t>
      </w:r>
      <w:r>
        <w:t xml:space="preserve"> </w:t>
      </w:r>
      <w:r>
        <w:t xml:space="preserve">For the Chilean</w:t>
      </w:r>
      <w:r>
        <w:t xml:space="preserve"> </w:t>
      </w:r>
      <w:r>
        <w:rPr>
          <w:rStyle w:val="VerbatimChar"/>
        </w:rPr>
        <w:t xml:space="preserve">sdmTMB</w:t>
      </w:r>
      <w:r>
        <w:t xml:space="preserve"> </w:t>
      </w:r>
      <w:r>
        <w:t xml:space="preserve">CPUE analysis, the meeting noted that the index was</w:t>
      </w:r>
      <w:r>
        <w:t xml:space="preserve"> </w:t>
      </w:r>
      <w:r>
        <w:t xml:space="preserve">updated through 2026 and is based on set-level data. Discussion focused on haul</w:t>
      </w:r>
      <w:r>
        <w:t xml:space="preserve"> </w:t>
      </w:r>
      <w:r>
        <w:t xml:space="preserve">capacity treatment, the use of a spline smoother versus vessel categories, the</w:t>
      </w:r>
      <w:r>
        <w:t xml:space="preserve"> </w:t>
      </w:r>
      <w:r>
        <w:t xml:space="preserve">large imbalance in early-year data coverage, and whether true zero catches are</w:t>
      </w:r>
      <w:r>
        <w:t xml:space="preserve"> </w:t>
      </w:r>
      <w:r>
        <w:t xml:space="preserve">available and should be incorporated. Participants noted that the early part of</w:t>
      </w:r>
      <w:r>
        <w:t xml:space="preserve"> </w:t>
      </w:r>
      <w:r>
        <w:t xml:space="preserve">the set-level data may represent a very small fraction of total catch, raising</w:t>
      </w:r>
      <w:r>
        <w:t xml:space="preserve"> </w:t>
      </w:r>
      <w:r>
        <w:t xml:space="preserve">questions about representativeness before about 2001. The meeting requested that</w:t>
      </w:r>
      <w:r>
        <w:t xml:space="preserve"> </w:t>
      </w:r>
      <w:r>
        <w:t xml:space="preserve">the data table include the number and proportion of sets by year, and that the</w:t>
      </w:r>
      <w:r>
        <w:t xml:space="preserve"> </w:t>
      </w:r>
      <w:r>
        <w:t xml:space="preserve">authors provide a clear explanation for why the new set-based CPUE series gives</w:t>
      </w:r>
      <w:r>
        <w:t xml:space="preserve"> </w:t>
      </w:r>
      <w:r>
        <w:t xml:space="preserve">lower CPUE in earlier years with high catches than the current trip-based</w:t>
      </w:r>
      <w:r>
        <w:t xml:space="preserve"> </w:t>
      </w:r>
      <w:r>
        <w:t xml:space="preserve">assessment series.</w:t>
      </w:r>
    </w:p>
    <w:p>
      <w:pPr>
        <w:pStyle w:val="BodyText"/>
      </w:pPr>
      <w:r>
        <w:rPr>
          <w:b/>
          <w:bCs/>
        </w:rPr>
        <w:t xml:space="preserve">35.</w:t>
      </w:r>
      <w:r>
        <w:t xml:space="preserve"> </w:t>
      </w:r>
      <w:r>
        <w:t xml:space="preserve">The INLA-based Chilean CPUE analysis provided a complementary spatio-temporal</w:t>
      </w:r>
      <w:r>
        <w:t xml:space="preserve"> </w:t>
      </w:r>
      <w:r>
        <w:t xml:space="preserve">standardization. Participants discussed mesh resolution, the treatment of</w:t>
      </w:r>
      <w:r>
        <w:t xml:space="preserve"> </w:t>
      </w:r>
      <w:r>
        <w:t xml:space="preserve">northern fishing activity, whether assessment fleets should be defined primarily</w:t>
      </w:r>
      <w:r>
        <w:t xml:space="preserve"> </w:t>
      </w:r>
      <w:r>
        <w:t xml:space="preserve">by area or vessel behaviour, and whether CPUE weighting should be based on catch</w:t>
      </w:r>
      <w:r>
        <w:t xml:space="preserve"> </w:t>
      </w:r>
      <w:r>
        <w:t xml:space="preserve">rates rather than catch. The meeting noted that the model appeared sensitive to</w:t>
      </w:r>
      <w:r>
        <w:t xml:space="preserve"> </w:t>
      </w:r>
      <w:r>
        <w:t xml:space="preserve">data updates, with inclusion of 2026 data changing specifically the 2021</w:t>
      </w:r>
      <w:r>
        <w:t xml:space="preserve"> </w:t>
      </w:r>
      <w:r>
        <w:t xml:space="preserve">estimate, and that this sensitivity needs to be explained before replacing the</w:t>
      </w:r>
      <w:r>
        <w:t xml:space="preserve"> </w:t>
      </w:r>
      <w:r>
        <w:t xml:space="preserve">existing assessment index, for example through an analytical retrospective.</w:t>
      </w:r>
      <w:r>
        <w:t xml:space="preserve"> </w:t>
      </w:r>
      <w:r>
        <w:t xml:space="preserve">Participants also discussed fixed versus random year effects, AR(1) versus</w:t>
      </w:r>
      <w:r>
        <w:t xml:space="preserve"> </w:t>
      </w:r>
      <w:r>
        <w:t xml:space="preserve">independent year effects, and the interpretation of the days-at-sea or DFP</w:t>
      </w:r>
      <w:r>
        <w:t xml:space="preserve"> </w:t>
      </w:r>
      <w:r>
        <w:t xml:space="preserve">coefficient. Movement of the resource further offshore could lead to increases</w:t>
      </w:r>
      <w:r>
        <w:t xml:space="preserve"> </w:t>
      </w:r>
      <w:r>
        <w:t xml:space="preserve">in days at sea, which hence may not suggest a decrease in stock size although it</w:t>
      </w:r>
      <w:r>
        <w:t xml:space="preserve"> </w:t>
      </w:r>
      <w:r>
        <w:t xml:space="preserve">does result in a decline in CPUE. As such, including days at sea in a CPUE</w:t>
      </w:r>
      <w:r>
        <w:t xml:space="preserve"> </w:t>
      </w:r>
      <w:r>
        <w:t xml:space="preserve">standardization may bias the outcomes. Since the INLA approach accounts for</w:t>
      </w:r>
      <w:r>
        <w:t xml:space="preserve"> </w:t>
      </w:r>
      <w:r>
        <w:t xml:space="preserve">annual spatial shifts by explicitly fitting an annual spatial random field, this</w:t>
      </w:r>
      <w:r>
        <w:t xml:space="preserve"> </w:t>
      </w:r>
      <w:r>
        <w:t xml:space="preserve">concern is alleviated. Previous versions of the INLA model submitted to SC12 and</w:t>
      </w:r>
      <w:r>
        <w:t xml:space="preserve"> </w:t>
      </w:r>
      <w:r>
        <w:t xml:space="preserve">SC13 were compared to the updated 2026 configuration. The introduction of annual</w:t>
      </w:r>
      <w:r>
        <w:t xml:space="preserve"> </w:t>
      </w:r>
      <w:r>
        <w:t xml:space="preserve">spatial random fields changed the perception of the resource dynamics, with less</w:t>
      </w:r>
      <w:r>
        <w:t xml:space="preserve"> </w:t>
      </w:r>
      <w:r>
        <w:t xml:space="preserve">profound increases and decreases over the time series.</w:t>
      </w:r>
    </w:p>
    <w:p>
      <w:pPr>
        <w:pStyle w:val="BodyText"/>
      </w:pPr>
      <w:r>
        <w:rPr>
          <w:b/>
          <w:bCs/>
        </w:rPr>
        <w:t xml:space="preserve">36.</w:t>
      </w:r>
      <w:r>
        <w:t xml:space="preserve"> </w:t>
      </w:r>
      <w:r>
        <w:t xml:space="preserve">Comparisons between the CPUE index model based on</w:t>
      </w:r>
      <w:r>
        <w:t xml:space="preserve"> </w:t>
      </w:r>
      <w:r>
        <w:rPr>
          <w:rStyle w:val="VerbatimChar"/>
        </w:rPr>
        <w:t xml:space="preserve">sdmTMB</w:t>
      </w:r>
      <w:r>
        <w:t xml:space="preserve"> </w:t>
      </w:r>
      <w:r>
        <w:t xml:space="preserve">(Paya 2026) and</w:t>
      </w:r>
      <w:r>
        <w:t xml:space="preserve"> </w:t>
      </w:r>
      <w:r>
        <w:t xml:space="preserve">INLA (Vasquez and Sepulveda 2026) were presented and discussed</w:t>
      </w:r>
      <w:r>
        <w:t xml:space="preserve"> </w:t>
      </w:r>
      <w:r>
        <w:t xml:space="preserve">(</w:t>
      </w:r>
      <w:hyperlink w:anchor="fig-glmm-index-inla-2026">
        <w:r>
          <w:rPr>
            <w:rStyle w:val="Hyperlink"/>
          </w:rPr>
          <w:t xml:space="preserve">Figure 1</w:t>
        </w:r>
      </w:hyperlink>
      <w:r>
        <w:t xml:space="preserve">). There were no significant differences between model</w:t>
      </w:r>
      <w:r>
        <w:t xml:space="preserve"> </w:t>
      </w:r>
      <w:r>
        <w:t xml:space="preserve">outputs. For benchmark purposes, the INLA model (Vasquez and Sepulveda 2026) was</w:t>
      </w:r>
      <w:r>
        <w:t xml:space="preserve"> </w:t>
      </w:r>
      <w:r>
        <w:t xml:space="preserve">selected. For the update of the indices for the next stock assessment, which</w:t>
      </w:r>
      <w:r>
        <w:t xml:space="preserve"> </w:t>
      </w:r>
      <w:r>
        <w:t xml:space="preserve">should include data up to June 2026, the group agreed on a common model</w:t>
      </w:r>
      <w:r>
        <w:t xml:space="preserve"> </w:t>
      </w:r>
      <w:r>
        <w:t xml:space="preserve">configuration:</w:t>
      </w:r>
    </w:p>
    <w:p>
      <w:pPr>
        <w:pStyle w:val="BodyText"/>
      </w:pPr>
      <w:r>
        <w:rPr>
          <w:b/>
          <w:bCs/>
        </w:rPr>
        <w:t xml:space="preserve">37.</w:t>
      </w:r>
      <w:r>
        <w:t xml:space="preserve"> </w:t>
      </w:r>
      <w:r>
        <w:rPr>
          <w:rStyle w:val="VerbatimChar"/>
        </w:rPr>
        <w:t xml:space="preserve">C = Year + Quarter + DAS + s(hc, 5) + s</w:t>
      </w:r>
    </w:p>
    <w:p>
      <w:pPr>
        <w:pStyle w:val="BodyText"/>
      </w:pPr>
      <w:r>
        <w:rPr>
          <w:b/>
          <w:bCs/>
        </w:rPr>
        <w:t xml:space="preserve">38.</w:t>
      </w:r>
      <w:r>
        <w:t xml:space="preserve"> </w:t>
      </w:r>
      <w:r>
        <w:t xml:space="preserve">where</w:t>
      </w:r>
      <w:r>
        <w:t xml:space="preserve"> </w:t>
      </w:r>
      <w:r>
        <w:rPr>
          <w:rStyle w:val="VerbatimChar"/>
        </w:rPr>
        <w:t xml:space="preserve">DAS</w:t>
      </w:r>
      <w:r>
        <w:t xml:space="preserve"> </w:t>
      </w:r>
      <w:r>
        <w:t xml:space="preserve">is days at sea,</w:t>
      </w:r>
      <w:r>
        <w:t xml:space="preserve"> </w:t>
      </w:r>
      <w:r>
        <w:rPr>
          <w:rStyle w:val="VerbatimChar"/>
        </w:rPr>
        <w:t xml:space="preserve">hc</w:t>
      </w:r>
      <w:r>
        <w:t xml:space="preserve"> </w:t>
      </w:r>
      <w:r>
        <w:t xml:space="preserve">is holding capacity, and</w:t>
      </w:r>
      <w:r>
        <w:t xml:space="preserve"> </w:t>
      </w:r>
      <w:r>
        <w:rPr>
          <w:rStyle w:val="VerbatimChar"/>
        </w:rPr>
        <w:t xml:space="preserve">s</w:t>
      </w:r>
      <w:r>
        <w:t xml:space="preserve"> </w:t>
      </w:r>
      <w:r>
        <w:t xml:space="preserve">represents</w:t>
      </w:r>
      <w:r>
        <w:t xml:space="preserve"> </w:t>
      </w:r>
      <w:r>
        <w:t xml:space="preserve">spatio-temporal random effects independent of software platform.</w:t>
      </w:r>
    </w:p>
    <w:tbl>
      <w:tblPr>
        <w:tblStyle w:val="Table"/>
        <w:tblW w:type="pct" w:w="5000"/>
        <w:tblLayout w:type="fixed"/>
        <w:tblLook w:firstRow="0" w:lastRow="0" w:firstColumn="0" w:lastColumn="0" w:noHBand="0" w:noVBand="0" w:val="0000"/>
      </w:tblPr>
      <w:tblGrid>
        <w:gridCol w:w="7920"/>
      </w:tblGrid>
      <w:tr>
        <w:tc>
          <w:tcPr/>
          <w:bookmarkStart w:id="24" w:name="fig-glmm-index-inla-2026"/>
          <w:p>
            <w:pPr>
              <w:pStyle w:val="Compact"/>
              <w:jc w:val="center"/>
            </w:pPr>
            <w:r>
              <w:drawing>
                <wp:inline>
                  <wp:extent cx="5334000" cy="2667000"/>
                  <wp:effectExtent b="0" l="0" r="0" t="0"/>
                  <wp:docPr descr="" title="" id="22" name="Picture"/>
                  <a:graphic>
                    <a:graphicData uri="http://schemas.openxmlformats.org/drawingml/2006/picture">
                      <pic:pic>
                        <pic:nvPicPr>
                          <pic:cNvPr descr="images/GLMM_Index_INLA_2026.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CPUE indices normalized as z-scores and estimated using</w:t>
            </w:r>
            <w:r>
              <w:t xml:space="preserve"> </w:t>
            </w:r>
            <w:r>
              <w:rPr>
                <w:rStyle w:val="VerbatimChar"/>
              </w:rPr>
              <w:t xml:space="preserve">sdmTMB</w:t>
            </w:r>
            <w:r>
              <w:t xml:space="preserve">-INLA (</w:t>
            </w:r>
            <w:r>
              <w:rPr>
                <w:rStyle w:val="VerbatimChar"/>
              </w:rPr>
              <w:t xml:space="preserve">GLMM_ST</w:t>
            </w:r>
            <w:r>
              <w:t xml:space="preserve">; Paya 2026) and INLA (</w:t>
            </w:r>
            <w:r>
              <w:rPr>
                <w:rStyle w:val="VerbatimChar"/>
              </w:rPr>
              <w:t xml:space="preserve">GLMM_ST</w:t>
            </w:r>
            <w:r>
              <w:t xml:space="preserve">; Vasquez and Sepulveda 2026).</w:t>
            </w:r>
          </w:p>
          <w:bookmarkEnd w:id="24"/>
        </w:tc>
      </w:tr>
    </w:tbl>
    <w:p>
      <w:pPr>
        <w:pStyle w:val="BodyText"/>
      </w:pPr>
      <w:r>
        <w:rPr>
          <w:b/>
          <w:bCs/>
        </w:rPr>
        <w:t xml:space="preserve">39.</w:t>
      </w:r>
      <w:r>
        <w:t xml:space="preserve"> </w:t>
      </w:r>
      <w:r>
        <w:t xml:space="preserve">The updated INLA-based Chilean CPUE retrospective analysis was reviewed using</w:t>
      </w:r>
      <w:r>
        <w:t xml:space="preserve"> </w:t>
      </w:r>
      <w:r>
        <w:t xml:space="preserve">six peels. The resulting Mohn’s rho was 0.0254, and participants considered the</w:t>
      </w:r>
      <w:r>
        <w:t xml:space="preserve"> </w:t>
      </w:r>
      <w:r>
        <w:t xml:space="preserve">diagnostic performance favourable for assessment use.</w:t>
      </w:r>
    </w:p>
    <w:p>
      <w:pPr>
        <w:pStyle w:val="BodyText"/>
      </w:pPr>
      <w:r>
        <w:rPr>
          <w:b/>
          <w:bCs/>
        </w:rPr>
        <w:t xml:space="preserve">40.</w:t>
      </w:r>
      <w:r>
        <w:t xml:space="preserve"> </w:t>
      </w:r>
      <w:r>
        <w:t xml:space="preserve">The Day 3 discussion agreed to move forward with a new Chilean CPUE treatment</w:t>
      </w:r>
      <w:r>
        <w:t xml:space="preserve"> </w:t>
      </w:r>
      <w:r>
        <w:t xml:space="preserve">starting in 1998, using the agreed effort-creep treatment described above.</w:t>
      </w:r>
      <w:r>
        <w:t xml:space="preserve"> </w:t>
      </w:r>
      <w:r>
        <w:t xml:space="preserve">Annual CVs should be weighted by percentage coverage and should incorporate</w:t>
      </w:r>
      <w:r>
        <w:t xml:space="preserve"> </w:t>
      </w:r>
      <w:r>
        <w:t xml:space="preserve">standard errors from the INLA analysis. The previous Chilean CPUE index should</w:t>
      </w:r>
      <w:r>
        <w:t xml:space="preserve"> </w:t>
      </w:r>
      <w:r>
        <w:t xml:space="preserve">be removed from the base model. A sensitivity run should replace the new</w:t>
      </w:r>
      <w:r>
        <w:t xml:space="preserve"> </w:t>
      </w:r>
      <w:r>
        <w:t xml:space="preserve">Chilean CPUE series with the SC13 CPUE series to evaluate the effect of removing</w:t>
      </w:r>
      <w:r>
        <w:t xml:space="preserve"> </w:t>
      </w:r>
      <w:r>
        <w:t xml:space="preserve">the old CPUE treatment on historical biomass.</w:t>
      </w:r>
    </w:p>
    <w:p>
      <w:pPr>
        <w:pStyle w:val="BodyText"/>
      </w:pPr>
      <w:r>
        <w:rPr>
          <w:b/>
          <w:bCs/>
        </w:rPr>
        <w:t xml:space="preserve">41.</w:t>
      </w:r>
      <w:r>
        <w:t xml:space="preserve"> </w:t>
      </w:r>
      <w:r>
        <w:t xml:space="preserve">The 1998 start year was selected because earlier set-level coverage was poor and</w:t>
      </w:r>
      <w:r>
        <w:t xml:space="preserve"> </w:t>
      </w:r>
      <w:r>
        <w:t xml:space="preserve">may not be representative of the fishery, particularly in years when catches were</w:t>
      </w:r>
      <w:r>
        <w:t xml:space="preserve"> </w:t>
      </w:r>
      <w:r>
        <w:t xml:space="preserve">large but the proportion of catch represented in the CPUE data was low. The</w:t>
      </w:r>
      <w:r>
        <w:t xml:space="preserve"> </w:t>
      </w:r>
      <w:r>
        <w:t xml:space="preserve">meeting noted that the behaviour of the fleet and the amount of data collected</w:t>
      </w:r>
      <w:r>
        <w:t xml:space="preserve"> </w:t>
      </w:r>
      <w:r>
        <w:t xml:space="preserve">changed substantially after 1997, coincident with the major 1997/1998 El Nino</w:t>
      </w:r>
      <w:r>
        <w:t xml:space="preserve"> </w:t>
      </w:r>
      <w:r>
        <w:t xml:space="preserve">event. For the benchmark, the base model should therefore use the new INLA</w:t>
      </w:r>
      <w:r>
        <w:t xml:space="preserve"> </w:t>
      </w:r>
      <w:r>
        <w:t xml:space="preserve">set-based Chilean CPUE series truncated to start in 1998. Future updates to this</w:t>
      </w:r>
      <w:r>
        <w:t xml:space="preserve"> </w:t>
      </w:r>
      <w:r>
        <w:t xml:space="preserve">index should be documented carefully, because substantial changes to CPUE</w:t>
      </w:r>
      <w:r>
        <w:t xml:space="preserve"> </w:t>
      </w:r>
      <w:r>
        <w:t xml:space="preserve">treatment between the benchmark and MSE implementation could affect perceptions</w:t>
      </w:r>
      <w:r>
        <w:t xml:space="preserve"> </w:t>
      </w:r>
      <w:r>
        <w:t xml:space="preserve">of the MSE results.</w:t>
      </w:r>
    </w:p>
    <w:p>
      <w:pPr>
        <w:pStyle w:val="BodyText"/>
      </w:pPr>
      <w:r>
        <w:rPr>
          <w:b/>
          <w:bCs/>
        </w:rPr>
        <w:t xml:space="preserve">42.</w:t>
      </w:r>
      <w:r>
        <w:t xml:space="preserve"> </w:t>
      </w:r>
      <w:r>
        <w:t xml:space="preserve">The agreed uncertainty treatment for the new Chilean South-Central CPUE series</w:t>
      </w:r>
      <w:r>
        <w:t xml:space="preserve"> </w:t>
      </w:r>
      <w:r>
        <w:t xml:space="preserve">is summarized in</w:t>
      </w:r>
      <w:r>
        <w:t xml:space="preserve"> </w:t>
      </w:r>
      <w:hyperlink w:anchor="tbl-chile-cpue-cv-weighting">
        <w:r>
          <w:rPr>
            <w:rStyle w:val="Hyperlink"/>
          </w:rPr>
          <w:t xml:space="preserve">Table 1</w:t>
        </w:r>
      </w:hyperlink>
      <w:r>
        <w:t xml:space="preserve">. The CV weight is calculated as</w:t>
      </w:r>
      <w:r>
        <w:t xml:space="preserve"> </w:t>
      </w:r>
      <w:r>
        <w:t xml:space="preserve">the square-root of annual coverage relative to the maximum coverage in the</w:t>
      </w:r>
      <w:r>
        <w:t xml:space="preserve"> </w:t>
      </w:r>
      <w:r>
        <w:t xml:space="preserve">series; equivalently, the table reports the inverse multiplier (</w:t>
      </w:r>
      <w:r>
        <w:rPr>
          <w:rStyle w:val="VerbatimChar"/>
        </w:rPr>
        <w:t xml:space="preserve">1/CV_wt</w:t>
      </w:r>
      <w:r>
        <w:t xml:space="preserve">) used</w:t>
      </w:r>
      <w:r>
        <w:t xml:space="preserve"> </w:t>
      </w:r>
      <w:r>
        <w:t xml:space="preserve">to inflate the annual CV. The assessment model uses the 1998-2025 rows and the</w:t>
      </w:r>
      <w:r>
        <w:t xml:space="preserve"> </w:t>
      </w:r>
      <w:r>
        <w:t xml:space="preserve">weighted (</w:t>
      </w:r>
      <w:r>
        <w:rPr>
          <w:rStyle w:val="VerbatimChar"/>
        </w:rPr>
        <w:t xml:space="preserve">wtd</w:t>
      </w:r>
      <w:r>
        <w:t xml:space="preserve">) CV column. The</w:t>
      </w:r>
      <w:r>
        <w:t xml:space="preserve"> </w:t>
      </w:r>
      <w:r>
        <w:rPr>
          <w:rStyle w:val="VerbatimChar"/>
        </w:rPr>
        <w:t xml:space="preserve">0.06 CPUE index (CPUE+creep)</w:t>
      </w:r>
      <w:r>
        <w:t xml:space="preserve"> </w:t>
      </w:r>
      <w:r>
        <w:t xml:space="preserve">column is the</w:t>
      </w:r>
      <w:r>
        <w:t xml:space="preserve"> </w:t>
      </w:r>
      <w:r>
        <w:t xml:space="preserve">effort-creep-adjusted Chilean CPUE vector used as</w:t>
      </w:r>
      <w:r>
        <w:t xml:space="preserve"> </w:t>
      </w:r>
      <w:r>
        <w:rPr>
          <w:rStyle w:val="VerbatimChar"/>
        </w:rPr>
        <w:t xml:space="preserve">Chile_CPUE</w:t>
      </w:r>
      <w:r>
        <w:t xml:space="preserve"> </w:t>
      </w:r>
      <w:r>
        <w:t xml:space="preserve">in the 0.06 model</w:t>
      </w:r>
      <w:r>
        <w:t xml:space="preserve"> </w:t>
      </w:r>
      <w:r>
        <w:t xml:space="preserve">input file. It applies the agreed 1% compounded fishing-power correction through</w:t>
      </w:r>
      <w:r>
        <w:t xml:space="preserve"> </w:t>
      </w:r>
      <w:r>
        <w:t xml:space="preserve">2004 and the 0.669 multiplicative adjustment from 2005 onward.</w:t>
      </w:r>
    </w:p>
    <w:tbl>
      <w:tblPr>
        <w:tblStyle w:val="Table"/>
        <w:tblW w:type="pct" w:w="5000"/>
        <w:tblLayout w:type="fixed"/>
        <w:tblLook w:firstRow="0" w:lastRow="0" w:firstColumn="0" w:lastColumn="0" w:noHBand="0" w:noVBand="0" w:val="0000"/>
      </w:tblPr>
      <w:tblGrid>
        <w:gridCol w:w="7920"/>
      </w:tblGrid>
      <w:tr>
        <w:tc>
          <w:tcPr/>
          <w:bookmarkStart w:id="25" w:name="tbl-chile-cpue-cv-weighting"/>
          <w:p>
            <w:pPr>
              <w:jc w:val="center"/>
            </w:pPr>
            <w:pPr>
              <w:jc w:val="left"/>
              <w:spacing w:before="200"/>
              <w:pStyle w:val="ImageCaption"/>
            </w:pPr>
            <w:r>
              <w:t xml:space="preserve">Table 1: Chilean South-Central CPUE uncertainty and 0.06 input-index table. The 1998-2025 rows were selected for the assessment-model input; the 0.06 CPUE index (</w:t>
            </w:r>
            <w:r>
              <w:rPr>
                <w:rStyle w:val="VerbatimChar"/>
              </w:rPr>
              <w:t xml:space="preserve">CPUE+creep</w:t>
            </w:r>
            <w:r>
              <w:t xml:space="preserve">) column is the Chile_CPUE vector used in the 0.06 model, and the weighted (</w:t>
            </w:r>
            <w:r>
              <w:rPr>
                <w:rStyle w:val="VerbatimChar"/>
              </w:rPr>
              <w:t xml:space="preserve">wtd</w:t>
            </w:r>
            <w:r>
              <w:t xml:space="preserve">) CV is the CV used for the assessment model.</w:t>
            </w:r>
          </w:p>
          <w:p>
            <w:pPr>
              <w:pStyle w:val="Compact"/>
              <w:jc w:val="center"/>
            </w:pPr>
            <w:r>
              <w:t xml:space="preserve">Chilean South-Central CPUE uncertainty table. The 1998-2025 rows were selected for the assessment-model input, the 0.06 CPUE index (</w:t>
            </w:r>
            <w:r>
              <w:rPr>
                <w:rStyle w:val="VerbatimChar"/>
              </w:rPr>
              <w:t xml:space="preserve">CPUE+creep</w:t>
            </w:r>
            <w:r>
              <w:t xml:space="preserve">) column is the Chile_CPUE vector used in the 0.06 model, and the weighted (</w:t>
            </w:r>
            <w:r>
              <w:rPr>
                <w:rStyle w:val="VerbatimChar"/>
              </w:rPr>
              <w:t xml:space="preserve">wtd</w:t>
            </w:r>
            <w:r>
              <w:t xml:space="preserve">) CV is the CV used for the assessment model. The CV weight is the square-root of annual coverage relative to the maximum coverage.</w:t>
            </w:r>
          </w:p>
          <w:tbl>
            <w:tblPr>
              <w:tblStyle w:val="Table"/>
              <w:tblW w:type="pct" w:w="5000"/>
              <w:tblLayout w:type="fixed"/>
              <w:tblLook w:firstRow="1" w:lastRow="0" w:firstColumn="0" w:lastColumn="0" w:noHBand="0" w:noVBand="0" w:val="0020"/>
              <w:tblCaption w:val="Chilean South-Central CPUE uncertainty table. The 1998-2025 rows were selected for the assessment-model input, the 0.06 CPUE index (CPUE+creep) column is the Chile_CPUE vector used in the 0.06 model, and the weighted (wtd) CV is the CV used for the assessment model. The CV weight is the square-root of annual coverage relative to the maximum coverage."/>
            </w:tblPr>
            <w:tblGrid>
              <w:gridCol w:w="1584"/>
              <w:gridCol w:w="990"/>
              <w:gridCol w:w="1584"/>
              <w:gridCol w:w="792"/>
              <w:gridCol w:w="396"/>
              <w:gridCol w:w="693"/>
              <w:gridCol w:w="891"/>
              <w:gridCol w:w="990"/>
            </w:tblGrid>
            <w:tr>
              <w:trPr>
                <w:tblHeader w:val="on"/>
              </w:trPr>
              <w:tc>
                <w:tcPr/>
                <w:p>
                  <w:pPr>
                    <w:pStyle w:val="Compact"/>
                    <w:jc w:val="center"/>
                    <w:jc w:val="center"/>
                  </w:pPr>
                  <w:r>
                    <w:t xml:space="preserve">year</w:t>
                  </w:r>
                </w:p>
              </w:tc>
              <w:tc>
                <w:tcPr/>
                <w:p>
                  <w:pPr>
                    <w:pStyle w:val="Compact"/>
                    <w:jc w:val="right"/>
                    <w:jc w:val="center"/>
                  </w:pPr>
                  <w:r>
                    <w:t xml:space="preserve">mean_cpue</w:t>
                  </w:r>
                </w:p>
              </w:tc>
              <w:tc>
                <w:tcPr/>
                <w:p>
                  <w:pPr>
                    <w:pStyle w:val="Compact"/>
                    <w:jc w:val="right"/>
                    <w:jc w:val="center"/>
                  </w:pPr>
                  <w:r>
                    <w:t xml:space="preserve">cpue_creep_0_06</w:t>
                  </w:r>
                </w:p>
              </w:tc>
              <w:tc>
                <w:tcPr/>
                <w:p>
                  <w:pPr>
                    <w:pStyle w:val="Compact"/>
                    <w:jc w:val="right"/>
                    <w:jc w:val="center"/>
                  </w:pPr>
                  <w:r>
                    <w:t xml:space="preserve">sd_cpue</w:t>
                  </w:r>
                </w:p>
              </w:tc>
              <w:tc>
                <w:tcPr/>
                <w:p>
                  <w:pPr>
                    <w:pStyle w:val="Compact"/>
                    <w:jc w:val="right"/>
                    <w:jc w:val="center"/>
                  </w:pPr>
                  <w:r>
                    <w:t xml:space="preserve">cv</w:t>
                  </w:r>
                </w:p>
              </w:tc>
              <w:tc>
                <w:tcPr/>
                <w:p>
                  <w:pPr>
                    <w:pStyle w:val="Compact"/>
                    <w:jc w:val="right"/>
                    <w:jc w:val="center"/>
                  </w:pPr>
                  <w:r>
                    <w:t xml:space="preserve">wtd_cv</w:t>
                  </w:r>
                </w:p>
              </w:tc>
              <w:tc>
                <w:tcPr/>
                <w:p>
                  <w:pPr>
                    <w:pStyle w:val="Compact"/>
                    <w:jc w:val="right"/>
                    <w:jc w:val="center"/>
                  </w:pPr>
                  <w:r>
                    <w:t xml:space="preserve">coverage</w:t>
                  </w:r>
                </w:p>
              </w:tc>
              <w:tc>
                <w:tcPr/>
                <w:p>
                  <w:pPr>
                    <w:pStyle w:val="Compact"/>
                    <w:jc w:val="right"/>
                    <w:jc w:val="center"/>
                  </w:pPr>
                  <w:r>
                    <w:t xml:space="preserve">inv_cv_wt</w:t>
                  </w:r>
                </w:p>
              </w:tc>
            </w:tr>
            <w:tr>
              <w:tc>
                <w:tcPr/>
                <w:p>
                  <w:pPr>
                    <w:pStyle w:val="Compact"/>
                    <w:jc w:val="center"/>
                    <w:jc w:val="center"/>
                  </w:pPr>
                  <w:r>
                    <w:t xml:space="preserve">1994</w:t>
                  </w:r>
                </w:p>
              </w:tc>
              <w:tc>
                <w:tcPr/>
                <w:p>
                  <w:pPr>
                    <w:pStyle w:val="Compact"/>
                    <w:jc w:val="right"/>
                    <w:jc w:val="center"/>
                  </w:pPr>
                  <w:r>
                    <w:t xml:space="preserve">85.370</w:t>
                  </w:r>
                </w:p>
              </w:tc>
              <w:tc>
                <w:tcPr/>
                <w:p>
                  <w:pPr>
                    <w:pStyle w:val="Compact"/>
                    <w:jc w:val="right"/>
                    <w:jc w:val="center"/>
                  </w:pPr>
                  <w:r>
                    <w:t xml:space="preserve">NA</w:t>
                  </w:r>
                </w:p>
              </w:tc>
              <w:tc>
                <w:tcPr/>
                <w:p>
                  <w:pPr>
                    <w:pStyle w:val="Compact"/>
                    <w:jc w:val="right"/>
                    <w:jc w:val="center"/>
                  </w:pPr>
                  <w:r>
                    <w:t xml:space="preserve">17.484</w:t>
                  </w:r>
                </w:p>
              </w:tc>
              <w:tc>
                <w:tcPr/>
                <w:p>
                  <w:pPr>
                    <w:pStyle w:val="Compact"/>
                    <w:jc w:val="right"/>
                    <w:jc w:val="center"/>
                  </w:pPr>
                  <w:r>
                    <w:t xml:space="preserve">20%</w:t>
                  </w:r>
                </w:p>
              </w:tc>
              <w:tc>
                <w:tcPr/>
                <w:p>
                  <w:pPr>
                    <w:pStyle w:val="Compact"/>
                    <w:jc w:val="right"/>
                    <w:jc w:val="center"/>
                  </w:pPr>
                  <w:r>
                    <w:t xml:space="preserve">359%</w:t>
                  </w:r>
                </w:p>
              </w:tc>
              <w:tc>
                <w:tcPr/>
                <w:p>
                  <w:pPr>
                    <w:pStyle w:val="Compact"/>
                    <w:jc w:val="right"/>
                    <w:jc w:val="center"/>
                  </w:pPr>
                  <w:r>
                    <w:t xml:space="preserve">0.3</w:t>
                  </w:r>
                </w:p>
              </w:tc>
              <w:tc>
                <w:tcPr/>
                <w:p>
                  <w:pPr>
                    <w:pStyle w:val="Compact"/>
                    <w:jc w:val="right"/>
                    <w:jc w:val="center"/>
                  </w:pPr>
                  <w:r>
                    <w:t xml:space="preserve">17.5499</w:t>
                  </w:r>
                </w:p>
              </w:tc>
            </w:tr>
            <w:tr>
              <w:tc>
                <w:tcPr/>
                <w:p>
                  <w:pPr>
                    <w:pStyle w:val="Compact"/>
                    <w:jc w:val="center"/>
                    <w:jc w:val="center"/>
                  </w:pPr>
                  <w:r>
                    <w:t xml:space="preserve">1995</w:t>
                  </w:r>
                </w:p>
              </w:tc>
              <w:tc>
                <w:tcPr/>
                <w:p>
                  <w:pPr>
                    <w:pStyle w:val="Compact"/>
                    <w:jc w:val="right"/>
                    <w:jc w:val="center"/>
                  </w:pPr>
                  <w:r>
                    <w:t xml:space="preserve">95.896</w:t>
                  </w:r>
                </w:p>
              </w:tc>
              <w:tc>
                <w:tcPr/>
                <w:p>
                  <w:pPr>
                    <w:pStyle w:val="Compact"/>
                    <w:jc w:val="right"/>
                    <w:jc w:val="center"/>
                  </w:pPr>
                  <w:r>
                    <w:t xml:space="preserve">NA</w:t>
                  </w:r>
                </w:p>
              </w:tc>
              <w:tc>
                <w:tcPr/>
                <w:p>
                  <w:pPr>
                    <w:pStyle w:val="Compact"/>
                    <w:jc w:val="right"/>
                    <w:jc w:val="center"/>
                  </w:pPr>
                  <w:r>
                    <w:t xml:space="preserve">12.781</w:t>
                  </w:r>
                </w:p>
              </w:tc>
              <w:tc>
                <w:tcPr/>
                <w:p>
                  <w:pPr>
                    <w:pStyle w:val="Compact"/>
                    <w:jc w:val="right"/>
                    <w:jc w:val="center"/>
                  </w:pPr>
                  <w:r>
                    <w:t xml:space="preserve">13%</w:t>
                  </w:r>
                </w:p>
              </w:tc>
              <w:tc>
                <w:tcPr/>
                <w:p>
                  <w:pPr>
                    <w:pStyle w:val="Compact"/>
                    <w:jc w:val="right"/>
                    <w:jc w:val="center"/>
                  </w:pPr>
                  <w:r>
                    <w:t xml:space="preserve">135%</w:t>
                  </w:r>
                </w:p>
              </w:tc>
              <w:tc>
                <w:tcPr/>
                <w:p>
                  <w:pPr>
                    <w:pStyle w:val="Compact"/>
                    <w:jc w:val="right"/>
                    <w:jc w:val="center"/>
                  </w:pPr>
                  <w:r>
                    <w:t xml:space="preserve">0.9</w:t>
                  </w:r>
                </w:p>
              </w:tc>
              <w:tc>
                <w:tcPr/>
                <w:p>
                  <w:pPr>
                    <w:pStyle w:val="Compact"/>
                    <w:jc w:val="right"/>
                    <w:jc w:val="center"/>
                  </w:pPr>
                  <w:r>
                    <w:t xml:space="preserve">10.1325</w:t>
                  </w:r>
                </w:p>
              </w:tc>
            </w:tr>
            <w:tr>
              <w:tc>
                <w:tcPr/>
                <w:p>
                  <w:pPr>
                    <w:pStyle w:val="Compact"/>
                    <w:jc w:val="center"/>
                    <w:jc w:val="center"/>
                  </w:pPr>
                  <w:r>
                    <w:t xml:space="preserve">1996</w:t>
                  </w:r>
                </w:p>
              </w:tc>
              <w:tc>
                <w:tcPr/>
                <w:p>
                  <w:pPr>
                    <w:pStyle w:val="Compact"/>
                    <w:jc w:val="right"/>
                    <w:jc w:val="center"/>
                  </w:pPr>
                  <w:r>
                    <w:t xml:space="preserve">109.032</w:t>
                  </w:r>
                </w:p>
              </w:tc>
              <w:tc>
                <w:tcPr/>
                <w:p>
                  <w:pPr>
                    <w:pStyle w:val="Compact"/>
                    <w:jc w:val="right"/>
                    <w:jc w:val="center"/>
                  </w:pPr>
                  <w:r>
                    <w:t xml:space="preserve">NA</w:t>
                  </w:r>
                </w:p>
              </w:tc>
              <w:tc>
                <w:tcPr/>
                <w:p>
                  <w:pPr>
                    <w:pStyle w:val="Compact"/>
                    <w:jc w:val="right"/>
                    <w:jc w:val="center"/>
                  </w:pPr>
                  <w:r>
                    <w:t xml:space="preserve">13.295</w:t>
                  </w:r>
                </w:p>
              </w:tc>
              <w:tc>
                <w:tcPr/>
                <w:p>
                  <w:pPr>
                    <w:pStyle w:val="Compact"/>
                    <w:jc w:val="right"/>
                    <w:jc w:val="center"/>
                  </w:pPr>
                  <w:r>
                    <w:t xml:space="preserve">12%</w:t>
                  </w:r>
                </w:p>
              </w:tc>
              <w:tc>
                <w:tcPr/>
                <w:p>
                  <w:pPr>
                    <w:pStyle w:val="Compact"/>
                    <w:jc w:val="right"/>
                    <w:jc w:val="center"/>
                  </w:pPr>
                  <w:r>
                    <w:t xml:space="preserve">85%</w:t>
                  </w:r>
                </w:p>
              </w:tc>
              <w:tc>
                <w:tcPr/>
                <w:p>
                  <w:pPr>
                    <w:pStyle w:val="Compact"/>
                    <w:jc w:val="right"/>
                    <w:jc w:val="center"/>
                  </w:pPr>
                  <w:r>
                    <w:t xml:space="preserve">1.9</w:t>
                  </w:r>
                </w:p>
              </w:tc>
              <w:tc>
                <w:tcPr/>
                <w:p>
                  <w:pPr>
                    <w:pStyle w:val="Compact"/>
                    <w:jc w:val="right"/>
                    <w:jc w:val="center"/>
                  </w:pPr>
                  <w:r>
                    <w:t xml:space="preserve">6.9736</w:t>
                  </w:r>
                </w:p>
              </w:tc>
            </w:tr>
            <w:tr>
              <w:tc>
                <w:tcPr/>
                <w:p>
                  <w:pPr>
                    <w:pStyle w:val="Compact"/>
                    <w:jc w:val="center"/>
                    <w:jc w:val="center"/>
                  </w:pPr>
                  <w:r>
                    <w:t xml:space="preserve">1997</w:t>
                  </w:r>
                </w:p>
              </w:tc>
              <w:tc>
                <w:tcPr/>
                <w:p>
                  <w:pPr>
                    <w:pStyle w:val="Compact"/>
                    <w:jc w:val="right"/>
                    <w:jc w:val="center"/>
                  </w:pPr>
                  <w:r>
                    <w:t xml:space="preserve">77.243</w:t>
                  </w:r>
                </w:p>
              </w:tc>
              <w:tc>
                <w:tcPr/>
                <w:p>
                  <w:pPr>
                    <w:pStyle w:val="Compact"/>
                    <w:jc w:val="right"/>
                    <w:jc w:val="center"/>
                  </w:pPr>
                  <w:r>
                    <w:t xml:space="preserve">NA</w:t>
                  </w:r>
                </w:p>
              </w:tc>
              <w:tc>
                <w:tcPr/>
                <w:p>
                  <w:pPr>
                    <w:pStyle w:val="Compact"/>
                    <w:jc w:val="right"/>
                    <w:jc w:val="center"/>
                  </w:pPr>
                  <w:r>
                    <w:t xml:space="preserve">11.940</w:t>
                  </w:r>
                </w:p>
              </w:tc>
              <w:tc>
                <w:tcPr/>
                <w:p>
                  <w:pPr>
                    <w:pStyle w:val="Compact"/>
                    <w:jc w:val="right"/>
                    <w:jc w:val="center"/>
                  </w:pPr>
                  <w:r>
                    <w:t xml:space="preserve">15%</w:t>
                  </w:r>
                </w:p>
              </w:tc>
              <w:tc>
                <w:tcPr/>
                <w:p>
                  <w:pPr>
                    <w:pStyle w:val="Compact"/>
                    <w:jc w:val="right"/>
                    <w:jc w:val="center"/>
                  </w:pPr>
                  <w:r>
                    <w:t xml:space="preserve">105%</w:t>
                  </w:r>
                </w:p>
              </w:tc>
              <w:tc>
                <w:tcPr/>
                <w:p>
                  <w:pPr>
                    <w:pStyle w:val="Compact"/>
                    <w:jc w:val="right"/>
                    <w:jc w:val="center"/>
                  </w:pPr>
                  <w:r>
                    <w:t xml:space="preserve">2.0</w:t>
                  </w:r>
                </w:p>
              </w:tc>
              <w:tc>
                <w:tcPr/>
                <w:p>
                  <w:pPr>
                    <w:pStyle w:val="Compact"/>
                    <w:jc w:val="right"/>
                    <w:jc w:val="center"/>
                  </w:pPr>
                  <w:r>
                    <w:t xml:space="preserve">6.7971</w:t>
                  </w:r>
                </w:p>
              </w:tc>
            </w:tr>
            <w:tr>
              <w:tc>
                <w:tcPr/>
                <w:p>
                  <w:pPr>
                    <w:pStyle w:val="Compact"/>
                    <w:jc w:val="center"/>
                    <w:jc w:val="center"/>
                  </w:pPr>
                  <w:r>
                    <w:t xml:space="preserve">1998</w:t>
                  </w:r>
                </w:p>
              </w:tc>
              <w:tc>
                <w:tcPr/>
                <w:p>
                  <w:pPr>
                    <w:pStyle w:val="Compact"/>
                    <w:jc w:val="right"/>
                    <w:jc w:val="center"/>
                  </w:pPr>
                  <w:r>
                    <w:t xml:space="preserve">100.264</w:t>
                  </w:r>
                </w:p>
              </w:tc>
              <w:tc>
                <w:tcPr/>
                <w:p>
                  <w:pPr>
                    <w:pStyle w:val="Compact"/>
                    <w:jc w:val="right"/>
                    <w:jc w:val="center"/>
                  </w:pPr>
                  <w:r>
                    <w:t xml:space="preserve">96.35176</w:t>
                  </w:r>
                </w:p>
              </w:tc>
              <w:tc>
                <w:tcPr/>
                <w:p>
                  <w:pPr>
                    <w:pStyle w:val="Compact"/>
                    <w:jc w:val="right"/>
                    <w:jc w:val="center"/>
                  </w:pPr>
                  <w:r>
                    <w:t xml:space="preserve">12.860</w:t>
                  </w:r>
                </w:p>
              </w:tc>
              <w:tc>
                <w:tcPr/>
                <w:p>
                  <w:pPr>
                    <w:pStyle w:val="Compact"/>
                    <w:jc w:val="right"/>
                    <w:jc w:val="center"/>
                  </w:pPr>
                  <w:r>
                    <w:t xml:space="preserve">13%</w:t>
                  </w:r>
                </w:p>
              </w:tc>
              <w:tc>
                <w:tcPr/>
                <w:p>
                  <w:pPr>
                    <w:pStyle w:val="Compact"/>
                    <w:jc w:val="right"/>
                    <w:jc w:val="center"/>
                  </w:pPr>
                  <w:r>
                    <w:t xml:space="preserve">42%</w:t>
                  </w:r>
                </w:p>
              </w:tc>
              <w:tc>
                <w:tcPr/>
                <w:p>
                  <w:pPr>
                    <w:pStyle w:val="Compact"/>
                    <w:jc w:val="right"/>
                    <w:jc w:val="center"/>
                  </w:pPr>
                  <w:r>
                    <w:t xml:space="preserve">8.6</w:t>
                  </w:r>
                </w:p>
              </w:tc>
              <w:tc>
                <w:tcPr/>
                <w:p>
                  <w:pPr>
                    <w:pStyle w:val="Compact"/>
                    <w:jc w:val="right"/>
                    <w:jc w:val="center"/>
                  </w:pPr>
                  <w:r>
                    <w:t xml:space="preserve">3.2778</w:t>
                  </w:r>
                </w:p>
              </w:tc>
            </w:tr>
            <w:tr>
              <w:tc>
                <w:tcPr/>
                <w:p>
                  <w:pPr>
                    <w:pStyle w:val="Compact"/>
                    <w:jc w:val="center"/>
                    <w:jc w:val="center"/>
                  </w:pPr>
                  <w:r>
                    <w:t xml:space="preserve">1999</w:t>
                  </w:r>
                </w:p>
              </w:tc>
              <w:tc>
                <w:tcPr/>
                <w:p>
                  <w:pPr>
                    <w:pStyle w:val="Compact"/>
                    <w:jc w:val="right"/>
                    <w:jc w:val="center"/>
                  </w:pPr>
                  <w:r>
                    <w:t xml:space="preserve">91.383</w:t>
                  </w:r>
                </w:p>
              </w:tc>
              <w:tc>
                <w:tcPr/>
                <w:p>
                  <w:pPr>
                    <w:pStyle w:val="Compact"/>
                    <w:jc w:val="right"/>
                    <w:jc w:val="center"/>
                  </w:pPr>
                  <w:r>
                    <w:t xml:space="preserve">86.94815</w:t>
                  </w:r>
                </w:p>
              </w:tc>
              <w:tc>
                <w:tcPr/>
                <w:p>
                  <w:pPr>
                    <w:pStyle w:val="Compact"/>
                    <w:jc w:val="right"/>
                    <w:jc w:val="center"/>
                  </w:pPr>
                  <w:r>
                    <w:t xml:space="preserve">12.188</w:t>
                  </w:r>
                </w:p>
              </w:tc>
              <w:tc>
                <w:tcPr/>
                <w:p>
                  <w:pPr>
                    <w:pStyle w:val="Compact"/>
                    <w:jc w:val="right"/>
                    <w:jc w:val="center"/>
                  </w:pPr>
                  <w:r>
                    <w:t xml:space="preserve">13%</w:t>
                  </w:r>
                </w:p>
              </w:tc>
              <w:tc>
                <w:tcPr/>
                <w:p>
                  <w:pPr>
                    <w:pStyle w:val="Compact"/>
                    <w:jc w:val="right"/>
                    <w:jc w:val="center"/>
                  </w:pPr>
                  <w:r>
                    <w:t xml:space="preserve">38%</w:t>
                  </w:r>
                </w:p>
              </w:tc>
              <w:tc>
                <w:tcPr/>
                <w:p>
                  <w:pPr>
                    <w:pStyle w:val="Compact"/>
                    <w:jc w:val="right"/>
                    <w:jc w:val="center"/>
                  </w:pPr>
                  <w:r>
                    <w:t xml:space="preserve">11.4</w:t>
                  </w:r>
                </w:p>
              </w:tc>
              <w:tc>
                <w:tcPr/>
                <w:p>
                  <w:pPr>
                    <w:pStyle w:val="Compact"/>
                    <w:jc w:val="right"/>
                    <w:jc w:val="center"/>
                  </w:pPr>
                  <w:r>
                    <w:t xml:space="preserve">2.8470</w:t>
                  </w:r>
                </w:p>
              </w:tc>
            </w:tr>
            <w:tr>
              <w:tc>
                <w:tcPr/>
                <w:p>
                  <w:pPr>
                    <w:pStyle w:val="Compact"/>
                    <w:jc w:val="center"/>
                    <w:jc w:val="center"/>
                  </w:pPr>
                  <w:r>
                    <w:t xml:space="preserve">2000</w:t>
                  </w:r>
                </w:p>
              </w:tc>
              <w:tc>
                <w:tcPr/>
                <w:p>
                  <w:pPr>
                    <w:pStyle w:val="Compact"/>
                    <w:jc w:val="right"/>
                    <w:jc w:val="center"/>
                  </w:pPr>
                  <w:r>
                    <w:t xml:space="preserve">127.563</w:t>
                  </w:r>
                </w:p>
              </w:tc>
              <w:tc>
                <w:tcPr/>
                <w:p>
                  <w:pPr>
                    <w:pStyle w:val="Compact"/>
                    <w:jc w:val="right"/>
                    <w:jc w:val="center"/>
                  </w:pPr>
                  <w:r>
                    <w:t xml:space="preserve">120.17014</w:t>
                  </w:r>
                </w:p>
              </w:tc>
              <w:tc>
                <w:tcPr/>
                <w:p>
                  <w:pPr>
                    <w:pStyle w:val="Compact"/>
                    <w:jc w:val="right"/>
                    <w:jc w:val="center"/>
                  </w:pPr>
                  <w:r>
                    <w:t xml:space="preserve">13.687</w:t>
                  </w:r>
                </w:p>
              </w:tc>
              <w:tc>
                <w:tcPr/>
                <w:p>
                  <w:pPr>
                    <w:pStyle w:val="Compact"/>
                    <w:jc w:val="right"/>
                    <w:jc w:val="center"/>
                  </w:pPr>
                  <w:r>
                    <w:t xml:space="preserve">11%</w:t>
                  </w:r>
                </w:p>
              </w:tc>
              <w:tc>
                <w:tcPr/>
                <w:p>
                  <w:pPr>
                    <w:pStyle w:val="Compact"/>
                    <w:jc w:val="right"/>
                    <w:jc w:val="center"/>
                  </w:pPr>
                  <w:r>
                    <w:t xml:space="preserve">28%</w:t>
                  </w:r>
                </w:p>
              </w:tc>
              <w:tc>
                <w:tcPr/>
                <w:p>
                  <w:pPr>
                    <w:pStyle w:val="Compact"/>
                    <w:jc w:val="right"/>
                    <w:jc w:val="center"/>
                  </w:pPr>
                  <w:r>
                    <w:t xml:space="preserve">13.8</w:t>
                  </w:r>
                </w:p>
              </w:tc>
              <w:tc>
                <w:tcPr/>
                <w:p>
                  <w:pPr>
                    <w:pStyle w:val="Compact"/>
                    <w:jc w:val="right"/>
                    <w:jc w:val="center"/>
                  </w:pPr>
                  <w:r>
                    <w:t xml:space="preserve">2.5876</w:t>
                  </w:r>
                </w:p>
              </w:tc>
            </w:tr>
            <w:tr>
              <w:tc>
                <w:tcPr/>
                <w:p>
                  <w:pPr>
                    <w:pStyle w:val="Compact"/>
                    <w:jc w:val="center"/>
                    <w:jc w:val="center"/>
                  </w:pPr>
                  <w:r>
                    <w:t xml:space="preserve">2001</w:t>
                  </w:r>
                </w:p>
              </w:tc>
              <w:tc>
                <w:tcPr/>
                <w:p>
                  <w:pPr>
                    <w:pStyle w:val="Compact"/>
                    <w:jc w:val="right"/>
                    <w:jc w:val="center"/>
                  </w:pPr>
                  <w:r>
                    <w:t xml:space="preserve">130.360</w:t>
                  </w:r>
                </w:p>
              </w:tc>
              <w:tc>
                <w:tcPr/>
                <w:p>
                  <w:pPr>
                    <w:pStyle w:val="Compact"/>
                    <w:jc w:val="right"/>
                    <w:jc w:val="center"/>
                  </w:pPr>
                  <w:r>
                    <w:t xml:space="preserve">121.58886</w:t>
                  </w:r>
                </w:p>
              </w:tc>
              <w:tc>
                <w:tcPr/>
                <w:p>
                  <w:pPr>
                    <w:pStyle w:val="Compact"/>
                    <w:jc w:val="right"/>
                    <w:jc w:val="center"/>
                  </w:pPr>
                  <w:r>
                    <w:t xml:space="preserve">15.797</w:t>
                  </w:r>
                </w:p>
              </w:tc>
              <w:tc>
                <w:tcPr/>
                <w:p>
                  <w:pPr>
                    <w:pStyle w:val="Compact"/>
                    <w:jc w:val="right"/>
                    <w:jc w:val="center"/>
                  </w:pPr>
                  <w:r>
                    <w:t xml:space="preserve">12%</w:t>
                  </w:r>
                </w:p>
              </w:tc>
              <w:tc>
                <w:tcPr/>
                <w:p>
                  <w:pPr>
                    <w:pStyle w:val="Compact"/>
                    <w:jc w:val="right"/>
                    <w:jc w:val="center"/>
                  </w:pPr>
                  <w:r>
                    <w:t xml:space="preserve">21%</w:t>
                  </w:r>
                </w:p>
              </w:tc>
              <w:tc>
                <w:tcPr/>
                <w:p>
                  <w:pPr>
                    <w:pStyle w:val="Compact"/>
                    <w:jc w:val="right"/>
                    <w:jc w:val="center"/>
                  </w:pPr>
                  <w:r>
                    <w:t xml:space="preserve">30.2</w:t>
                  </w:r>
                </w:p>
              </w:tc>
              <w:tc>
                <w:tcPr/>
                <w:p>
                  <w:pPr>
                    <w:pStyle w:val="Compact"/>
                    <w:jc w:val="right"/>
                    <w:jc w:val="center"/>
                  </w:pPr>
                  <w:r>
                    <w:t xml:space="preserve">1.7492</w:t>
                  </w:r>
                </w:p>
              </w:tc>
            </w:tr>
            <w:tr>
              <w:tc>
                <w:tcPr/>
                <w:p>
                  <w:pPr>
                    <w:pStyle w:val="Compact"/>
                    <w:jc w:val="center"/>
                    <w:jc w:val="center"/>
                  </w:pPr>
                  <w:r>
                    <w:t xml:space="preserve">2002</w:t>
                  </w:r>
                </w:p>
              </w:tc>
              <w:tc>
                <w:tcPr/>
                <w:p>
                  <w:pPr>
                    <w:pStyle w:val="Compact"/>
                    <w:jc w:val="right"/>
                    <w:jc w:val="center"/>
                  </w:pPr>
                  <w:r>
                    <w:t xml:space="preserve">120.465</w:t>
                  </w:r>
                </w:p>
              </w:tc>
              <w:tc>
                <w:tcPr/>
                <w:p>
                  <w:pPr>
                    <w:pStyle w:val="Compact"/>
                    <w:jc w:val="right"/>
                    <w:jc w:val="center"/>
                  </w:pPr>
                  <w:r>
                    <w:t xml:space="preserve">111.24762</w:t>
                  </w:r>
                </w:p>
              </w:tc>
              <w:tc>
                <w:tcPr/>
                <w:p>
                  <w:pPr>
                    <w:pStyle w:val="Compact"/>
                    <w:jc w:val="right"/>
                    <w:jc w:val="center"/>
                  </w:pPr>
                  <w:r>
                    <w:t xml:space="preserve">11.277</w:t>
                  </w:r>
                </w:p>
              </w:tc>
              <w:tc>
                <w:tcPr/>
                <w:p>
                  <w:pPr>
                    <w:pStyle w:val="Compact"/>
                    <w:jc w:val="right"/>
                    <w:jc w:val="center"/>
                  </w:pPr>
                  <w:r>
                    <w:t xml:space="preserve">9%</w:t>
                  </w:r>
                </w:p>
              </w:tc>
              <w:tc>
                <w:tcPr/>
                <w:p>
                  <w:pPr>
                    <w:pStyle w:val="Compact"/>
                    <w:jc w:val="right"/>
                    <w:jc w:val="center"/>
                  </w:pPr>
                  <w:r>
                    <w:t xml:space="preserve">18%</w:t>
                  </w:r>
                </w:p>
              </w:tc>
              <w:tc>
                <w:tcPr/>
                <w:p>
                  <w:pPr>
                    <w:pStyle w:val="Compact"/>
                    <w:jc w:val="right"/>
                    <w:jc w:val="center"/>
                  </w:pPr>
                  <w:r>
                    <w:t xml:space="preserve">24.6</w:t>
                  </w:r>
                </w:p>
              </w:tc>
              <w:tc>
                <w:tcPr/>
                <w:p>
                  <w:pPr>
                    <w:pStyle w:val="Compact"/>
                    <w:jc w:val="right"/>
                    <w:jc w:val="center"/>
                  </w:pPr>
                  <w:r>
                    <w:t xml:space="preserve">1.9381</w:t>
                  </w:r>
                </w:p>
              </w:tc>
            </w:tr>
            <w:tr>
              <w:tc>
                <w:tcPr/>
                <w:p>
                  <w:pPr>
                    <w:pStyle w:val="Compact"/>
                    <w:jc w:val="center"/>
                    <w:jc w:val="center"/>
                  </w:pPr>
                  <w:r>
                    <w:t xml:space="preserve">2003</w:t>
                  </w:r>
                </w:p>
              </w:tc>
              <w:tc>
                <w:tcPr/>
                <w:p>
                  <w:pPr>
                    <w:pStyle w:val="Compact"/>
                    <w:jc w:val="right"/>
                    <w:jc w:val="center"/>
                  </w:pPr>
                  <w:r>
                    <w:t xml:space="preserve">138.190</w:t>
                  </w:r>
                </w:p>
              </w:tc>
              <w:tc>
                <w:tcPr/>
                <w:p>
                  <w:pPr>
                    <w:pStyle w:val="Compact"/>
                    <w:jc w:val="right"/>
                    <w:jc w:val="center"/>
                  </w:pPr>
                  <w:r>
                    <w:t xml:space="preserve">126.35233</w:t>
                  </w:r>
                </w:p>
              </w:tc>
              <w:tc>
                <w:tcPr/>
                <w:p>
                  <w:pPr>
                    <w:pStyle w:val="Compact"/>
                    <w:jc w:val="right"/>
                    <w:jc w:val="center"/>
                  </w:pPr>
                  <w:r>
                    <w:t xml:space="preserve">11.606</w:t>
                  </w:r>
                </w:p>
              </w:tc>
              <w:tc>
                <w:tcPr/>
                <w:p>
                  <w:pPr>
                    <w:pStyle w:val="Compact"/>
                    <w:jc w:val="right"/>
                    <w:jc w:val="center"/>
                  </w:pPr>
                  <w:r>
                    <w:t xml:space="preserve">8%</w:t>
                  </w:r>
                </w:p>
              </w:tc>
              <w:tc>
                <w:tcPr/>
                <w:p>
                  <w:pPr>
                    <w:pStyle w:val="Compact"/>
                    <w:jc w:val="right"/>
                    <w:jc w:val="center"/>
                  </w:pPr>
                  <w:r>
                    <w:t xml:space="preserve">18%</w:t>
                  </w:r>
                </w:p>
              </w:tc>
              <w:tc>
                <w:tcPr/>
                <w:p>
                  <w:pPr>
                    <w:pStyle w:val="Compact"/>
                    <w:jc w:val="right"/>
                    <w:jc w:val="center"/>
                  </w:pPr>
                  <w:r>
                    <w:t xml:space="preserve">19.8</w:t>
                  </w:r>
                </w:p>
              </w:tc>
              <w:tc>
                <w:tcPr/>
                <w:p>
                  <w:pPr>
                    <w:pStyle w:val="Compact"/>
                    <w:jc w:val="right"/>
                    <w:jc w:val="center"/>
                  </w:pPr>
                  <w:r>
                    <w:t xml:space="preserve">2.1602</w:t>
                  </w:r>
                </w:p>
              </w:tc>
            </w:tr>
            <w:tr>
              <w:tc>
                <w:tcPr/>
                <w:p>
                  <w:pPr>
                    <w:pStyle w:val="Compact"/>
                    <w:jc w:val="center"/>
                    <w:jc w:val="center"/>
                  </w:pPr>
                  <w:r>
                    <w:t xml:space="preserve">2004</w:t>
                  </w:r>
                </w:p>
              </w:tc>
              <w:tc>
                <w:tcPr/>
                <w:p>
                  <w:pPr>
                    <w:pStyle w:val="Compact"/>
                    <w:jc w:val="right"/>
                    <w:jc w:val="center"/>
                  </w:pPr>
                  <w:r>
                    <w:t xml:space="preserve">163.079</w:t>
                  </w:r>
                </w:p>
              </w:tc>
              <w:tc>
                <w:tcPr/>
                <w:p>
                  <w:pPr>
                    <w:pStyle w:val="Compact"/>
                    <w:jc w:val="right"/>
                    <w:jc w:val="center"/>
                  </w:pPr>
                  <w:r>
                    <w:t xml:space="preserve">147.63318</w:t>
                  </w:r>
                </w:p>
              </w:tc>
              <w:tc>
                <w:tcPr/>
                <w:p>
                  <w:pPr>
                    <w:pStyle w:val="Compact"/>
                    <w:jc w:val="right"/>
                    <w:jc w:val="center"/>
                  </w:pPr>
                  <w:r>
                    <w:t xml:space="preserve">12.033</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44.9</w:t>
                  </w:r>
                </w:p>
              </w:tc>
              <w:tc>
                <w:tcPr/>
                <w:p>
                  <w:pPr>
                    <w:pStyle w:val="Compact"/>
                    <w:jc w:val="right"/>
                    <w:jc w:val="center"/>
                  </w:pPr>
                  <w:r>
                    <w:t xml:space="preserve">1.4345</w:t>
                  </w:r>
                </w:p>
              </w:tc>
            </w:tr>
            <w:tr>
              <w:tc>
                <w:tcPr/>
                <w:p>
                  <w:pPr>
                    <w:pStyle w:val="Compact"/>
                    <w:jc w:val="center"/>
                    <w:jc w:val="center"/>
                  </w:pPr>
                  <w:r>
                    <w:t xml:space="preserve">2005</w:t>
                  </w:r>
                </w:p>
              </w:tc>
              <w:tc>
                <w:tcPr/>
                <w:p>
                  <w:pPr>
                    <w:pStyle w:val="Compact"/>
                    <w:jc w:val="right"/>
                    <w:jc w:val="center"/>
                  </w:pPr>
                  <w:r>
                    <w:t xml:space="preserve">193.942</w:t>
                  </w:r>
                </w:p>
              </w:tc>
              <w:tc>
                <w:tcPr/>
                <w:p>
                  <w:pPr>
                    <w:pStyle w:val="Compact"/>
                    <w:jc w:val="right"/>
                    <w:jc w:val="center"/>
                  </w:pPr>
                  <w:r>
                    <w:t xml:space="preserve">129.74712</w:t>
                  </w:r>
                </w:p>
              </w:tc>
              <w:tc>
                <w:tcPr/>
                <w:p>
                  <w:pPr>
                    <w:pStyle w:val="Compact"/>
                    <w:jc w:val="right"/>
                    <w:jc w:val="center"/>
                  </w:pPr>
                  <w:r>
                    <w:t xml:space="preserve">14.731</w:t>
                  </w:r>
                </w:p>
              </w:tc>
              <w:tc>
                <w:tcPr/>
                <w:p>
                  <w:pPr>
                    <w:pStyle w:val="Compact"/>
                    <w:jc w:val="right"/>
                    <w:jc w:val="center"/>
                  </w:pPr>
                  <w:r>
                    <w:t xml:space="preserve">8%</w:t>
                  </w:r>
                </w:p>
              </w:tc>
              <w:tc>
                <w:tcPr/>
                <w:p>
                  <w:pPr>
                    <w:pStyle w:val="Compact"/>
                    <w:jc w:val="right"/>
                    <w:jc w:val="center"/>
                  </w:pPr>
                  <w:r>
                    <w:t xml:space="preserve">11%</w:t>
                  </w:r>
                </w:p>
              </w:tc>
              <w:tc>
                <w:tcPr/>
                <w:p>
                  <w:pPr>
                    <w:pStyle w:val="Compact"/>
                    <w:jc w:val="right"/>
                    <w:jc w:val="center"/>
                  </w:pPr>
                  <w:r>
                    <w:t xml:space="preserve">43.6</w:t>
                  </w:r>
                </w:p>
              </w:tc>
              <w:tc>
                <w:tcPr/>
                <w:p>
                  <w:pPr>
                    <w:pStyle w:val="Compact"/>
                    <w:jc w:val="right"/>
                    <w:jc w:val="center"/>
                  </w:pPr>
                  <w:r>
                    <w:t xml:space="preserve">1.4558</w:t>
                  </w:r>
                </w:p>
              </w:tc>
            </w:tr>
            <w:tr>
              <w:tc>
                <w:tcPr/>
                <w:p>
                  <w:pPr>
                    <w:pStyle w:val="Compact"/>
                    <w:jc w:val="center"/>
                    <w:jc w:val="center"/>
                  </w:pPr>
                  <w:r>
                    <w:t xml:space="preserve">2006</w:t>
                  </w:r>
                </w:p>
              </w:tc>
              <w:tc>
                <w:tcPr/>
                <w:p>
                  <w:pPr>
                    <w:pStyle w:val="Compact"/>
                    <w:jc w:val="right"/>
                    <w:jc w:val="center"/>
                  </w:pPr>
                  <w:r>
                    <w:t xml:space="preserve">178.593</w:t>
                  </w:r>
                </w:p>
              </w:tc>
              <w:tc>
                <w:tcPr/>
                <w:p>
                  <w:pPr>
                    <w:pStyle w:val="Compact"/>
                    <w:jc w:val="right"/>
                    <w:jc w:val="center"/>
                  </w:pPr>
                  <w:r>
                    <w:t xml:space="preserve">119.47840</w:t>
                  </w:r>
                </w:p>
              </w:tc>
              <w:tc>
                <w:tcPr/>
                <w:p>
                  <w:pPr>
                    <w:pStyle w:val="Compact"/>
                    <w:jc w:val="right"/>
                    <w:jc w:val="center"/>
                  </w:pPr>
                  <w:r>
                    <w:t xml:space="preserve">25.286</w:t>
                  </w:r>
                </w:p>
              </w:tc>
              <w:tc>
                <w:tcPr/>
                <w:p>
                  <w:pPr>
                    <w:pStyle w:val="Compact"/>
                    <w:jc w:val="right"/>
                    <w:jc w:val="center"/>
                  </w:pPr>
                  <w:r>
                    <w:t xml:space="preserve">14%</w:t>
                  </w:r>
                </w:p>
              </w:tc>
              <w:tc>
                <w:tcPr/>
                <w:p>
                  <w:pPr>
                    <w:pStyle w:val="Compact"/>
                    <w:jc w:val="right"/>
                    <w:jc w:val="center"/>
                  </w:pPr>
                  <w:r>
                    <w:t xml:space="preserve">49%</w:t>
                  </w:r>
                </w:p>
              </w:tc>
              <w:tc>
                <w:tcPr/>
                <w:p>
                  <w:pPr>
                    <w:pStyle w:val="Compact"/>
                    <w:jc w:val="right"/>
                    <w:jc w:val="center"/>
                  </w:pPr>
                  <w:r>
                    <w:t xml:space="preserve">7.7</w:t>
                  </w:r>
                </w:p>
              </w:tc>
              <w:tc>
                <w:tcPr/>
                <w:p>
                  <w:pPr>
                    <w:pStyle w:val="Compact"/>
                    <w:jc w:val="right"/>
                    <w:jc w:val="center"/>
                  </w:pPr>
                  <w:r>
                    <w:t xml:space="preserve">3.4641</w:t>
                  </w:r>
                </w:p>
              </w:tc>
            </w:tr>
            <w:tr>
              <w:tc>
                <w:tcPr/>
                <w:p>
                  <w:pPr>
                    <w:pStyle w:val="Compact"/>
                    <w:jc w:val="center"/>
                    <w:jc w:val="center"/>
                  </w:pPr>
                  <w:r>
                    <w:t xml:space="preserve">2007</w:t>
                  </w:r>
                </w:p>
              </w:tc>
              <w:tc>
                <w:tcPr/>
                <w:p>
                  <w:pPr>
                    <w:pStyle w:val="Compact"/>
                    <w:jc w:val="right"/>
                    <w:jc w:val="center"/>
                  </w:pPr>
                  <w:r>
                    <w:t xml:space="preserve">148.058</w:t>
                  </w:r>
                </w:p>
              </w:tc>
              <w:tc>
                <w:tcPr/>
                <w:p>
                  <w:pPr>
                    <w:pStyle w:val="Compact"/>
                    <w:jc w:val="right"/>
                    <w:jc w:val="center"/>
                  </w:pPr>
                  <w:r>
                    <w:t xml:space="preserve">99.05053</w:t>
                  </w:r>
                </w:p>
              </w:tc>
              <w:tc>
                <w:tcPr/>
                <w:p>
                  <w:pPr>
                    <w:pStyle w:val="Compact"/>
                    <w:jc w:val="right"/>
                    <w:jc w:val="center"/>
                  </w:pPr>
                  <w:r>
                    <w:t xml:space="preserve">16.480</w:t>
                  </w:r>
                </w:p>
              </w:tc>
              <w:tc>
                <w:tcPr/>
                <w:p>
                  <w:pPr>
                    <w:pStyle w:val="Compact"/>
                    <w:jc w:val="right"/>
                    <w:jc w:val="center"/>
                  </w:pPr>
                  <w:r>
                    <w:t xml:space="preserve">11%</w:t>
                  </w:r>
                </w:p>
              </w:tc>
              <w:tc>
                <w:tcPr/>
                <w:p>
                  <w:pPr>
                    <w:pStyle w:val="Compact"/>
                    <w:jc w:val="right"/>
                    <w:jc w:val="center"/>
                  </w:pPr>
                  <w:r>
                    <w:t xml:space="preserve">28%</w:t>
                  </w:r>
                </w:p>
              </w:tc>
              <w:tc>
                <w:tcPr/>
                <w:p>
                  <w:pPr>
                    <w:pStyle w:val="Compact"/>
                    <w:jc w:val="right"/>
                    <w:jc w:val="center"/>
                  </w:pPr>
                  <w:r>
                    <w:t xml:space="preserve">14.5</w:t>
                  </w:r>
                </w:p>
              </w:tc>
              <w:tc>
                <w:tcPr/>
                <w:p>
                  <w:pPr>
                    <w:pStyle w:val="Compact"/>
                    <w:jc w:val="right"/>
                    <w:jc w:val="center"/>
                  </w:pPr>
                  <w:r>
                    <w:t xml:space="preserve">2.5244</w:t>
                  </w:r>
                </w:p>
              </w:tc>
            </w:tr>
            <w:tr>
              <w:tc>
                <w:tcPr/>
                <w:p>
                  <w:pPr>
                    <w:pStyle w:val="Compact"/>
                    <w:jc w:val="center"/>
                    <w:jc w:val="center"/>
                  </w:pPr>
                  <w:r>
                    <w:t xml:space="preserve">2008</w:t>
                  </w:r>
                </w:p>
              </w:tc>
              <w:tc>
                <w:tcPr/>
                <w:p>
                  <w:pPr>
                    <w:pStyle w:val="Compact"/>
                    <w:jc w:val="right"/>
                    <w:jc w:val="center"/>
                  </w:pPr>
                  <w:r>
                    <w:t xml:space="preserve">169.673</w:t>
                  </w:r>
                </w:p>
              </w:tc>
              <w:tc>
                <w:tcPr/>
                <w:p>
                  <w:pPr>
                    <w:pStyle w:val="Compact"/>
                    <w:jc w:val="right"/>
                    <w:jc w:val="center"/>
                  </w:pPr>
                  <w:r>
                    <w:t xml:space="preserve">113.51116</w:t>
                  </w:r>
                </w:p>
              </w:tc>
              <w:tc>
                <w:tcPr/>
                <w:p>
                  <w:pPr>
                    <w:pStyle w:val="Compact"/>
                    <w:jc w:val="right"/>
                    <w:jc w:val="center"/>
                  </w:pPr>
                  <w:r>
                    <w:t xml:space="preserve">10.637</w:t>
                  </w:r>
                </w:p>
              </w:tc>
              <w:tc>
                <w:tcPr/>
                <w:p>
                  <w:pPr>
                    <w:pStyle w:val="Compact"/>
                    <w:jc w:val="right"/>
                    <w:jc w:val="center"/>
                  </w:pPr>
                  <w:r>
                    <w:t xml:space="preserve">6%</w:t>
                  </w:r>
                </w:p>
              </w:tc>
              <w:tc>
                <w:tcPr/>
                <w:p>
                  <w:pPr>
                    <w:pStyle w:val="Compact"/>
                    <w:jc w:val="right"/>
                    <w:jc w:val="center"/>
                  </w:pPr>
                  <w:r>
                    <w:t xml:space="preserve">10%</w:t>
                  </w:r>
                </w:p>
              </w:tc>
              <w:tc>
                <w:tcPr/>
                <w:p>
                  <w:pPr>
                    <w:pStyle w:val="Compact"/>
                    <w:jc w:val="right"/>
                    <w:jc w:val="center"/>
                  </w:pPr>
                  <w:r>
                    <w:t xml:space="preserve">39.1</w:t>
                  </w:r>
                </w:p>
              </w:tc>
              <w:tc>
                <w:tcPr/>
                <w:p>
                  <w:pPr>
                    <w:pStyle w:val="Compact"/>
                    <w:jc w:val="right"/>
                    <w:jc w:val="center"/>
                  </w:pPr>
                  <w:r>
                    <w:t xml:space="preserve">1.5373</w:t>
                  </w:r>
                </w:p>
              </w:tc>
            </w:tr>
            <w:tr>
              <w:tc>
                <w:tcPr/>
                <w:p>
                  <w:pPr>
                    <w:pStyle w:val="Compact"/>
                    <w:jc w:val="center"/>
                    <w:jc w:val="center"/>
                  </w:pPr>
                  <w:r>
                    <w:t xml:space="preserve">2009</w:t>
                  </w:r>
                </w:p>
              </w:tc>
              <w:tc>
                <w:tcPr/>
                <w:p>
                  <w:pPr>
                    <w:pStyle w:val="Compact"/>
                    <w:jc w:val="right"/>
                    <w:jc w:val="center"/>
                  </w:pPr>
                  <w:r>
                    <w:t xml:space="preserve">161.031</w:t>
                  </w:r>
                </w:p>
              </w:tc>
              <w:tc>
                <w:tcPr/>
                <w:p>
                  <w:pPr>
                    <w:pStyle w:val="Compact"/>
                    <w:jc w:val="right"/>
                    <w:jc w:val="center"/>
                  </w:pPr>
                  <w:r>
                    <w:t xml:space="preserve">107.72963</w:t>
                  </w:r>
                </w:p>
              </w:tc>
              <w:tc>
                <w:tcPr/>
                <w:p>
                  <w:pPr>
                    <w:pStyle w:val="Compact"/>
                    <w:jc w:val="right"/>
                    <w:jc w:val="center"/>
                  </w:pPr>
                  <w:r>
                    <w:t xml:space="preserve">9.894</w:t>
                  </w:r>
                </w:p>
              </w:tc>
              <w:tc>
                <w:tcPr/>
                <w:p>
                  <w:pPr>
                    <w:pStyle w:val="Compact"/>
                    <w:jc w:val="right"/>
                    <w:jc w:val="center"/>
                  </w:pPr>
                  <w:r>
                    <w:t xml:space="preserve">6%</w:t>
                  </w:r>
                </w:p>
              </w:tc>
              <w:tc>
                <w:tcPr/>
                <w:p>
                  <w:pPr>
                    <w:pStyle w:val="Compact"/>
                    <w:jc w:val="right"/>
                    <w:jc w:val="center"/>
                  </w:pPr>
                  <w:r>
                    <w:t xml:space="preserve">10%</w:t>
                  </w:r>
                </w:p>
              </w:tc>
              <w:tc>
                <w:tcPr/>
                <w:p>
                  <w:pPr>
                    <w:pStyle w:val="Compact"/>
                    <w:jc w:val="right"/>
                    <w:jc w:val="center"/>
                  </w:pPr>
                  <w:r>
                    <w:t xml:space="preserve">36.8</w:t>
                  </w:r>
                </w:p>
              </w:tc>
              <w:tc>
                <w:tcPr/>
                <w:p>
                  <w:pPr>
                    <w:pStyle w:val="Compact"/>
                    <w:jc w:val="right"/>
                    <w:jc w:val="center"/>
                  </w:pPr>
                  <w:r>
                    <w:t xml:space="preserve">1.5846</w:t>
                  </w:r>
                </w:p>
              </w:tc>
            </w:tr>
            <w:tr>
              <w:tc>
                <w:tcPr/>
                <w:p>
                  <w:pPr>
                    <w:pStyle w:val="Compact"/>
                    <w:jc w:val="center"/>
                    <w:jc w:val="center"/>
                  </w:pPr>
                  <w:r>
                    <w:t xml:space="preserve">2010</w:t>
                  </w:r>
                </w:p>
              </w:tc>
              <w:tc>
                <w:tcPr/>
                <w:p>
                  <w:pPr>
                    <w:pStyle w:val="Compact"/>
                    <w:jc w:val="right"/>
                    <w:jc w:val="center"/>
                  </w:pPr>
                  <w:r>
                    <w:t xml:space="preserve">141.411</w:t>
                  </w:r>
                </w:p>
              </w:tc>
              <w:tc>
                <w:tcPr/>
                <w:p>
                  <w:pPr>
                    <w:pStyle w:val="Compact"/>
                    <w:jc w:val="right"/>
                    <w:jc w:val="center"/>
                  </w:pPr>
                  <w:r>
                    <w:t xml:space="preserve">94.60366</w:t>
                  </w:r>
                </w:p>
              </w:tc>
              <w:tc>
                <w:tcPr/>
                <w:p>
                  <w:pPr>
                    <w:pStyle w:val="Compact"/>
                    <w:jc w:val="right"/>
                    <w:jc w:val="center"/>
                  </w:pPr>
                  <w:r>
                    <w:t xml:space="preserve">10.989</w:t>
                  </w:r>
                </w:p>
              </w:tc>
              <w:tc>
                <w:tcPr/>
                <w:p>
                  <w:pPr>
                    <w:pStyle w:val="Compact"/>
                    <w:jc w:val="right"/>
                    <w:jc w:val="center"/>
                  </w:pPr>
                  <w:r>
                    <w:t xml:space="preserve">8%</w:t>
                  </w:r>
                </w:p>
              </w:tc>
              <w:tc>
                <w:tcPr/>
                <w:p>
                  <w:pPr>
                    <w:pStyle w:val="Compact"/>
                    <w:jc w:val="right"/>
                    <w:jc w:val="center"/>
                  </w:pPr>
                  <w:r>
                    <w:t xml:space="preserve">11%</w:t>
                  </w:r>
                </w:p>
              </w:tc>
              <w:tc>
                <w:tcPr/>
                <w:p>
                  <w:pPr>
                    <w:pStyle w:val="Compact"/>
                    <w:jc w:val="right"/>
                    <w:jc w:val="center"/>
                  </w:pPr>
                  <w:r>
                    <w:t xml:space="preserve">46.0</w:t>
                  </w:r>
                </w:p>
              </w:tc>
              <w:tc>
                <w:tcPr/>
                <w:p>
                  <w:pPr>
                    <w:pStyle w:val="Compact"/>
                    <w:jc w:val="right"/>
                    <w:jc w:val="center"/>
                  </w:pPr>
                  <w:r>
                    <w:t xml:space="preserve">1.4173</w:t>
                  </w:r>
                </w:p>
              </w:tc>
            </w:tr>
            <w:tr>
              <w:tc>
                <w:tcPr/>
                <w:p>
                  <w:pPr>
                    <w:pStyle w:val="Compact"/>
                    <w:jc w:val="center"/>
                    <w:jc w:val="center"/>
                  </w:pPr>
                  <w:r>
                    <w:t xml:space="preserve">2011</w:t>
                  </w:r>
                </w:p>
              </w:tc>
              <w:tc>
                <w:tcPr/>
                <w:p>
                  <w:pPr>
                    <w:pStyle w:val="Compact"/>
                    <w:jc w:val="right"/>
                    <w:jc w:val="center"/>
                  </w:pPr>
                  <w:r>
                    <w:t xml:space="preserve">89.460</w:t>
                  </w:r>
                </w:p>
              </w:tc>
              <w:tc>
                <w:tcPr/>
                <w:p>
                  <w:pPr>
                    <w:pStyle w:val="Compact"/>
                    <w:jc w:val="right"/>
                    <w:jc w:val="center"/>
                  </w:pPr>
                  <w:r>
                    <w:t xml:space="preserve">59.84884</w:t>
                  </w:r>
                </w:p>
              </w:tc>
              <w:tc>
                <w:tcPr/>
                <w:p>
                  <w:pPr>
                    <w:pStyle w:val="Compact"/>
                    <w:jc w:val="right"/>
                    <w:jc w:val="center"/>
                  </w:pPr>
                  <w:r>
                    <w:t xml:space="preserve">7.215</w:t>
                  </w:r>
                </w:p>
              </w:tc>
              <w:tc>
                <w:tcPr/>
                <w:p>
                  <w:pPr>
                    <w:pStyle w:val="Compact"/>
                    <w:jc w:val="right"/>
                    <w:jc w:val="center"/>
                  </w:pPr>
                  <w:r>
                    <w:t xml:space="preserve">8%</w:t>
                  </w:r>
                </w:p>
              </w:tc>
              <w:tc>
                <w:tcPr/>
                <w:p>
                  <w:pPr>
                    <w:pStyle w:val="Compact"/>
                    <w:jc w:val="right"/>
                    <w:jc w:val="center"/>
                  </w:pPr>
                  <w:r>
                    <w:t xml:space="preserve">14%</w:t>
                  </w:r>
                </w:p>
              </w:tc>
              <w:tc>
                <w:tcPr/>
                <w:p>
                  <w:pPr>
                    <w:pStyle w:val="Compact"/>
                    <w:jc w:val="right"/>
                    <w:jc w:val="center"/>
                  </w:pPr>
                  <w:r>
                    <w:t xml:space="preserve">32.6</w:t>
                  </w:r>
                </w:p>
              </w:tc>
              <w:tc>
                <w:tcPr/>
                <w:p>
                  <w:pPr>
                    <w:pStyle w:val="Compact"/>
                    <w:jc w:val="right"/>
                    <w:jc w:val="center"/>
                  </w:pPr>
                  <w:r>
                    <w:t xml:space="preserve">1.6836</w:t>
                  </w:r>
                </w:p>
              </w:tc>
            </w:tr>
            <w:tr>
              <w:tc>
                <w:tcPr/>
                <w:p>
                  <w:pPr>
                    <w:pStyle w:val="Compact"/>
                    <w:jc w:val="center"/>
                    <w:jc w:val="center"/>
                  </w:pPr>
                  <w:r>
                    <w:t xml:space="preserve">2012</w:t>
                  </w:r>
                </w:p>
              </w:tc>
              <w:tc>
                <w:tcPr/>
                <w:p>
                  <w:pPr>
                    <w:pStyle w:val="Compact"/>
                    <w:jc w:val="right"/>
                    <w:jc w:val="center"/>
                  </w:pPr>
                  <w:r>
                    <w:t xml:space="preserve">88.672</w:t>
                  </w:r>
                </w:p>
              </w:tc>
              <w:tc>
                <w:tcPr/>
                <w:p>
                  <w:pPr>
                    <w:pStyle w:val="Compact"/>
                    <w:jc w:val="right"/>
                    <w:jc w:val="center"/>
                  </w:pPr>
                  <w:r>
                    <w:t xml:space="preserve">59.32153</w:t>
                  </w:r>
                </w:p>
              </w:tc>
              <w:tc>
                <w:tcPr/>
                <w:p>
                  <w:pPr>
                    <w:pStyle w:val="Compact"/>
                    <w:jc w:val="right"/>
                    <w:jc w:val="center"/>
                  </w:pPr>
                  <w:r>
                    <w:t xml:space="preserve">9.422</w:t>
                  </w:r>
                </w:p>
              </w:tc>
              <w:tc>
                <w:tcPr/>
                <w:p>
                  <w:pPr>
                    <w:pStyle w:val="Compact"/>
                    <w:jc w:val="right"/>
                    <w:jc w:val="center"/>
                  </w:pPr>
                  <w:r>
                    <w:t xml:space="preserve">11%</w:t>
                  </w:r>
                </w:p>
              </w:tc>
              <w:tc>
                <w:tcPr/>
                <w:p>
                  <w:pPr>
                    <w:pStyle w:val="Compact"/>
                    <w:jc w:val="right"/>
                    <w:jc w:val="center"/>
                  </w:pPr>
                  <w:r>
                    <w:t xml:space="preserve">12%</w:t>
                  </w:r>
                </w:p>
              </w:tc>
              <w:tc>
                <w:tcPr/>
                <w:p>
                  <w:pPr>
                    <w:pStyle w:val="Compact"/>
                    <w:jc w:val="right"/>
                    <w:jc w:val="center"/>
                  </w:pPr>
                  <w:r>
                    <w:t xml:space="preserve">76.5</w:t>
                  </w:r>
                </w:p>
              </w:tc>
              <w:tc>
                <w:tcPr/>
                <w:p>
                  <w:pPr>
                    <w:pStyle w:val="Compact"/>
                    <w:jc w:val="right"/>
                    <w:jc w:val="center"/>
                  </w:pPr>
                  <w:r>
                    <w:t xml:space="preserve">1.0990</w:t>
                  </w:r>
                </w:p>
              </w:tc>
            </w:tr>
            <w:tr>
              <w:tc>
                <w:tcPr/>
                <w:p>
                  <w:pPr>
                    <w:pStyle w:val="Compact"/>
                    <w:jc w:val="center"/>
                    <w:jc w:val="center"/>
                  </w:pPr>
                  <w:r>
                    <w:t xml:space="preserve">2013</w:t>
                  </w:r>
                </w:p>
              </w:tc>
              <w:tc>
                <w:tcPr/>
                <w:p>
                  <w:pPr>
                    <w:pStyle w:val="Compact"/>
                    <w:jc w:val="right"/>
                    <w:jc w:val="center"/>
                  </w:pPr>
                  <w:r>
                    <w:t xml:space="preserve">97.089</w:t>
                  </w:r>
                </w:p>
              </w:tc>
              <w:tc>
                <w:tcPr/>
                <w:p>
                  <w:pPr>
                    <w:pStyle w:val="Compact"/>
                    <w:jc w:val="right"/>
                    <w:jc w:val="center"/>
                  </w:pPr>
                  <w:r>
                    <w:t xml:space="preserve">64.95235</w:t>
                  </w:r>
                </w:p>
              </w:tc>
              <w:tc>
                <w:tcPr/>
                <w:p>
                  <w:pPr>
                    <w:pStyle w:val="Compact"/>
                    <w:jc w:val="right"/>
                    <w:jc w:val="center"/>
                  </w:pPr>
                  <w:r>
                    <w:t xml:space="preserve">10.991</w:t>
                  </w:r>
                </w:p>
              </w:tc>
              <w:tc>
                <w:tcPr/>
                <w:p>
                  <w:pPr>
                    <w:pStyle w:val="Compact"/>
                    <w:jc w:val="right"/>
                    <w:jc w:val="center"/>
                  </w:pPr>
                  <w:r>
                    <w:t xml:space="preserve">11%</w:t>
                  </w:r>
                </w:p>
              </w:tc>
              <w:tc>
                <w:tcPr/>
                <w:p>
                  <w:pPr>
                    <w:pStyle w:val="Compact"/>
                    <w:jc w:val="right"/>
                    <w:jc w:val="center"/>
                  </w:pPr>
                  <w:r>
                    <w:t xml:space="preserve">14%</w:t>
                  </w:r>
                </w:p>
              </w:tc>
              <w:tc>
                <w:tcPr/>
                <w:p>
                  <w:pPr>
                    <w:pStyle w:val="Compact"/>
                    <w:jc w:val="right"/>
                    <w:jc w:val="center"/>
                  </w:pPr>
                  <w:r>
                    <w:t xml:space="preserve">56.4</w:t>
                  </w:r>
                </w:p>
              </w:tc>
              <w:tc>
                <w:tcPr/>
                <w:p>
                  <w:pPr>
                    <w:pStyle w:val="Compact"/>
                    <w:jc w:val="right"/>
                    <w:jc w:val="center"/>
                  </w:pPr>
                  <w:r>
                    <w:t xml:space="preserve">1.2800</w:t>
                  </w:r>
                </w:p>
              </w:tc>
            </w:tr>
            <w:tr>
              <w:tc>
                <w:tcPr/>
                <w:p>
                  <w:pPr>
                    <w:pStyle w:val="Compact"/>
                    <w:jc w:val="center"/>
                    <w:jc w:val="center"/>
                  </w:pPr>
                  <w:r>
                    <w:t xml:space="preserve">2014</w:t>
                  </w:r>
                </w:p>
              </w:tc>
              <w:tc>
                <w:tcPr/>
                <w:p>
                  <w:pPr>
                    <w:pStyle w:val="Compact"/>
                    <w:jc w:val="right"/>
                    <w:jc w:val="center"/>
                  </w:pPr>
                  <w:r>
                    <w:t xml:space="preserve">92.191</w:t>
                  </w:r>
                </w:p>
              </w:tc>
              <w:tc>
                <w:tcPr/>
                <w:p>
                  <w:pPr>
                    <w:pStyle w:val="Compact"/>
                    <w:jc w:val="right"/>
                    <w:jc w:val="center"/>
                  </w:pPr>
                  <w:r>
                    <w:t xml:space="preserve">61.67549</w:t>
                  </w:r>
                </w:p>
              </w:tc>
              <w:tc>
                <w:tcPr/>
                <w:p>
                  <w:pPr>
                    <w:pStyle w:val="Compact"/>
                    <w:jc w:val="right"/>
                    <w:jc w:val="center"/>
                  </w:pPr>
                  <w:r>
                    <w:t xml:space="preserve">10.589</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21.2</w:t>
                  </w:r>
                </w:p>
              </w:tc>
              <w:tc>
                <w:tcPr/>
                <w:p>
                  <w:pPr>
                    <w:pStyle w:val="Compact"/>
                    <w:jc w:val="right"/>
                    <w:jc w:val="center"/>
                  </w:pPr>
                  <w:r>
                    <w:t xml:space="preserve">2.0877</w:t>
                  </w:r>
                </w:p>
              </w:tc>
            </w:tr>
            <w:tr>
              <w:tc>
                <w:tcPr/>
                <w:p>
                  <w:pPr>
                    <w:pStyle w:val="Compact"/>
                    <w:jc w:val="center"/>
                    <w:jc w:val="center"/>
                  </w:pPr>
                  <w:r>
                    <w:t xml:space="preserve">2015</w:t>
                  </w:r>
                </w:p>
              </w:tc>
              <w:tc>
                <w:tcPr/>
                <w:p>
                  <w:pPr>
                    <w:pStyle w:val="Compact"/>
                    <w:jc w:val="right"/>
                    <w:jc w:val="center"/>
                  </w:pPr>
                  <w:r>
                    <w:t xml:space="preserve">91.071</w:t>
                  </w:r>
                </w:p>
              </w:tc>
              <w:tc>
                <w:tcPr/>
                <w:p>
                  <w:pPr>
                    <w:pStyle w:val="Compact"/>
                    <w:jc w:val="right"/>
                    <w:jc w:val="center"/>
                  </w:pPr>
                  <w:r>
                    <w:t xml:space="preserve">60.92678</w:t>
                  </w:r>
                </w:p>
              </w:tc>
              <w:tc>
                <w:tcPr/>
                <w:p>
                  <w:pPr>
                    <w:pStyle w:val="Compact"/>
                    <w:jc w:val="right"/>
                    <w:jc w:val="center"/>
                  </w:pPr>
                  <w:r>
                    <w:t xml:space="preserve">7.820</w:t>
                  </w:r>
                </w:p>
              </w:tc>
              <w:tc>
                <w:tcPr/>
                <w:p>
                  <w:pPr>
                    <w:pStyle w:val="Compact"/>
                    <w:jc w:val="right"/>
                    <w:jc w:val="center"/>
                  </w:pPr>
                  <w:r>
                    <w:t xml:space="preserve">9%</w:t>
                  </w:r>
                </w:p>
              </w:tc>
              <w:tc>
                <w:tcPr/>
                <w:p>
                  <w:pPr>
                    <w:pStyle w:val="Compact"/>
                    <w:jc w:val="right"/>
                    <w:jc w:val="center"/>
                  </w:pPr>
                  <w:r>
                    <w:t xml:space="preserve">13%</w:t>
                  </w:r>
                </w:p>
              </w:tc>
              <w:tc>
                <w:tcPr/>
                <w:p>
                  <w:pPr>
                    <w:pStyle w:val="Compact"/>
                    <w:jc w:val="right"/>
                    <w:jc w:val="center"/>
                  </w:pPr>
                  <w:r>
                    <w:t xml:space="preserve">40.3</w:t>
                  </w:r>
                </w:p>
              </w:tc>
              <w:tc>
                <w:tcPr/>
                <w:p>
                  <w:pPr>
                    <w:pStyle w:val="Compact"/>
                    <w:jc w:val="right"/>
                    <w:jc w:val="center"/>
                  </w:pPr>
                  <w:r>
                    <w:t xml:space="preserve">1.5142</w:t>
                  </w:r>
                </w:p>
              </w:tc>
            </w:tr>
            <w:tr>
              <w:tc>
                <w:tcPr/>
                <w:p>
                  <w:pPr>
                    <w:pStyle w:val="Compact"/>
                    <w:jc w:val="center"/>
                    <w:jc w:val="center"/>
                  </w:pPr>
                  <w:r>
                    <w:t xml:space="preserve">2016</w:t>
                  </w:r>
                </w:p>
              </w:tc>
              <w:tc>
                <w:tcPr/>
                <w:p>
                  <w:pPr>
                    <w:pStyle w:val="Compact"/>
                    <w:jc w:val="right"/>
                    <w:jc w:val="center"/>
                  </w:pPr>
                  <w:r>
                    <w:t xml:space="preserve">103.501</w:t>
                  </w:r>
                </w:p>
              </w:tc>
              <w:tc>
                <w:tcPr/>
                <w:p>
                  <w:pPr>
                    <w:pStyle w:val="Compact"/>
                    <w:jc w:val="right"/>
                    <w:jc w:val="center"/>
                  </w:pPr>
                  <w:r>
                    <w:t xml:space="preserve">69.24232</w:t>
                  </w:r>
                </w:p>
              </w:tc>
              <w:tc>
                <w:tcPr/>
                <w:p>
                  <w:pPr>
                    <w:pStyle w:val="Compact"/>
                    <w:jc w:val="right"/>
                    <w:jc w:val="center"/>
                  </w:pPr>
                  <w:r>
                    <w:t xml:space="preserve">10.668</w:t>
                  </w:r>
                </w:p>
              </w:tc>
              <w:tc>
                <w:tcPr/>
                <w:p>
                  <w:pPr>
                    <w:pStyle w:val="Compact"/>
                    <w:jc w:val="right"/>
                    <w:jc w:val="center"/>
                  </w:pPr>
                  <w:r>
                    <w:t xml:space="preserve">10%</w:t>
                  </w:r>
                </w:p>
              </w:tc>
              <w:tc>
                <w:tcPr/>
                <w:p>
                  <w:pPr>
                    <w:pStyle w:val="Compact"/>
                    <w:jc w:val="right"/>
                    <w:jc w:val="center"/>
                  </w:pPr>
                  <w:r>
                    <w:t xml:space="preserve">18%</w:t>
                  </w:r>
                </w:p>
              </w:tc>
              <w:tc>
                <w:tcPr/>
                <w:p>
                  <w:pPr>
                    <w:pStyle w:val="Compact"/>
                    <w:jc w:val="right"/>
                    <w:jc w:val="center"/>
                  </w:pPr>
                  <w:r>
                    <w:t xml:space="preserve">29.2</w:t>
                  </w:r>
                </w:p>
              </w:tc>
              <w:tc>
                <w:tcPr/>
                <w:p>
                  <w:pPr>
                    <w:pStyle w:val="Compact"/>
                    <w:jc w:val="right"/>
                    <w:jc w:val="center"/>
                  </w:pPr>
                  <w:r>
                    <w:t xml:space="preserve">1.7789</w:t>
                  </w:r>
                </w:p>
              </w:tc>
            </w:tr>
            <w:tr>
              <w:tc>
                <w:tcPr/>
                <w:p>
                  <w:pPr>
                    <w:pStyle w:val="Compact"/>
                    <w:jc w:val="center"/>
                    <w:jc w:val="center"/>
                  </w:pPr>
                  <w:r>
                    <w:t xml:space="preserve">2017</w:t>
                  </w:r>
                </w:p>
              </w:tc>
              <w:tc>
                <w:tcPr/>
                <w:p>
                  <w:pPr>
                    <w:pStyle w:val="Compact"/>
                    <w:jc w:val="right"/>
                    <w:jc w:val="center"/>
                  </w:pPr>
                  <w:r>
                    <w:t xml:space="preserve">111.113</w:t>
                  </w:r>
                </w:p>
              </w:tc>
              <w:tc>
                <w:tcPr/>
                <w:p>
                  <w:pPr>
                    <w:pStyle w:val="Compact"/>
                    <w:jc w:val="right"/>
                    <w:jc w:val="center"/>
                  </w:pPr>
                  <w:r>
                    <w:t xml:space="preserve">74.33426</w:t>
                  </w:r>
                </w:p>
              </w:tc>
              <w:tc>
                <w:tcPr/>
                <w:p>
                  <w:pPr>
                    <w:pStyle w:val="Compact"/>
                    <w:jc w:val="right"/>
                    <w:jc w:val="center"/>
                  </w:pPr>
                  <w:r>
                    <w:t xml:space="preserve">13.865</w:t>
                  </w:r>
                </w:p>
              </w:tc>
              <w:tc>
                <w:tcPr/>
                <w:p>
                  <w:pPr>
                    <w:pStyle w:val="Compact"/>
                    <w:jc w:val="right"/>
                    <w:jc w:val="center"/>
                  </w:pPr>
                  <w:r>
                    <w:t xml:space="preserve">12%</w:t>
                  </w:r>
                </w:p>
              </w:tc>
              <w:tc>
                <w:tcPr/>
                <w:p>
                  <w:pPr>
                    <w:pStyle w:val="Compact"/>
                    <w:jc w:val="right"/>
                    <w:jc w:val="center"/>
                  </w:pPr>
                  <w:r>
                    <w:t xml:space="preserve">25%</w:t>
                  </w:r>
                </w:p>
              </w:tc>
              <w:tc>
                <w:tcPr/>
                <w:p>
                  <w:pPr>
                    <w:pStyle w:val="Compact"/>
                    <w:jc w:val="right"/>
                    <w:jc w:val="center"/>
                  </w:pPr>
                  <w:r>
                    <w:t xml:space="preserve">23.3</w:t>
                  </w:r>
                </w:p>
              </w:tc>
              <w:tc>
                <w:tcPr/>
                <w:p>
                  <w:pPr>
                    <w:pStyle w:val="Compact"/>
                    <w:jc w:val="right"/>
                    <w:jc w:val="center"/>
                  </w:pPr>
                  <w:r>
                    <w:t xml:space="preserve">1.9914</w:t>
                  </w:r>
                </w:p>
              </w:tc>
            </w:tr>
            <w:tr>
              <w:tc>
                <w:tcPr/>
                <w:p>
                  <w:pPr>
                    <w:pStyle w:val="Compact"/>
                    <w:jc w:val="center"/>
                    <w:jc w:val="center"/>
                  </w:pPr>
                  <w:r>
                    <w:t xml:space="preserve">2018</w:t>
                  </w:r>
                </w:p>
              </w:tc>
              <w:tc>
                <w:tcPr/>
                <w:p>
                  <w:pPr>
                    <w:pStyle w:val="Compact"/>
                    <w:jc w:val="right"/>
                    <w:jc w:val="center"/>
                  </w:pPr>
                  <w:r>
                    <w:t xml:space="preserve">104.030</w:t>
                  </w:r>
                </w:p>
              </w:tc>
              <w:tc>
                <w:tcPr/>
                <w:p>
                  <w:pPr>
                    <w:pStyle w:val="Compact"/>
                    <w:jc w:val="right"/>
                    <w:jc w:val="center"/>
                  </w:pPr>
                  <w:r>
                    <w:t xml:space="preserve">69.59604</w:t>
                  </w:r>
                </w:p>
              </w:tc>
              <w:tc>
                <w:tcPr/>
                <w:p>
                  <w:pPr>
                    <w:pStyle w:val="Compact"/>
                    <w:jc w:val="right"/>
                    <w:jc w:val="center"/>
                  </w:pPr>
                  <w:r>
                    <w:t xml:space="preserve">13.952</w:t>
                  </w:r>
                </w:p>
              </w:tc>
              <w:tc>
                <w:tcPr/>
                <w:p>
                  <w:pPr>
                    <w:pStyle w:val="Compact"/>
                    <w:jc w:val="right"/>
                    <w:jc w:val="center"/>
                  </w:pPr>
                  <w:r>
                    <w:t xml:space="preserve">13%</w:t>
                  </w:r>
                </w:p>
              </w:tc>
              <w:tc>
                <w:tcPr/>
                <w:p>
                  <w:pPr>
                    <w:pStyle w:val="Compact"/>
                    <w:jc w:val="right"/>
                    <w:jc w:val="center"/>
                  </w:pPr>
                  <w:r>
                    <w:t xml:space="preserve">31%</w:t>
                  </w:r>
                </w:p>
              </w:tc>
              <w:tc>
                <w:tcPr/>
                <w:p>
                  <w:pPr>
                    <w:pStyle w:val="Compact"/>
                    <w:jc w:val="right"/>
                    <w:jc w:val="center"/>
                  </w:pPr>
                  <w:r>
                    <w:t xml:space="preserve">16.8</w:t>
                  </w:r>
                </w:p>
              </w:tc>
              <w:tc>
                <w:tcPr/>
                <w:p>
                  <w:pPr>
                    <w:pStyle w:val="Compact"/>
                    <w:jc w:val="right"/>
                    <w:jc w:val="center"/>
                  </w:pPr>
                  <w:r>
                    <w:t xml:space="preserve">2.3452</w:t>
                  </w:r>
                </w:p>
              </w:tc>
            </w:tr>
            <w:tr>
              <w:tc>
                <w:tcPr/>
                <w:p>
                  <w:pPr>
                    <w:pStyle w:val="Compact"/>
                    <w:jc w:val="center"/>
                    <w:jc w:val="center"/>
                  </w:pPr>
                  <w:r>
                    <w:t xml:space="preserve">2019</w:t>
                  </w:r>
                </w:p>
              </w:tc>
              <w:tc>
                <w:tcPr/>
                <w:p>
                  <w:pPr>
                    <w:pStyle w:val="Compact"/>
                    <w:jc w:val="right"/>
                    <w:jc w:val="center"/>
                  </w:pPr>
                  <w:r>
                    <w:t xml:space="preserve">153.819</w:t>
                  </w:r>
                </w:p>
              </w:tc>
              <w:tc>
                <w:tcPr/>
                <w:p>
                  <w:pPr>
                    <w:pStyle w:val="Compact"/>
                    <w:jc w:val="right"/>
                    <w:jc w:val="center"/>
                  </w:pPr>
                  <w:r>
                    <w:t xml:space="preserve">102.90499</w:t>
                  </w:r>
                </w:p>
              </w:tc>
              <w:tc>
                <w:tcPr/>
                <w:p>
                  <w:pPr>
                    <w:pStyle w:val="Compact"/>
                    <w:jc w:val="right"/>
                    <w:jc w:val="center"/>
                  </w:pPr>
                  <w:r>
                    <w:t xml:space="preserve">18.896</w:t>
                  </w:r>
                </w:p>
              </w:tc>
              <w:tc>
                <w:tcPr/>
                <w:p>
                  <w:pPr>
                    <w:pStyle w:val="Compact"/>
                    <w:jc w:val="right"/>
                    <w:jc w:val="center"/>
                  </w:pPr>
                  <w:r>
                    <w:t xml:space="preserve">12%</w:t>
                  </w:r>
                </w:p>
              </w:tc>
              <w:tc>
                <w:tcPr/>
                <w:p>
                  <w:pPr>
                    <w:pStyle w:val="Compact"/>
                    <w:jc w:val="right"/>
                    <w:jc w:val="center"/>
                  </w:pPr>
                  <w:r>
                    <w:t xml:space="preserve">18%</w:t>
                  </w:r>
                </w:p>
              </w:tc>
              <w:tc>
                <w:tcPr/>
                <w:p>
                  <w:pPr>
                    <w:pStyle w:val="Compact"/>
                    <w:jc w:val="right"/>
                    <w:jc w:val="center"/>
                  </w:pPr>
                  <w:r>
                    <w:t xml:space="preserve">41.2</w:t>
                  </w:r>
                </w:p>
              </w:tc>
              <w:tc>
                <w:tcPr/>
                <w:p>
                  <w:pPr>
                    <w:pStyle w:val="Compact"/>
                    <w:jc w:val="right"/>
                    <w:jc w:val="center"/>
                  </w:pPr>
                  <w:r>
                    <w:t xml:space="preserve">1.4976</w:t>
                  </w:r>
                </w:p>
              </w:tc>
            </w:tr>
            <w:tr>
              <w:tc>
                <w:tcPr/>
                <w:p>
                  <w:pPr>
                    <w:pStyle w:val="Compact"/>
                    <w:jc w:val="center"/>
                    <w:jc w:val="center"/>
                  </w:pPr>
                  <w:r>
                    <w:t xml:space="preserve">2020</w:t>
                  </w:r>
                </w:p>
              </w:tc>
              <w:tc>
                <w:tcPr/>
                <w:p>
                  <w:pPr>
                    <w:pStyle w:val="Compact"/>
                    <w:jc w:val="right"/>
                    <w:jc w:val="center"/>
                  </w:pPr>
                  <w:r>
                    <w:t xml:space="preserve">143.967</w:t>
                  </w:r>
                </w:p>
              </w:tc>
              <w:tc>
                <w:tcPr/>
                <w:p>
                  <w:pPr>
                    <w:pStyle w:val="Compact"/>
                    <w:jc w:val="right"/>
                    <w:jc w:val="center"/>
                  </w:pPr>
                  <w:r>
                    <w:t xml:space="preserve">96.31388</w:t>
                  </w:r>
                </w:p>
              </w:tc>
              <w:tc>
                <w:tcPr/>
                <w:p>
                  <w:pPr>
                    <w:pStyle w:val="Compact"/>
                    <w:jc w:val="right"/>
                    <w:jc w:val="center"/>
                  </w:pPr>
                  <w:r>
                    <w:t xml:space="preserve">16.481</w:t>
                  </w:r>
                </w:p>
              </w:tc>
              <w:tc>
                <w:tcPr/>
                <w:p>
                  <w:pPr>
                    <w:pStyle w:val="Compact"/>
                    <w:jc w:val="right"/>
                    <w:jc w:val="center"/>
                  </w:pPr>
                  <w:r>
                    <w:t xml:space="preserve">11%</w:t>
                  </w:r>
                </w:p>
              </w:tc>
              <w:tc>
                <w:tcPr/>
                <w:p>
                  <w:pPr>
                    <w:pStyle w:val="Compact"/>
                    <w:jc w:val="right"/>
                    <w:jc w:val="center"/>
                  </w:pPr>
                  <w:r>
                    <w:t xml:space="preserve">15%</w:t>
                  </w:r>
                </w:p>
              </w:tc>
              <w:tc>
                <w:tcPr/>
                <w:p>
                  <w:pPr>
                    <w:pStyle w:val="Compact"/>
                    <w:jc w:val="right"/>
                    <w:jc w:val="center"/>
                  </w:pPr>
                  <w:r>
                    <w:t xml:space="preserve">50.9</w:t>
                  </w:r>
                </w:p>
              </w:tc>
              <w:tc>
                <w:tcPr/>
                <w:p>
                  <w:pPr>
                    <w:pStyle w:val="Compact"/>
                    <w:jc w:val="right"/>
                    <w:jc w:val="center"/>
                  </w:pPr>
                  <w:r>
                    <w:t xml:space="preserve">1.3473</w:t>
                  </w:r>
                </w:p>
              </w:tc>
            </w:tr>
            <w:tr>
              <w:tc>
                <w:tcPr/>
                <w:p>
                  <w:pPr>
                    <w:pStyle w:val="Compact"/>
                    <w:jc w:val="center"/>
                    <w:jc w:val="center"/>
                  </w:pPr>
                  <w:r>
                    <w:t xml:space="preserve">2021</w:t>
                  </w:r>
                </w:p>
              </w:tc>
              <w:tc>
                <w:tcPr/>
                <w:p>
                  <w:pPr>
                    <w:pStyle w:val="Compact"/>
                    <w:jc w:val="right"/>
                    <w:jc w:val="center"/>
                  </w:pPr>
                  <w:r>
                    <w:t xml:space="preserve">140.068</w:t>
                  </w:r>
                </w:p>
              </w:tc>
              <w:tc>
                <w:tcPr/>
                <w:p>
                  <w:pPr>
                    <w:pStyle w:val="Compact"/>
                    <w:jc w:val="right"/>
                    <w:jc w:val="center"/>
                  </w:pPr>
                  <w:r>
                    <w:t xml:space="preserve">93.70528</w:t>
                  </w:r>
                </w:p>
              </w:tc>
              <w:tc>
                <w:tcPr/>
                <w:p>
                  <w:pPr>
                    <w:pStyle w:val="Compact"/>
                    <w:jc w:val="right"/>
                    <w:jc w:val="center"/>
                  </w:pPr>
                  <w:r>
                    <w:t xml:space="preserve">19.265</w:t>
                  </w:r>
                </w:p>
              </w:tc>
              <w:tc>
                <w:tcPr/>
                <w:p>
                  <w:pPr>
                    <w:pStyle w:val="Compact"/>
                    <w:jc w:val="right"/>
                    <w:jc w:val="center"/>
                  </w:pPr>
                  <w:r>
                    <w:t xml:space="preserve">14%</w:t>
                  </w:r>
                </w:p>
              </w:tc>
              <w:tc>
                <w:tcPr/>
                <w:p>
                  <w:pPr>
                    <w:pStyle w:val="Compact"/>
                    <w:jc w:val="right"/>
                    <w:jc w:val="center"/>
                  </w:pPr>
                  <w:r>
                    <w:t xml:space="preserve">16%</w:t>
                  </w:r>
                </w:p>
              </w:tc>
              <w:tc>
                <w:tcPr/>
                <w:p>
                  <w:pPr>
                    <w:pStyle w:val="Compact"/>
                    <w:jc w:val="right"/>
                    <w:jc w:val="center"/>
                  </w:pPr>
                  <w:r>
                    <w:t xml:space="preserve">69.7</w:t>
                  </w:r>
                </w:p>
              </w:tc>
              <w:tc>
                <w:tcPr/>
                <w:p>
                  <w:pPr>
                    <w:pStyle w:val="Compact"/>
                    <w:jc w:val="right"/>
                    <w:jc w:val="center"/>
                  </w:pPr>
                  <w:r>
                    <w:t xml:space="preserve">1.1514</w:t>
                  </w:r>
                </w:p>
              </w:tc>
            </w:tr>
            <w:tr>
              <w:tc>
                <w:tcPr/>
                <w:p>
                  <w:pPr>
                    <w:pStyle w:val="Compact"/>
                    <w:jc w:val="center"/>
                    <w:jc w:val="center"/>
                  </w:pPr>
                  <w:r>
                    <w:t xml:space="preserve">2022</w:t>
                  </w:r>
                </w:p>
              </w:tc>
              <w:tc>
                <w:tcPr/>
                <w:p>
                  <w:pPr>
                    <w:pStyle w:val="Compact"/>
                    <w:jc w:val="right"/>
                    <w:jc w:val="center"/>
                  </w:pPr>
                  <w:r>
                    <w:t xml:space="preserve">134.764</w:t>
                  </w:r>
                </w:p>
              </w:tc>
              <w:tc>
                <w:tcPr/>
                <w:p>
                  <w:pPr>
                    <w:pStyle w:val="Compact"/>
                    <w:jc w:val="right"/>
                    <w:jc w:val="center"/>
                  </w:pPr>
                  <w:r>
                    <w:t xml:space="preserve">90.15704</w:t>
                  </w:r>
                </w:p>
              </w:tc>
              <w:tc>
                <w:tcPr/>
                <w:p>
                  <w:pPr>
                    <w:pStyle w:val="Compact"/>
                    <w:jc w:val="right"/>
                    <w:jc w:val="center"/>
                  </w:pPr>
                  <w:r>
                    <w:t xml:space="preserve">21.881</w:t>
                  </w:r>
                </w:p>
              </w:tc>
              <w:tc>
                <w:tcPr/>
                <w:p>
                  <w:pPr>
                    <w:pStyle w:val="Compact"/>
                    <w:jc w:val="right"/>
                    <w:jc w:val="center"/>
                  </w:pPr>
                  <w:r>
                    <w:t xml:space="preserve">16%</w:t>
                  </w:r>
                </w:p>
              </w:tc>
              <w:tc>
                <w:tcPr/>
                <w:p>
                  <w:pPr>
                    <w:pStyle w:val="Compact"/>
                    <w:jc w:val="right"/>
                    <w:jc w:val="center"/>
                  </w:pPr>
                  <w:r>
                    <w:t xml:space="preserve">17%</w:t>
                  </w:r>
                </w:p>
              </w:tc>
              <w:tc>
                <w:tcPr/>
                <w:p>
                  <w:pPr>
                    <w:pStyle w:val="Compact"/>
                    <w:jc w:val="right"/>
                    <w:jc w:val="center"/>
                  </w:pPr>
                  <w:r>
                    <w:t xml:space="preserve">80.9</w:t>
                  </w:r>
                </w:p>
              </w:tc>
              <w:tc>
                <w:tcPr/>
                <w:p>
                  <w:pPr>
                    <w:pStyle w:val="Compact"/>
                    <w:jc w:val="right"/>
                    <w:jc w:val="center"/>
                  </w:pPr>
                  <w:r>
                    <w:t xml:space="preserve">1.0687</w:t>
                  </w:r>
                </w:p>
              </w:tc>
            </w:tr>
            <w:tr>
              <w:tc>
                <w:tcPr/>
                <w:p>
                  <w:pPr>
                    <w:pStyle w:val="Compact"/>
                    <w:jc w:val="center"/>
                    <w:jc w:val="center"/>
                  </w:pPr>
                  <w:r>
                    <w:t xml:space="preserve">2023</w:t>
                  </w:r>
                </w:p>
              </w:tc>
              <w:tc>
                <w:tcPr/>
                <w:p>
                  <w:pPr>
                    <w:pStyle w:val="Compact"/>
                    <w:jc w:val="right"/>
                    <w:jc w:val="center"/>
                  </w:pPr>
                  <w:r>
                    <w:t xml:space="preserve">146.730</w:t>
                  </w:r>
                </w:p>
              </w:tc>
              <w:tc>
                <w:tcPr/>
                <w:p>
                  <w:pPr>
                    <w:pStyle w:val="Compact"/>
                    <w:jc w:val="right"/>
                    <w:jc w:val="center"/>
                  </w:pPr>
                  <w:r>
                    <w:t xml:space="preserve">98.16246</w:t>
                  </w:r>
                </w:p>
              </w:tc>
              <w:tc>
                <w:tcPr/>
                <w:p>
                  <w:pPr>
                    <w:pStyle w:val="Compact"/>
                    <w:jc w:val="right"/>
                    <w:jc w:val="center"/>
                  </w:pPr>
                  <w:r>
                    <w:t xml:space="preserve">22.071</w:t>
                  </w:r>
                </w:p>
              </w:tc>
              <w:tc>
                <w:tcPr/>
                <w:p>
                  <w:pPr>
                    <w:pStyle w:val="Compact"/>
                    <w:jc w:val="right"/>
                    <w:jc w:val="center"/>
                  </w:pPr>
                  <w:r>
                    <w:t xml:space="preserve">15%</w:t>
                  </w:r>
                </w:p>
              </w:tc>
              <w:tc>
                <w:tcPr/>
                <w:p>
                  <w:pPr>
                    <w:pStyle w:val="Compact"/>
                    <w:jc w:val="right"/>
                    <w:jc w:val="center"/>
                  </w:pPr>
                  <w:r>
                    <w:t xml:space="preserve">16%</w:t>
                  </w:r>
                </w:p>
              </w:tc>
              <w:tc>
                <w:tcPr/>
                <w:p>
                  <w:pPr>
                    <w:pStyle w:val="Compact"/>
                    <w:jc w:val="right"/>
                    <w:jc w:val="center"/>
                  </w:pPr>
                  <w:r>
                    <w:t xml:space="preserve">83.4</w:t>
                  </w:r>
                </w:p>
              </w:tc>
              <w:tc>
                <w:tcPr/>
                <w:p>
                  <w:pPr>
                    <w:pStyle w:val="Compact"/>
                    <w:jc w:val="right"/>
                    <w:jc w:val="center"/>
                  </w:pPr>
                  <w:r>
                    <w:t xml:space="preserve">1.0526</w:t>
                  </w:r>
                </w:p>
              </w:tc>
            </w:tr>
            <w:tr>
              <w:tc>
                <w:tcPr/>
                <w:p>
                  <w:pPr>
                    <w:pStyle w:val="Compact"/>
                    <w:jc w:val="center"/>
                    <w:jc w:val="center"/>
                  </w:pPr>
                  <w:r>
                    <w:t xml:space="preserve">2024</w:t>
                  </w:r>
                </w:p>
              </w:tc>
              <w:tc>
                <w:tcPr/>
                <w:p>
                  <w:pPr>
                    <w:pStyle w:val="Compact"/>
                    <w:jc w:val="right"/>
                    <w:jc w:val="center"/>
                  </w:pPr>
                  <w:r>
                    <w:t xml:space="preserve">123.286</w:t>
                  </w:r>
                </w:p>
              </w:tc>
              <w:tc>
                <w:tcPr/>
                <w:p>
                  <w:pPr>
                    <w:pStyle w:val="Compact"/>
                    <w:jc w:val="right"/>
                    <w:jc w:val="center"/>
                  </w:pPr>
                  <w:r>
                    <w:t xml:space="preserve">82.47849</w:t>
                  </w:r>
                </w:p>
              </w:tc>
              <w:tc>
                <w:tcPr/>
                <w:p>
                  <w:pPr>
                    <w:pStyle w:val="Compact"/>
                    <w:jc w:val="right"/>
                    <w:jc w:val="center"/>
                  </w:pPr>
                  <w:r>
                    <w:t xml:space="preserve">14.038</w:t>
                  </w:r>
                </w:p>
              </w:tc>
              <w:tc>
                <w:tcPr/>
                <w:p>
                  <w:pPr>
                    <w:pStyle w:val="Compact"/>
                    <w:jc w:val="right"/>
                    <w:jc w:val="center"/>
                  </w:pPr>
                  <w:r>
                    <w:t xml:space="preserve">11%</w:t>
                  </w:r>
                </w:p>
              </w:tc>
              <w:tc>
                <w:tcPr/>
                <w:p>
                  <w:pPr>
                    <w:pStyle w:val="Compact"/>
                    <w:jc w:val="right"/>
                    <w:jc w:val="center"/>
                  </w:pPr>
                  <w:r>
                    <w:t xml:space="preserve">11%</w:t>
                  </w:r>
                </w:p>
              </w:tc>
              <w:tc>
                <w:tcPr/>
                <w:p>
                  <w:pPr>
                    <w:pStyle w:val="Compact"/>
                    <w:jc w:val="right"/>
                    <w:jc w:val="center"/>
                  </w:pPr>
                  <w:r>
                    <w:t xml:space="preserve">92.4</w:t>
                  </w:r>
                </w:p>
              </w:tc>
              <w:tc>
                <w:tcPr/>
                <w:p>
                  <w:pPr>
                    <w:pStyle w:val="Compact"/>
                    <w:jc w:val="right"/>
                    <w:jc w:val="center"/>
                  </w:pPr>
                  <w:r>
                    <w:t xml:space="preserve">1.0000</w:t>
                  </w:r>
                </w:p>
              </w:tc>
            </w:tr>
            <w:tr>
              <w:tc>
                <w:tcPr/>
                <w:p>
                  <w:pPr>
                    <w:pStyle w:val="Compact"/>
                    <w:jc w:val="center"/>
                    <w:jc w:val="center"/>
                  </w:pPr>
                  <w:r>
                    <w:t xml:space="preserve">2025</w:t>
                  </w:r>
                </w:p>
              </w:tc>
              <w:tc>
                <w:tcPr/>
                <w:p>
                  <w:pPr>
                    <w:pStyle w:val="Compact"/>
                    <w:jc w:val="right"/>
                    <w:jc w:val="center"/>
                  </w:pPr>
                  <w:r>
                    <w:t xml:space="preserve">145.421</w:t>
                  </w:r>
                </w:p>
              </w:tc>
              <w:tc>
                <w:tcPr/>
                <w:p>
                  <w:pPr>
                    <w:pStyle w:val="Compact"/>
                    <w:jc w:val="right"/>
                    <w:jc w:val="center"/>
                  </w:pPr>
                  <w:r>
                    <w:t xml:space="preserve">97.28663</w:t>
                  </w:r>
                </w:p>
              </w:tc>
              <w:tc>
                <w:tcPr/>
                <w:p>
                  <w:pPr>
                    <w:pStyle w:val="Compact"/>
                    <w:jc w:val="right"/>
                    <w:jc w:val="center"/>
                  </w:pPr>
                  <w:r>
                    <w:t xml:space="preserve">13.947</w:t>
                  </w:r>
                </w:p>
              </w:tc>
              <w:tc>
                <w:tcPr/>
                <w:p>
                  <w:pPr>
                    <w:pStyle w:val="Compact"/>
                    <w:jc w:val="right"/>
                    <w:jc w:val="center"/>
                  </w:pPr>
                  <w:r>
                    <w:t xml:space="preserve">10%</w:t>
                  </w:r>
                </w:p>
              </w:tc>
              <w:tc>
                <w:tcPr/>
                <w:p>
                  <w:pPr>
                    <w:pStyle w:val="Compact"/>
                    <w:jc w:val="right"/>
                    <w:jc w:val="center"/>
                  </w:pPr>
                  <w:r>
                    <w:t xml:space="preserve">10%</w:t>
                  </w:r>
                </w:p>
              </w:tc>
              <w:tc>
                <w:tcPr/>
                <w:p>
                  <w:pPr>
                    <w:pStyle w:val="Compact"/>
                    <w:jc w:val="right"/>
                    <w:jc w:val="center"/>
                  </w:pPr>
                  <w:r>
                    <w:t xml:space="preserve">88.8</w:t>
                  </w:r>
                </w:p>
              </w:tc>
              <w:tc>
                <w:tcPr/>
                <w:p>
                  <w:pPr>
                    <w:pStyle w:val="Compact"/>
                    <w:jc w:val="right"/>
                    <w:jc w:val="center"/>
                  </w:pPr>
                  <w:r>
                    <w:t xml:space="preserve">1.0201</w:t>
                  </w:r>
                </w:p>
              </w:tc>
            </w:tr>
            <w:tr>
              <w:tc>
                <w:tcPr/>
                <w:p>
                  <w:pPr>
                    <w:pStyle w:val="Compact"/>
                    <w:jc w:val="center"/>
                    <w:jc w:val="center"/>
                  </w:pPr>
                  <w:r>
                    <w:t xml:space="preserve">Mean 1998-2025</w:t>
                  </w:r>
                </w:p>
              </w:tc>
              <w:tc>
                <w:tcPr/>
                <w:p>
                  <w:pPr>
                    <w:pStyle w:val="Compact"/>
                    <w:jc w:val="right"/>
                    <w:jc w:val="center"/>
                  </w:pPr>
                  <w:r>
                    <w:t xml:space="preserve">129.614</w:t>
                  </w:r>
                </w:p>
              </w:tc>
              <w:tc>
                <w:tcPr/>
                <w:p>
                  <w:pPr>
                    <w:pStyle w:val="Compact"/>
                    <w:jc w:val="right"/>
                    <w:jc w:val="center"/>
                  </w:pPr>
                  <w:r>
                    <w:t xml:space="preserve">94.83282</w:t>
                  </w:r>
                </w:p>
              </w:tc>
              <w:tc>
                <w:tcPr/>
                <w:p>
                  <w:pPr>
                    <w:pStyle w:val="Compact"/>
                    <w:jc w:val="right"/>
                    <w:jc w:val="center"/>
                  </w:pPr>
                  <w:r>
                    <w:t xml:space="preserve">13.877</w:t>
                  </w:r>
                </w:p>
              </w:tc>
              <w:tc>
                <w:tcPr/>
                <w:p>
                  <w:pPr>
                    <w:pStyle w:val="Compact"/>
                    <w:jc w:val="right"/>
                    <w:jc w:val="center"/>
                  </w:pPr>
                  <w:r>
                    <w:t xml:space="preserve">11%</w:t>
                  </w:r>
                </w:p>
              </w:tc>
              <w:tc>
                <w:tcPr/>
                <w:p>
                  <w:pPr>
                    <w:pStyle w:val="Compact"/>
                    <w:jc w:val="right"/>
                    <w:jc w:val="center"/>
                  </w:pPr>
                  <w:r>
                    <w:t xml:space="preserve">20%</w:t>
                  </w:r>
                </w:p>
              </w:tc>
              <w:tc>
                <w:tcPr/>
                <w:p>
                  <w:pPr>
                    <w:pStyle w:val="Compact"/>
                    <w:jc w:val="right"/>
                    <w:jc w:val="center"/>
                  </w:pPr>
                  <w:r>
                    <w:t xml:space="preserve">81.0</w:t>
                  </w:r>
                </w:p>
              </w:tc>
              <w:tc>
                <w:tcPr/>
                <w:p>
                  <w:pPr>
                    <w:pStyle w:val="Compact"/>
                    <w:jc w:val="right"/>
                    <w:jc w:val="center"/>
                  </w:pPr>
                  <w:r>
                    <w:t xml:space="preserve">1.0681</w:t>
                  </w:r>
                </w:p>
              </w:tc>
            </w:tr>
          </w:tbl>
          <w:bookmarkEnd w:id="25"/>
          <w:p/>
        </w:tc>
      </w:tr>
    </w:tbl>
    <w:p>
      <w:pPr>
        <w:pStyle w:val="BodyText"/>
      </w:pPr>
      <w:r>
        <w:rPr>
          <w:b/>
          <w:bCs/>
        </w:rPr>
        <w:t xml:space="preserve">43.</w:t>
      </w:r>
      <w:r>
        <w:t xml:space="preserve"> </w:t>
      </w:r>
      <w:r>
        <w:t xml:space="preserve">The Peruvian CPUE presentation covered a standardized CPUE series for 2015-2025</w:t>
      </w:r>
      <w:r>
        <w:t xml:space="preserve"> </w:t>
      </w:r>
      <w:r>
        <w:t xml:space="preserve">that combines industrial and artisanal fleets. The meeting noted this combined</w:t>
      </w:r>
      <w:r>
        <w:t xml:space="preserve"> </w:t>
      </w:r>
      <w:r>
        <w:t xml:space="preserve">fleet treatment as a strength, but also discussed the interpretation of trip</w:t>
      </w:r>
      <w:r>
        <w:t xml:space="preserve"> </w:t>
      </w:r>
      <w:r>
        <w:t xml:space="preserve">locations, haul-capacity and distance-to-coast smoothers, possible differences</w:t>
      </w:r>
      <w:r>
        <w:t xml:space="preserve"> </w:t>
      </w:r>
      <w:r>
        <w:t xml:space="preserve">between industrial and artisanal fleet effects, and changes in Peruvian fishing</w:t>
      </w:r>
      <w:r>
        <w:t xml:space="preserve"> </w:t>
      </w:r>
      <w:r>
        <w:t xml:space="preserve">operations. Members noted that jack mackerel has been used for direct human</w:t>
      </w:r>
      <w:r>
        <w:t xml:space="preserve"> </w:t>
      </w:r>
      <w:r>
        <w:t xml:space="preserve">consumption in Peru since 2002, and that the artisanal fishery has accounted for</w:t>
      </w:r>
      <w:r>
        <w:t xml:space="preserve"> </w:t>
      </w:r>
      <w:r>
        <w:t xml:space="preserve">a larger share of the quota since 2019. These changes, in combination with</w:t>
      </w:r>
      <w:r>
        <w:t xml:space="preserve"> </w:t>
      </w:r>
      <w:r>
        <w:t xml:space="preserve">environmental impacts on the distribution of jack mackerel, led to a marked</w:t>
      </w:r>
      <w:r>
        <w:t xml:space="preserve"> </w:t>
      </w:r>
      <w:r>
        <w:t xml:space="preserve">shift of the resource over the CPUE time series. This shift is currently</w:t>
      </w:r>
      <w:r>
        <w:t xml:space="preserve"> </w:t>
      </w:r>
      <w:r>
        <w:t xml:space="preserve">untreated in the CPUE standardization, as efforts to account for it were</w:t>
      </w:r>
      <w:r>
        <w:t xml:space="preserve"> </w:t>
      </w:r>
      <w:r>
        <w:t xml:space="preserve">unsuccessful. The Day 3 discussion agreed that the new, shorter Peruvian CPUE</w:t>
      </w:r>
      <w:r>
        <w:t xml:space="preserve"> </w:t>
      </w:r>
      <w:r>
        <w:t xml:space="preserve">series provides better information and should be preferred for the base model.</w:t>
      </w:r>
      <w:r>
        <w:t xml:space="preserve"> </w:t>
      </w:r>
      <w:r>
        <w:t xml:space="preserve">The previous Peru CPUE index should therefore be removed from the base</w:t>
      </w:r>
      <w:r>
        <w:t xml:space="preserve"> </w:t>
      </w:r>
      <w:r>
        <w:t xml:space="preserve">configuration, while a sensitivity that also includes the old Peru CPUE series</w:t>
      </w:r>
      <w:r>
        <w:t xml:space="preserve"> </w:t>
      </w:r>
      <w:r>
        <w:t xml:space="preserve">can be considered.</w:t>
      </w:r>
    </w:p>
    <w:p>
      <w:pPr>
        <w:pStyle w:val="BodyText"/>
      </w:pPr>
      <w:r>
        <w:rPr>
          <w:b/>
          <w:bCs/>
        </w:rPr>
        <w:t xml:space="preserve">44.</w:t>
      </w:r>
      <w:r>
        <w:t xml:space="preserve"> </w:t>
      </w:r>
      <w:r>
        <w:t xml:space="preserve">The offshore CPUE discussion included the treatment of a catchability break in</w:t>
      </w:r>
      <w:r>
        <w:t xml:space="preserve"> </w:t>
      </w:r>
      <w:r>
        <w:t xml:space="preserve">2021 associated with movement of the offshore fleet to the north, and discussion</w:t>
      </w:r>
      <w:r>
        <w:t xml:space="preserve"> </w:t>
      </w:r>
      <w:r>
        <w:t xml:space="preserve">of how El Nino effects were represented relative to annual effects. The report</w:t>
      </w:r>
      <w:r>
        <w:t xml:space="preserve"> </w:t>
      </w:r>
      <w:r>
        <w:t xml:space="preserve">should document the rationale for any offshore catchability break and whether</w:t>
      </w:r>
      <w:r>
        <w:t xml:space="preserve"> </w:t>
      </w:r>
      <w:r>
        <w:t xml:space="preserve">environmental effects are interpreted as catchability effects, availability</w:t>
      </w:r>
      <w:r>
        <w:t xml:space="preserve"> </w:t>
      </w:r>
      <w:r>
        <w:t xml:space="preserve">effects, or residual year effects.</w:t>
      </w:r>
    </w:p>
    <w:p>
      <w:pPr>
        <w:pStyle w:val="BodyText"/>
      </w:pPr>
      <w:r>
        <w:rPr>
          <w:b/>
          <w:bCs/>
        </w:rPr>
        <w:t xml:space="preserve">45.</w:t>
      </w:r>
      <w:r>
        <w:t xml:space="preserve"> </w:t>
      </w:r>
      <w:r>
        <w:t xml:space="preserve">As part of the meeting request to better understand patterns in data collection</w:t>
      </w:r>
      <w:r>
        <w:t xml:space="preserve"> </w:t>
      </w:r>
      <w:r>
        <w:t xml:space="preserve">and fishing-set coverage for the Chilean CPUE series, Chile provided a summary</w:t>
      </w:r>
      <w:r>
        <w:t xml:space="preserve"> </w:t>
      </w:r>
      <w:r>
        <w:t xml:space="preserve">table of annual fleet and coverage characteristics (</w:t>
      </w:r>
      <w:hyperlink w:anchor="tbl-chile-cpue-fishing-trip-summary">
        <w:r>
          <w:rPr>
            <w:rStyle w:val="Hyperlink"/>
          </w:rPr>
          <w:t xml:space="preserve">Table 2</w:t>
        </w:r>
      </w:hyperlink>
      <w:r>
        <w:t xml:space="preserve">).</w:t>
      </w:r>
      <w:r>
        <w:t xml:space="preserve"> </w:t>
      </w:r>
      <w:r>
        <w:t xml:space="preserve">The table includes distance from port, trip duration, catch per set, vessel hold</w:t>
      </w:r>
      <w:r>
        <w:t xml:space="preserve"> </w:t>
      </w:r>
      <w:r>
        <w:t xml:space="preserve">capacity, the proportion of catch referenced by the set-level data, and the</w:t>
      </w:r>
      <w:r>
        <w:t xml:space="preserve"> </w:t>
      </w:r>
      <w:r>
        <w:t xml:space="preserve">number of fishing sets available by year. This table was reviewed during a lengthy discussion about the period</w:t>
      </w:r>
      <w:r>
        <w:t xml:space="preserve"> </w:t>
      </w:r>
      <w:r>
        <w:t xml:space="preserve">over which the modeled CPUE series presented by Vasquez should be used. A</w:t>
      </w:r>
      <w:r>
        <w:t xml:space="preserve"> </w:t>
      </w:r>
      <w:r>
        <w:t xml:space="preserve">critical concern was low data coverage in the early period and the</w:t>
      </w:r>
      <w:r>
        <w:t xml:space="preserve"> </w:t>
      </w:r>
      <w:r>
        <w:t xml:space="preserve">counter-intuitive result that the CPUE standardization model indicated low</w:t>
      </w:r>
      <w:r>
        <w:t xml:space="preserve"> </w:t>
      </w:r>
      <w:r>
        <w:t xml:space="preserve">abundance during years when the largest catches were made. The Chair also</w:t>
      </w:r>
      <w:r>
        <w:t xml:space="preserve"> </w:t>
      </w:r>
      <w:r>
        <w:t xml:space="preserve">considered a diagnostic figure based on the mean catch per set divided by hold</w:t>
      </w:r>
      <w:r>
        <w:t xml:space="preserve"> </w:t>
      </w:r>
      <w:r>
        <w:t xml:space="preserve">capacity times the number of sets, and suggested omitting 1994, 2006, and 2026</w:t>
      </w:r>
      <w:r>
        <w:t xml:space="preserve"> </w:t>
      </w:r>
      <w:r>
        <w:t xml:space="preserve">from that diagnostic as outlying observations. The resulting normalized</w:t>
      </w:r>
      <w:r>
        <w:t xml:space="preserve"> </w:t>
      </w:r>
      <w:r>
        <w:t xml:space="preserve">catch-rate pattern (</w:t>
      </w:r>
      <w:hyperlink w:anchor="fig-chile-cpue-normalized-catch-rate">
        <w:r>
          <w:rPr>
            <w:rStyle w:val="Hyperlink"/>
          </w:rPr>
          <w:t xml:space="preserve">Figure 2</w:t>
        </w:r>
      </w:hyperlink>
      <w:r>
        <w:t xml:space="preserve">) provides a simple</w:t>
      </w:r>
      <w:r>
        <w:t xml:space="preserve"> </w:t>
      </w:r>
      <w:r>
        <w:t xml:space="preserve">nominal check on the annual information in the table rather than a replacement</w:t>
      </w:r>
      <w:r>
        <w:t xml:space="preserve"> </w:t>
      </w:r>
      <w:r>
        <w:t xml:space="preserve">for the CPUE standardization. The diagnostic declines from the high early values</w:t>
      </w:r>
      <w:r>
        <w:t xml:space="preserve"> </w:t>
      </w:r>
      <w:r>
        <w:t xml:space="preserve">toward lower values in the early 2000s, increases through the mid- to late</w:t>
      </w:r>
      <w:r>
        <w:t xml:space="preserve"> </w:t>
      </w:r>
      <w:r>
        <w:t xml:space="preserve">2010s, and then declines in the most recent retained years. From this analysis,</w:t>
      </w:r>
      <w:r>
        <w:t xml:space="preserve"> </w:t>
      </w:r>
      <w:r>
        <w:t xml:space="preserve">as well as from other statistical analyses, such as PCA, evaluated during the</w:t>
      </w:r>
      <w:r>
        <w:t xml:space="preserve"> </w:t>
      </w:r>
      <w:r>
        <w:t xml:space="preserve">meeting, starting the time series in 1998 was considered most suitable given</w:t>
      </w:r>
      <w:r>
        <w:t xml:space="preserve"> </w:t>
      </w:r>
      <w:r>
        <w:t xml:space="preserve">that sampling coverage was similar across years from that time point onwards.</w:t>
      </w:r>
    </w:p>
    <w:tbl>
      <w:tblPr>
        <w:tblStyle w:val="Table"/>
        <w:tblW w:type="pct" w:w="5000"/>
        <w:tblLayout w:type="fixed"/>
        <w:tblLook w:firstRow="0" w:lastRow="0" w:firstColumn="0" w:lastColumn="0" w:noHBand="0" w:noVBand="0" w:val="0000"/>
      </w:tblPr>
      <w:tblGrid>
        <w:gridCol w:w="7920"/>
      </w:tblGrid>
      <w:tr>
        <w:tc>
          <w:tcPr/>
          <w:bookmarkStart w:id="29" w:name="fig-chile-cpue-normalized-catch-rate"/>
          <w:p>
            <w:pPr>
              <w:pStyle w:val="Compact"/>
              <w:jc w:val="center"/>
            </w:pPr>
            <w:r>
              <w:drawing>
                <wp:inline>
                  <wp:extent cx="5334000" cy="3259666"/>
                  <wp:effectExtent b="0" l="0" r="0" t="0"/>
                  <wp:docPr descr="" title="" id="27" name="Picture"/>
                  <a:graphic>
                    <a:graphicData uri="http://schemas.openxmlformats.org/drawingml/2006/picture">
                      <pic:pic>
                        <pic:nvPicPr>
                          <pic:cNvPr descr="../docs/day3/normalized_catch_rate_loess.png" id="28" name="Picture"/>
                          <pic:cNvPicPr>
                            <a:picLocks noChangeArrowheads="1" noChangeAspect="1"/>
                          </pic:cNvPicPr>
                        </pic:nvPicPr>
                        <pic:blipFill>
                          <a:blip r:embed="rId26"/>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Normalized annual catch-rate diagnostic calculated as mean catch per set divided by hold capacity and number of fishing sets. The plot omits 1994, 2006, and 2026 and shows annual points only.</w:t>
            </w:r>
          </w:p>
          <w:bookmarkEnd w:id="29"/>
        </w:tc>
      </w:tr>
    </w:tbl>
    <w:p>
      <w:pPr>
        <w:pStyle w:val="BodyText"/>
      </w:pPr>
      <w:r>
        <w:rPr>
          <w:b/>
          <w:bCs/>
        </w:rPr>
        <w:t xml:space="preserve">46.</w:t>
      </w:r>
      <w:r>
        <w:t xml:space="preserve"> </w:t>
      </w:r>
      <w:r>
        <w:t xml:space="preserve">The broader pairwise diagnostic summary is shown in</w:t>
      </w:r>
      <w:r>
        <w:t xml:space="preserve"> </w:t>
      </w:r>
      <w:hyperlink w:anchor="fig-chile-cpue-fishing-trip-pairs">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chile-cpue-fishing-trip-summary"/>
          <w:p>
            <w:pPr>
              <w:jc w:val="center"/>
            </w:pPr>
            <w:pPr>
              <w:jc w:val="left"/>
              <w:spacing w:before="200"/>
              <w:pStyle w:val="ImageCaption"/>
            </w:pPr>
            <w:r>
              <w:t xml:space="preserve">Table 2: Annual Chilean South-Central fleet and fishing-set summary used to evaluate CPUE data coverage.</w:t>
            </w:r>
          </w:p>
          <w:p>
            <w:pPr>
              <w:pStyle w:val="Compact"/>
              <w:jc w:val="center"/>
            </w:pPr>
            <w:r>
              <w:t xml:space="preserve">Annual Chilean South-Central fleet and fishing-set summary used to evaluate CPUE data coverage.</w:t>
            </w:r>
          </w:p>
          <w:tbl>
            <w:tblPr>
              <w:tblStyle w:val="Table"/>
              <w:tblW w:type="pct" w:w="5000"/>
              <w:tblLayout w:type="fixed"/>
              <w:tblLook w:firstRow="1" w:lastRow="0" w:firstColumn="0" w:lastColumn="0" w:noHBand="0" w:noVBand="0" w:val="0020"/>
              <w:tblCaption w:val="Annual Chilean South-Central fleet and fishing-set summary used to evaluate CPUE data coverage."/>
            </w:tblPr>
            <w:tblGrid>
              <w:gridCol w:w="374"/>
              <w:gridCol w:w="1496"/>
              <w:gridCol w:w="1309"/>
              <w:gridCol w:w="1122"/>
              <w:gridCol w:w="1184"/>
              <w:gridCol w:w="1371"/>
              <w:gridCol w:w="1060"/>
            </w:tblGrid>
            <w:tr>
              <w:trPr>
                <w:tblHeader w:val="on"/>
              </w:trPr>
              <w:tc>
                <w:tcPr/>
                <w:p>
                  <w:pPr>
                    <w:pStyle w:val="Compact"/>
                    <w:jc w:val="center"/>
                    <w:jc w:val="center"/>
                  </w:pPr>
                  <w:r>
                    <w:t xml:space="preserve">Year</w:t>
                  </w:r>
                </w:p>
              </w:tc>
              <w:tc>
                <w:tcPr/>
                <w:p>
                  <w:pPr>
                    <w:pStyle w:val="Compact"/>
                    <w:jc w:val="right"/>
                    <w:jc w:val="center"/>
                  </w:pPr>
                  <w:r>
                    <w:t xml:space="preserve">Distance from port (km)</w:t>
                  </w:r>
                </w:p>
              </w:tc>
              <w:tc>
                <w:tcPr/>
                <w:p>
                  <w:pPr>
                    <w:pStyle w:val="Compact"/>
                    <w:jc w:val="right"/>
                    <w:jc w:val="center"/>
                  </w:pPr>
                  <w:r>
                    <w:t xml:space="preserve">Trip duration (days)</w:t>
                  </w:r>
                </w:p>
              </w:tc>
              <w:tc>
                <w:tcPr/>
                <w:p>
                  <w:pPr>
                    <w:pStyle w:val="Compact"/>
                    <w:jc w:val="right"/>
                    <w:jc w:val="center"/>
                  </w:pPr>
                  <w:r>
                    <w:t xml:space="preserve">Catch per set (t)</w:t>
                  </w:r>
                </w:p>
              </w:tc>
              <w:tc>
                <w:tcPr/>
                <w:p>
                  <w:pPr>
                    <w:pStyle w:val="Compact"/>
                    <w:jc w:val="right"/>
                    <w:jc w:val="center"/>
                  </w:pPr>
                  <w:r>
                    <w:t xml:space="preserve">Hold capacity (m3)</w:t>
                  </w:r>
                </w:p>
              </w:tc>
              <w:tc>
                <w:tcPr/>
                <w:p>
                  <w:pPr>
                    <w:pStyle w:val="Compact"/>
                    <w:jc w:val="right"/>
                    <w:jc w:val="center"/>
                  </w:pPr>
                  <w:r>
                    <w:t xml:space="preserve">Catch represented (%)</w:t>
                  </w:r>
                </w:p>
              </w:tc>
              <w:tc>
                <w:tcPr/>
                <w:p>
                  <w:pPr>
                    <w:pStyle w:val="Compact"/>
                    <w:jc w:val="right"/>
                    <w:jc w:val="center"/>
                  </w:pPr>
                  <w:r>
                    <w:t xml:space="preserve">Fishing sets (n)</w:t>
                  </w:r>
                </w:p>
              </w:tc>
            </w:tr>
            <w:tr>
              <w:tc>
                <w:tcPr/>
                <w:p>
                  <w:pPr>
                    <w:pStyle w:val="Compact"/>
                    <w:jc w:val="center"/>
                    <w:jc w:val="center"/>
                  </w:pPr>
                  <w:r>
                    <w:t xml:space="preserve">1994</w:t>
                  </w:r>
                </w:p>
              </w:tc>
              <w:tc>
                <w:tcPr/>
                <w:p>
                  <w:pPr>
                    <w:pStyle w:val="Compact"/>
                    <w:jc w:val="right"/>
                    <w:jc w:val="center"/>
                  </w:pPr>
                  <w:r>
                    <w:t xml:space="preserve">161.9</w:t>
                  </w:r>
                </w:p>
              </w:tc>
              <w:tc>
                <w:tcPr/>
                <w:p>
                  <w:pPr>
                    <w:pStyle w:val="Compact"/>
                    <w:jc w:val="right"/>
                    <w:jc w:val="center"/>
                  </w:pPr>
                  <w:r>
                    <w:t xml:space="preserve">2.2</w:t>
                  </w:r>
                </w:p>
              </w:tc>
              <w:tc>
                <w:tcPr/>
                <w:p>
                  <w:pPr>
                    <w:pStyle w:val="Compact"/>
                    <w:jc w:val="right"/>
                    <w:jc w:val="center"/>
                  </w:pPr>
                  <w:r>
                    <w:t xml:space="preserve">177.2</w:t>
                  </w:r>
                </w:p>
              </w:tc>
              <w:tc>
                <w:tcPr/>
                <w:p>
                  <w:pPr>
                    <w:pStyle w:val="Compact"/>
                    <w:jc w:val="right"/>
                    <w:jc w:val="center"/>
                  </w:pPr>
                  <w:r>
                    <w:t xml:space="preserve">847</w:t>
                  </w:r>
                </w:p>
              </w:tc>
              <w:tc>
                <w:tcPr/>
                <w:p>
                  <w:pPr>
                    <w:pStyle w:val="Compact"/>
                    <w:jc w:val="right"/>
                    <w:jc w:val="center"/>
                  </w:pPr>
                  <w:r>
                    <w:t xml:space="preserve">0.3</w:t>
                  </w:r>
                </w:p>
              </w:tc>
              <w:tc>
                <w:tcPr/>
                <w:p>
                  <w:pPr>
                    <w:pStyle w:val="Compact"/>
                    <w:jc w:val="right"/>
                    <w:jc w:val="center"/>
                  </w:pPr>
                  <w:r>
                    <w:t xml:space="preserve">69</w:t>
                  </w:r>
                </w:p>
              </w:tc>
            </w:tr>
            <w:tr>
              <w:tc>
                <w:tcPr/>
                <w:p>
                  <w:pPr>
                    <w:pStyle w:val="Compact"/>
                    <w:jc w:val="center"/>
                    <w:jc w:val="center"/>
                  </w:pPr>
                  <w:r>
                    <w:t xml:space="preserve">1995</w:t>
                  </w:r>
                </w:p>
              </w:tc>
              <w:tc>
                <w:tcPr/>
                <w:p>
                  <w:pPr>
                    <w:pStyle w:val="Compact"/>
                    <w:jc w:val="right"/>
                    <w:jc w:val="center"/>
                  </w:pPr>
                  <w:r>
                    <w:t xml:space="preserve">205.6</w:t>
                  </w:r>
                </w:p>
              </w:tc>
              <w:tc>
                <w:tcPr/>
                <w:p>
                  <w:pPr>
                    <w:pStyle w:val="Compact"/>
                    <w:jc w:val="right"/>
                    <w:jc w:val="center"/>
                  </w:pPr>
                  <w:r>
                    <w:t xml:space="preserve">2.0</w:t>
                  </w:r>
                </w:p>
              </w:tc>
              <w:tc>
                <w:tcPr/>
                <w:p>
                  <w:pPr>
                    <w:pStyle w:val="Compact"/>
                    <w:jc w:val="right"/>
                    <w:jc w:val="center"/>
                  </w:pPr>
                  <w:r>
                    <w:t xml:space="preserve">143.5</w:t>
                  </w:r>
                </w:p>
              </w:tc>
              <w:tc>
                <w:tcPr/>
                <w:p>
                  <w:pPr>
                    <w:pStyle w:val="Compact"/>
                    <w:jc w:val="right"/>
                    <w:jc w:val="center"/>
                  </w:pPr>
                  <w:r>
                    <w:t xml:space="preserve">959</w:t>
                  </w:r>
                </w:p>
              </w:tc>
              <w:tc>
                <w:tcPr/>
                <w:p>
                  <w:pPr>
                    <w:pStyle w:val="Compact"/>
                    <w:jc w:val="right"/>
                    <w:jc w:val="center"/>
                  </w:pPr>
                  <w:r>
                    <w:t xml:space="preserve">0.9</w:t>
                  </w:r>
                </w:p>
              </w:tc>
              <w:tc>
                <w:tcPr/>
                <w:p>
                  <w:pPr>
                    <w:pStyle w:val="Compact"/>
                    <w:jc w:val="right"/>
                    <w:jc w:val="center"/>
                  </w:pPr>
                  <w:r>
                    <w:t xml:space="preserve">268</w:t>
                  </w:r>
                </w:p>
              </w:tc>
            </w:tr>
            <w:tr>
              <w:tc>
                <w:tcPr/>
                <w:p>
                  <w:pPr>
                    <w:pStyle w:val="Compact"/>
                    <w:jc w:val="center"/>
                    <w:jc w:val="center"/>
                  </w:pPr>
                  <w:r>
                    <w:t xml:space="preserve">1996</w:t>
                  </w:r>
                </w:p>
              </w:tc>
              <w:tc>
                <w:tcPr/>
                <w:p>
                  <w:pPr>
                    <w:pStyle w:val="Compact"/>
                    <w:jc w:val="right"/>
                    <w:jc w:val="center"/>
                  </w:pPr>
                  <w:r>
                    <w:t xml:space="preserve">381.9</w:t>
                  </w:r>
                </w:p>
              </w:tc>
              <w:tc>
                <w:tcPr/>
                <w:p>
                  <w:pPr>
                    <w:pStyle w:val="Compact"/>
                    <w:jc w:val="right"/>
                    <w:jc w:val="center"/>
                  </w:pPr>
                  <w:r>
                    <w:t xml:space="preserve">3.2</w:t>
                  </w:r>
                </w:p>
              </w:tc>
              <w:tc>
                <w:tcPr/>
                <w:p>
                  <w:pPr>
                    <w:pStyle w:val="Compact"/>
                    <w:jc w:val="right"/>
                    <w:jc w:val="center"/>
                  </w:pPr>
                  <w:r>
                    <w:t xml:space="preserve">171.2</w:t>
                  </w:r>
                </w:p>
              </w:tc>
              <w:tc>
                <w:tcPr/>
                <w:p>
                  <w:pPr>
                    <w:pStyle w:val="Compact"/>
                    <w:jc w:val="right"/>
                    <w:jc w:val="center"/>
                  </w:pPr>
                  <w:r>
                    <w:t xml:space="preserve">1073</w:t>
                  </w:r>
                </w:p>
              </w:tc>
              <w:tc>
                <w:tcPr/>
                <w:p>
                  <w:pPr>
                    <w:pStyle w:val="Compact"/>
                    <w:jc w:val="right"/>
                    <w:jc w:val="center"/>
                  </w:pPr>
                  <w:r>
                    <w:t xml:space="preserve">1.9</w:t>
                  </w:r>
                </w:p>
              </w:tc>
              <w:tc>
                <w:tcPr/>
                <w:p>
                  <w:pPr>
                    <w:pStyle w:val="Compact"/>
                    <w:jc w:val="right"/>
                    <w:jc w:val="center"/>
                  </w:pPr>
                  <w:r>
                    <w:t xml:space="preserve">397</w:t>
                  </w:r>
                </w:p>
              </w:tc>
            </w:tr>
            <w:tr>
              <w:tc>
                <w:tcPr/>
                <w:p>
                  <w:pPr>
                    <w:pStyle w:val="Compact"/>
                    <w:jc w:val="center"/>
                    <w:jc w:val="center"/>
                  </w:pPr>
                  <w:r>
                    <w:t xml:space="preserve">1997</w:t>
                  </w:r>
                </w:p>
              </w:tc>
              <w:tc>
                <w:tcPr/>
                <w:p>
                  <w:pPr>
                    <w:pStyle w:val="Compact"/>
                    <w:jc w:val="right"/>
                    <w:jc w:val="center"/>
                  </w:pPr>
                  <w:r>
                    <w:t xml:space="preserve">192.6</w:t>
                  </w:r>
                </w:p>
              </w:tc>
              <w:tc>
                <w:tcPr/>
                <w:p>
                  <w:pPr>
                    <w:pStyle w:val="Compact"/>
                    <w:jc w:val="right"/>
                    <w:jc w:val="center"/>
                  </w:pPr>
                  <w:r>
                    <w:t xml:space="preserve">2.7</w:t>
                  </w:r>
                </w:p>
              </w:tc>
              <w:tc>
                <w:tcPr/>
                <w:p>
                  <w:pPr>
                    <w:pStyle w:val="Compact"/>
                    <w:jc w:val="right"/>
                    <w:jc w:val="center"/>
                  </w:pPr>
                  <w:r>
                    <w:t xml:space="preserve">118.5</w:t>
                  </w:r>
                </w:p>
              </w:tc>
              <w:tc>
                <w:tcPr/>
                <w:p>
                  <w:pPr>
                    <w:pStyle w:val="Compact"/>
                    <w:jc w:val="right"/>
                    <w:jc w:val="center"/>
                  </w:pPr>
                  <w:r>
                    <w:t xml:space="preserve">1188</w:t>
                  </w:r>
                </w:p>
              </w:tc>
              <w:tc>
                <w:tcPr/>
                <w:p>
                  <w:pPr>
                    <w:pStyle w:val="Compact"/>
                    <w:jc w:val="right"/>
                    <w:jc w:val="center"/>
                  </w:pPr>
                  <w:r>
                    <w:t xml:space="preserve">2.0</w:t>
                  </w:r>
                </w:p>
              </w:tc>
              <w:tc>
                <w:tcPr/>
                <w:p>
                  <w:pPr>
                    <w:pStyle w:val="Compact"/>
                    <w:jc w:val="right"/>
                    <w:jc w:val="center"/>
                  </w:pPr>
                  <w:r>
                    <w:t xml:space="preserve">468</w:t>
                  </w:r>
                </w:p>
              </w:tc>
            </w:tr>
            <w:tr>
              <w:tc>
                <w:tcPr/>
                <w:p>
                  <w:pPr>
                    <w:pStyle w:val="Compact"/>
                    <w:jc w:val="center"/>
                    <w:jc w:val="center"/>
                  </w:pPr>
                  <w:r>
                    <w:t xml:space="preserve">1998</w:t>
                  </w:r>
                </w:p>
              </w:tc>
              <w:tc>
                <w:tcPr/>
                <w:p>
                  <w:pPr>
                    <w:pStyle w:val="Compact"/>
                    <w:jc w:val="right"/>
                    <w:jc w:val="center"/>
                  </w:pPr>
                  <w:r>
                    <w:t xml:space="preserve">222.4</w:t>
                  </w:r>
                </w:p>
              </w:tc>
              <w:tc>
                <w:tcPr/>
                <w:p>
                  <w:pPr>
                    <w:pStyle w:val="Compact"/>
                    <w:jc w:val="right"/>
                    <w:jc w:val="center"/>
                  </w:pPr>
                  <w:r>
                    <w:t xml:space="preserve">2.6</w:t>
                  </w:r>
                </w:p>
              </w:tc>
              <w:tc>
                <w:tcPr/>
                <w:p>
                  <w:pPr>
                    <w:pStyle w:val="Compact"/>
                    <w:jc w:val="right"/>
                    <w:jc w:val="center"/>
                  </w:pPr>
                  <w:r>
                    <w:t xml:space="preserve">153.5</w:t>
                  </w:r>
                </w:p>
              </w:tc>
              <w:tc>
                <w:tcPr/>
                <w:p>
                  <w:pPr>
                    <w:pStyle w:val="Compact"/>
                    <w:jc w:val="right"/>
                    <w:jc w:val="center"/>
                  </w:pPr>
                  <w:r>
                    <w:t xml:space="preserve">1389</w:t>
                  </w:r>
                </w:p>
              </w:tc>
              <w:tc>
                <w:tcPr/>
                <w:p>
                  <w:pPr>
                    <w:pStyle w:val="Compact"/>
                    <w:jc w:val="right"/>
                    <w:jc w:val="center"/>
                  </w:pPr>
                  <w:r>
                    <w:t xml:space="preserve">8.6</w:t>
                  </w:r>
                </w:p>
              </w:tc>
              <w:tc>
                <w:tcPr/>
                <w:p>
                  <w:pPr>
                    <w:pStyle w:val="Compact"/>
                    <w:jc w:val="right"/>
                    <w:jc w:val="center"/>
                  </w:pPr>
                  <w:r>
                    <w:t xml:space="preserve">883</w:t>
                  </w:r>
                </w:p>
              </w:tc>
            </w:tr>
            <w:tr>
              <w:tc>
                <w:tcPr/>
                <w:p>
                  <w:pPr>
                    <w:pStyle w:val="Compact"/>
                    <w:jc w:val="center"/>
                    <w:jc w:val="center"/>
                  </w:pPr>
                  <w:r>
                    <w:t xml:space="preserve">1999</w:t>
                  </w:r>
                </w:p>
              </w:tc>
              <w:tc>
                <w:tcPr/>
                <w:p>
                  <w:pPr>
                    <w:pStyle w:val="Compact"/>
                    <w:jc w:val="right"/>
                    <w:jc w:val="center"/>
                  </w:pPr>
                  <w:r>
                    <w:t xml:space="preserve">197.4</w:t>
                  </w:r>
                </w:p>
              </w:tc>
              <w:tc>
                <w:tcPr/>
                <w:p>
                  <w:pPr>
                    <w:pStyle w:val="Compact"/>
                    <w:jc w:val="right"/>
                    <w:jc w:val="center"/>
                  </w:pPr>
                  <w:r>
                    <w:t xml:space="preserve">2.6</w:t>
                  </w:r>
                </w:p>
              </w:tc>
              <w:tc>
                <w:tcPr/>
                <w:p>
                  <w:pPr>
                    <w:pStyle w:val="Compact"/>
                    <w:jc w:val="right"/>
                    <w:jc w:val="center"/>
                  </w:pPr>
                  <w:r>
                    <w:t xml:space="preserve">148.7</w:t>
                  </w:r>
                </w:p>
              </w:tc>
              <w:tc>
                <w:tcPr/>
                <w:p>
                  <w:pPr>
                    <w:pStyle w:val="Compact"/>
                    <w:jc w:val="right"/>
                    <w:jc w:val="center"/>
                  </w:pPr>
                  <w:r>
                    <w:t xml:space="preserve">1354</w:t>
                  </w:r>
                </w:p>
              </w:tc>
              <w:tc>
                <w:tcPr/>
                <w:p>
                  <w:pPr>
                    <w:pStyle w:val="Compact"/>
                    <w:jc w:val="right"/>
                    <w:jc w:val="center"/>
                  </w:pPr>
                  <w:r>
                    <w:t xml:space="preserve">11.4</w:t>
                  </w:r>
                </w:p>
              </w:tc>
              <w:tc>
                <w:tcPr/>
                <w:p>
                  <w:pPr>
                    <w:pStyle w:val="Compact"/>
                    <w:jc w:val="right"/>
                    <w:jc w:val="center"/>
                  </w:pPr>
                  <w:r>
                    <w:t xml:space="preserve">893</w:t>
                  </w:r>
                </w:p>
              </w:tc>
            </w:tr>
            <w:tr>
              <w:tc>
                <w:tcPr/>
                <w:p>
                  <w:pPr>
                    <w:pStyle w:val="Compact"/>
                    <w:jc w:val="center"/>
                    <w:jc w:val="center"/>
                  </w:pPr>
                  <w:r>
                    <w:t xml:space="preserve">2000</w:t>
                  </w:r>
                </w:p>
              </w:tc>
              <w:tc>
                <w:tcPr/>
                <w:p>
                  <w:pPr>
                    <w:pStyle w:val="Compact"/>
                    <w:jc w:val="right"/>
                    <w:jc w:val="center"/>
                  </w:pPr>
                  <w:r>
                    <w:t xml:space="preserve">224.9</w:t>
                  </w:r>
                </w:p>
              </w:tc>
              <w:tc>
                <w:tcPr/>
                <w:p>
                  <w:pPr>
                    <w:pStyle w:val="Compact"/>
                    <w:jc w:val="right"/>
                    <w:jc w:val="center"/>
                  </w:pPr>
                  <w:r>
                    <w:t xml:space="preserve">2.6</w:t>
                  </w:r>
                </w:p>
              </w:tc>
              <w:tc>
                <w:tcPr/>
                <w:p>
                  <w:pPr>
                    <w:pStyle w:val="Compact"/>
                    <w:jc w:val="right"/>
                    <w:jc w:val="center"/>
                  </w:pPr>
                  <w:r>
                    <w:t xml:space="preserve">181.1</w:t>
                  </w:r>
                </w:p>
              </w:tc>
              <w:tc>
                <w:tcPr/>
                <w:p>
                  <w:pPr>
                    <w:pStyle w:val="Compact"/>
                    <w:jc w:val="right"/>
                    <w:jc w:val="center"/>
                  </w:pPr>
                  <w:r>
                    <w:t xml:space="preserve">1484</w:t>
                  </w:r>
                </w:p>
              </w:tc>
              <w:tc>
                <w:tcPr/>
                <w:p>
                  <w:pPr>
                    <w:pStyle w:val="Compact"/>
                    <w:jc w:val="right"/>
                    <w:jc w:val="center"/>
                  </w:pPr>
                  <w:r>
                    <w:t xml:space="preserve">13.8</w:t>
                  </w:r>
                </w:p>
              </w:tc>
              <w:tc>
                <w:tcPr/>
                <w:p>
                  <w:pPr>
                    <w:pStyle w:val="Compact"/>
                    <w:jc w:val="right"/>
                    <w:jc w:val="center"/>
                  </w:pPr>
                  <w:r>
                    <w:t xml:space="preserve">832</w:t>
                  </w:r>
                </w:p>
              </w:tc>
            </w:tr>
            <w:tr>
              <w:tc>
                <w:tcPr/>
                <w:p>
                  <w:pPr>
                    <w:pStyle w:val="Compact"/>
                    <w:jc w:val="center"/>
                    <w:jc w:val="center"/>
                  </w:pPr>
                  <w:r>
                    <w:t xml:space="preserve">2001</w:t>
                  </w:r>
                </w:p>
              </w:tc>
              <w:tc>
                <w:tcPr/>
                <w:p>
                  <w:pPr>
                    <w:pStyle w:val="Compact"/>
                    <w:jc w:val="right"/>
                    <w:jc w:val="center"/>
                  </w:pPr>
                  <w:r>
                    <w:t xml:space="preserve">180.6</w:t>
                  </w:r>
                </w:p>
              </w:tc>
              <w:tc>
                <w:tcPr/>
                <w:p>
                  <w:pPr>
                    <w:pStyle w:val="Compact"/>
                    <w:jc w:val="right"/>
                    <w:jc w:val="center"/>
                  </w:pPr>
                  <w:r>
                    <w:t xml:space="preserve">2.4</w:t>
                  </w:r>
                </w:p>
              </w:tc>
              <w:tc>
                <w:tcPr/>
                <w:p>
                  <w:pPr>
                    <w:pStyle w:val="Compact"/>
                    <w:jc w:val="right"/>
                    <w:jc w:val="center"/>
                  </w:pPr>
                  <w:r>
                    <w:t xml:space="preserve">174.8</w:t>
                  </w:r>
                </w:p>
              </w:tc>
              <w:tc>
                <w:tcPr/>
                <w:p>
                  <w:pPr>
                    <w:pStyle w:val="Compact"/>
                    <w:jc w:val="right"/>
                    <w:jc w:val="center"/>
                  </w:pPr>
                  <w:r>
                    <w:t xml:space="preserve">1367</w:t>
                  </w:r>
                </w:p>
              </w:tc>
              <w:tc>
                <w:tcPr/>
                <w:p>
                  <w:pPr>
                    <w:pStyle w:val="Compact"/>
                    <w:jc w:val="right"/>
                    <w:jc w:val="center"/>
                  </w:pPr>
                  <w:r>
                    <w:t xml:space="preserve">30.2</w:t>
                  </w:r>
                </w:p>
              </w:tc>
              <w:tc>
                <w:tcPr/>
                <w:p>
                  <w:pPr>
                    <w:pStyle w:val="Compact"/>
                    <w:jc w:val="right"/>
                    <w:jc w:val="center"/>
                  </w:pPr>
                  <w:r>
                    <w:t xml:space="preserve">2407</w:t>
                  </w:r>
                </w:p>
              </w:tc>
            </w:tr>
            <w:tr>
              <w:tc>
                <w:tcPr/>
                <w:p>
                  <w:pPr>
                    <w:pStyle w:val="Compact"/>
                    <w:jc w:val="center"/>
                    <w:jc w:val="center"/>
                  </w:pPr>
                  <w:r>
                    <w:t xml:space="preserve">2002</w:t>
                  </w:r>
                </w:p>
              </w:tc>
              <w:tc>
                <w:tcPr/>
                <w:p>
                  <w:pPr>
                    <w:pStyle w:val="Compact"/>
                    <w:jc w:val="right"/>
                    <w:jc w:val="center"/>
                  </w:pPr>
                  <w:r>
                    <w:t xml:space="preserve">270.5</w:t>
                  </w:r>
                </w:p>
              </w:tc>
              <w:tc>
                <w:tcPr/>
                <w:p>
                  <w:pPr>
                    <w:pStyle w:val="Compact"/>
                    <w:jc w:val="right"/>
                    <w:jc w:val="center"/>
                  </w:pPr>
                  <w:r>
                    <w:t xml:space="preserve">3.4</w:t>
                  </w:r>
                </w:p>
              </w:tc>
              <w:tc>
                <w:tcPr/>
                <w:p>
                  <w:pPr>
                    <w:pStyle w:val="Compact"/>
                    <w:jc w:val="right"/>
                    <w:jc w:val="center"/>
                  </w:pPr>
                  <w:r>
                    <w:t xml:space="preserve">174.4</w:t>
                  </w:r>
                </w:p>
              </w:tc>
              <w:tc>
                <w:tcPr/>
                <w:p>
                  <w:pPr>
                    <w:pStyle w:val="Compact"/>
                    <w:jc w:val="right"/>
                    <w:jc w:val="center"/>
                  </w:pPr>
                  <w:r>
                    <w:t xml:space="preserve">1243</w:t>
                  </w:r>
                </w:p>
              </w:tc>
              <w:tc>
                <w:tcPr/>
                <w:p>
                  <w:pPr>
                    <w:pStyle w:val="Compact"/>
                    <w:jc w:val="right"/>
                    <w:jc w:val="center"/>
                  </w:pPr>
                  <w:r>
                    <w:t xml:space="preserve">24.6</w:t>
                  </w:r>
                </w:p>
              </w:tc>
              <w:tc>
                <w:tcPr/>
                <w:p>
                  <w:pPr>
                    <w:pStyle w:val="Compact"/>
                    <w:jc w:val="right"/>
                    <w:jc w:val="center"/>
                  </w:pPr>
                  <w:r>
                    <w:t xml:space="preserve">1970</w:t>
                  </w:r>
                </w:p>
              </w:tc>
            </w:tr>
            <w:tr>
              <w:tc>
                <w:tcPr/>
                <w:p>
                  <w:pPr>
                    <w:pStyle w:val="Compact"/>
                    <w:jc w:val="center"/>
                    <w:jc w:val="center"/>
                  </w:pPr>
                  <w:r>
                    <w:t xml:space="preserve">2003</w:t>
                  </w:r>
                </w:p>
              </w:tc>
              <w:tc>
                <w:tcPr/>
                <w:p>
                  <w:pPr>
                    <w:pStyle w:val="Compact"/>
                    <w:jc w:val="right"/>
                    <w:jc w:val="center"/>
                  </w:pPr>
                  <w:r>
                    <w:t xml:space="preserve">413.0</w:t>
                  </w:r>
                </w:p>
              </w:tc>
              <w:tc>
                <w:tcPr/>
                <w:p>
                  <w:pPr>
                    <w:pStyle w:val="Compact"/>
                    <w:jc w:val="right"/>
                    <w:jc w:val="center"/>
                  </w:pPr>
                  <w:r>
                    <w:t xml:space="preserve">3.3</w:t>
                  </w:r>
                </w:p>
              </w:tc>
              <w:tc>
                <w:tcPr/>
                <w:p>
                  <w:pPr>
                    <w:pStyle w:val="Compact"/>
                    <w:jc w:val="right"/>
                    <w:jc w:val="center"/>
                  </w:pPr>
                  <w:r>
                    <w:t xml:space="preserve">164.6</w:t>
                  </w:r>
                </w:p>
              </w:tc>
              <w:tc>
                <w:tcPr/>
                <w:p>
                  <w:pPr>
                    <w:pStyle w:val="Compact"/>
                    <w:jc w:val="right"/>
                    <w:jc w:val="center"/>
                  </w:pPr>
                  <w:r>
                    <w:t xml:space="preserve">1228</w:t>
                  </w:r>
                </w:p>
              </w:tc>
              <w:tc>
                <w:tcPr/>
                <w:p>
                  <w:pPr>
                    <w:pStyle w:val="Compact"/>
                    <w:jc w:val="right"/>
                    <w:jc w:val="center"/>
                  </w:pPr>
                  <w:r>
                    <w:t xml:space="preserve">19.8</w:t>
                  </w:r>
                </w:p>
              </w:tc>
              <w:tc>
                <w:tcPr/>
                <w:p>
                  <w:pPr>
                    <w:pStyle w:val="Compact"/>
                    <w:jc w:val="right"/>
                    <w:jc w:val="center"/>
                  </w:pPr>
                  <w:r>
                    <w:t xml:space="preserve">1534</w:t>
                  </w:r>
                </w:p>
              </w:tc>
            </w:tr>
            <w:tr>
              <w:tc>
                <w:tcPr/>
                <w:p>
                  <w:pPr>
                    <w:pStyle w:val="Compact"/>
                    <w:jc w:val="center"/>
                    <w:jc w:val="center"/>
                  </w:pPr>
                  <w:r>
                    <w:t xml:space="preserve">2004</w:t>
                  </w:r>
                </w:p>
              </w:tc>
              <w:tc>
                <w:tcPr/>
                <w:p>
                  <w:pPr>
                    <w:pStyle w:val="Compact"/>
                    <w:jc w:val="right"/>
                    <w:jc w:val="center"/>
                  </w:pPr>
                  <w:r>
                    <w:t xml:space="preserve">447.9</w:t>
                  </w:r>
                </w:p>
              </w:tc>
              <w:tc>
                <w:tcPr/>
                <w:p>
                  <w:pPr>
                    <w:pStyle w:val="Compact"/>
                    <w:jc w:val="right"/>
                    <w:jc w:val="center"/>
                  </w:pPr>
                  <w:r>
                    <w:t xml:space="preserve">3.3</w:t>
                  </w:r>
                </w:p>
              </w:tc>
              <w:tc>
                <w:tcPr/>
                <w:p>
                  <w:pPr>
                    <w:pStyle w:val="Compact"/>
                    <w:jc w:val="right"/>
                    <w:jc w:val="center"/>
                  </w:pPr>
                  <w:r>
                    <w:t xml:space="preserve">225.1</w:t>
                  </w:r>
                </w:p>
              </w:tc>
              <w:tc>
                <w:tcPr/>
                <w:p>
                  <w:pPr>
                    <w:pStyle w:val="Compact"/>
                    <w:jc w:val="right"/>
                    <w:jc w:val="center"/>
                  </w:pPr>
                  <w:r>
                    <w:t xml:space="preserve">1272</w:t>
                  </w:r>
                </w:p>
              </w:tc>
              <w:tc>
                <w:tcPr/>
                <w:p>
                  <w:pPr>
                    <w:pStyle w:val="Compact"/>
                    <w:jc w:val="right"/>
                    <w:jc w:val="center"/>
                  </w:pPr>
                  <w:r>
                    <w:t xml:space="preserve">44.9</w:t>
                  </w:r>
                </w:p>
              </w:tc>
              <w:tc>
                <w:tcPr/>
                <w:p>
                  <w:pPr>
                    <w:pStyle w:val="Compact"/>
                    <w:jc w:val="right"/>
                    <w:jc w:val="center"/>
                  </w:pPr>
                  <w:r>
                    <w:t xml:space="preserve">2578</w:t>
                  </w:r>
                </w:p>
              </w:tc>
            </w:tr>
            <w:tr>
              <w:tc>
                <w:tcPr/>
                <w:p>
                  <w:pPr>
                    <w:pStyle w:val="Compact"/>
                    <w:jc w:val="center"/>
                    <w:jc w:val="center"/>
                  </w:pPr>
                  <w:r>
                    <w:t xml:space="preserve">2005</w:t>
                  </w:r>
                </w:p>
              </w:tc>
              <w:tc>
                <w:tcPr/>
                <w:p>
                  <w:pPr>
                    <w:pStyle w:val="Compact"/>
                    <w:jc w:val="right"/>
                    <w:jc w:val="center"/>
                  </w:pPr>
                  <w:r>
                    <w:t xml:space="preserve">483.2</w:t>
                  </w:r>
                </w:p>
              </w:tc>
              <w:tc>
                <w:tcPr/>
                <w:p>
                  <w:pPr>
                    <w:pStyle w:val="Compact"/>
                    <w:jc w:val="right"/>
                    <w:jc w:val="center"/>
                  </w:pPr>
                  <w:r>
                    <w:t xml:space="preserve">3.5</w:t>
                  </w:r>
                </w:p>
              </w:tc>
              <w:tc>
                <w:tcPr/>
                <w:p>
                  <w:pPr>
                    <w:pStyle w:val="Compact"/>
                    <w:jc w:val="right"/>
                    <w:jc w:val="center"/>
                  </w:pPr>
                  <w:r>
                    <w:t xml:space="preserve">220.5</w:t>
                  </w:r>
                </w:p>
              </w:tc>
              <w:tc>
                <w:tcPr/>
                <w:p>
                  <w:pPr>
                    <w:pStyle w:val="Compact"/>
                    <w:jc w:val="right"/>
                    <w:jc w:val="center"/>
                  </w:pPr>
                  <w:r>
                    <w:t xml:space="preserve">1251</w:t>
                  </w:r>
                </w:p>
              </w:tc>
              <w:tc>
                <w:tcPr/>
                <w:p>
                  <w:pPr>
                    <w:pStyle w:val="Compact"/>
                    <w:jc w:val="right"/>
                    <w:jc w:val="center"/>
                  </w:pPr>
                  <w:r>
                    <w:t xml:space="preserve">43.6</w:t>
                  </w:r>
                </w:p>
              </w:tc>
              <w:tc>
                <w:tcPr/>
                <w:p>
                  <w:pPr>
                    <w:pStyle w:val="Compact"/>
                    <w:jc w:val="right"/>
                    <w:jc w:val="center"/>
                  </w:pPr>
                  <w:r>
                    <w:t xml:space="preserve">2504</w:t>
                  </w:r>
                </w:p>
              </w:tc>
            </w:tr>
            <w:tr>
              <w:tc>
                <w:tcPr/>
                <w:p>
                  <w:pPr>
                    <w:pStyle w:val="Compact"/>
                    <w:jc w:val="center"/>
                    <w:jc w:val="center"/>
                  </w:pPr>
                  <w:r>
                    <w:t xml:space="preserve">2006</w:t>
                  </w:r>
                </w:p>
              </w:tc>
              <w:tc>
                <w:tcPr/>
                <w:p>
                  <w:pPr>
                    <w:pStyle w:val="Compact"/>
                    <w:jc w:val="right"/>
                    <w:jc w:val="center"/>
                  </w:pPr>
                  <w:r>
                    <w:t xml:space="preserve">284.8</w:t>
                  </w:r>
                </w:p>
              </w:tc>
              <w:tc>
                <w:tcPr/>
                <w:p>
                  <w:pPr>
                    <w:pStyle w:val="Compact"/>
                    <w:jc w:val="right"/>
                    <w:jc w:val="center"/>
                  </w:pPr>
                  <w:r>
                    <w:t xml:space="preserve">2.5</w:t>
                  </w:r>
                </w:p>
              </w:tc>
              <w:tc>
                <w:tcPr/>
                <w:p>
                  <w:pPr>
                    <w:pStyle w:val="Compact"/>
                    <w:jc w:val="right"/>
                    <w:jc w:val="center"/>
                  </w:pPr>
                  <w:r>
                    <w:t xml:space="preserve">244.6</w:t>
                  </w:r>
                </w:p>
              </w:tc>
              <w:tc>
                <w:tcPr/>
                <w:p>
                  <w:pPr>
                    <w:pStyle w:val="Compact"/>
                    <w:jc w:val="right"/>
                    <w:jc w:val="center"/>
                  </w:pPr>
                  <w:r>
                    <w:t xml:space="preserve">1299</w:t>
                  </w:r>
                </w:p>
              </w:tc>
              <w:tc>
                <w:tcPr/>
                <w:p>
                  <w:pPr>
                    <w:pStyle w:val="Compact"/>
                    <w:jc w:val="right"/>
                    <w:jc w:val="center"/>
                  </w:pPr>
                  <w:r>
                    <w:t xml:space="preserve">7.7</w:t>
                  </w:r>
                </w:p>
              </w:tc>
              <w:tc>
                <w:tcPr/>
                <w:p>
                  <w:pPr>
                    <w:pStyle w:val="Compact"/>
                    <w:jc w:val="right"/>
                    <w:jc w:val="center"/>
                  </w:pPr>
                  <w:r>
                    <w:t xml:space="preserve">388</w:t>
                  </w:r>
                </w:p>
              </w:tc>
            </w:tr>
            <w:tr>
              <w:tc>
                <w:tcPr/>
                <w:p>
                  <w:pPr>
                    <w:pStyle w:val="Compact"/>
                    <w:jc w:val="center"/>
                    <w:jc w:val="center"/>
                  </w:pPr>
                  <w:r>
                    <w:t xml:space="preserve">2007</w:t>
                  </w:r>
                </w:p>
              </w:tc>
              <w:tc>
                <w:tcPr/>
                <w:p>
                  <w:pPr>
                    <w:pStyle w:val="Compact"/>
                    <w:jc w:val="right"/>
                    <w:jc w:val="center"/>
                  </w:pPr>
                  <w:r>
                    <w:t xml:space="preserve">448.7</w:t>
                  </w:r>
                </w:p>
              </w:tc>
              <w:tc>
                <w:tcPr/>
                <w:p>
                  <w:pPr>
                    <w:pStyle w:val="Compact"/>
                    <w:jc w:val="right"/>
                    <w:jc w:val="center"/>
                  </w:pPr>
                  <w:r>
                    <w:t xml:space="preserve">4.1</w:t>
                  </w:r>
                </w:p>
              </w:tc>
              <w:tc>
                <w:tcPr/>
                <w:p>
                  <w:pPr>
                    <w:pStyle w:val="Compact"/>
                    <w:jc w:val="right"/>
                    <w:jc w:val="center"/>
                  </w:pPr>
                  <w:r>
                    <w:t xml:space="preserve">192.0</w:t>
                  </w:r>
                </w:p>
              </w:tc>
              <w:tc>
                <w:tcPr/>
                <w:p>
                  <w:pPr>
                    <w:pStyle w:val="Compact"/>
                    <w:jc w:val="right"/>
                    <w:jc w:val="center"/>
                  </w:pPr>
                  <w:r>
                    <w:t xml:space="preserve">1357</w:t>
                  </w:r>
                </w:p>
              </w:tc>
              <w:tc>
                <w:tcPr/>
                <w:p>
                  <w:pPr>
                    <w:pStyle w:val="Compact"/>
                    <w:jc w:val="right"/>
                    <w:jc w:val="center"/>
                  </w:pPr>
                  <w:r>
                    <w:t xml:space="preserve">14.5</w:t>
                  </w:r>
                </w:p>
              </w:tc>
              <w:tc>
                <w:tcPr/>
                <w:p>
                  <w:pPr>
                    <w:pStyle w:val="Compact"/>
                    <w:jc w:val="right"/>
                    <w:jc w:val="center"/>
                  </w:pPr>
                  <w:r>
                    <w:t xml:space="preserve">854</w:t>
                  </w:r>
                </w:p>
              </w:tc>
            </w:tr>
            <w:tr>
              <w:tc>
                <w:tcPr/>
                <w:p>
                  <w:pPr>
                    <w:pStyle w:val="Compact"/>
                    <w:jc w:val="center"/>
                    <w:jc w:val="center"/>
                  </w:pPr>
                  <w:r>
                    <w:t xml:space="preserve">2008</w:t>
                  </w:r>
                </w:p>
              </w:tc>
              <w:tc>
                <w:tcPr/>
                <w:p>
                  <w:pPr>
                    <w:pStyle w:val="Compact"/>
                    <w:jc w:val="right"/>
                    <w:jc w:val="center"/>
                  </w:pPr>
                  <w:r>
                    <w:t xml:space="preserve">947.0</w:t>
                  </w:r>
                </w:p>
              </w:tc>
              <w:tc>
                <w:tcPr/>
                <w:p>
                  <w:pPr>
                    <w:pStyle w:val="Compact"/>
                    <w:jc w:val="right"/>
                    <w:jc w:val="center"/>
                  </w:pPr>
                  <w:r>
                    <w:t xml:space="preserve">7.2</w:t>
                  </w:r>
                </w:p>
              </w:tc>
              <w:tc>
                <w:tcPr/>
                <w:p>
                  <w:pPr>
                    <w:pStyle w:val="Compact"/>
                    <w:jc w:val="right"/>
                    <w:jc w:val="center"/>
                  </w:pPr>
                  <w:r>
                    <w:t xml:space="preserve">189.6</w:t>
                  </w:r>
                </w:p>
              </w:tc>
              <w:tc>
                <w:tcPr/>
                <w:p>
                  <w:pPr>
                    <w:pStyle w:val="Compact"/>
                    <w:jc w:val="right"/>
                    <w:jc w:val="center"/>
                  </w:pPr>
                  <w:r>
                    <w:t xml:space="preserve">1346</w:t>
                  </w:r>
                </w:p>
              </w:tc>
              <w:tc>
                <w:tcPr/>
                <w:p>
                  <w:pPr>
                    <w:pStyle w:val="Compact"/>
                    <w:jc w:val="right"/>
                    <w:jc w:val="center"/>
                  </w:pPr>
                  <w:r>
                    <w:t xml:space="preserve">39.1</w:t>
                  </w:r>
                </w:p>
              </w:tc>
              <w:tc>
                <w:tcPr/>
                <w:p>
                  <w:pPr>
                    <w:pStyle w:val="Compact"/>
                    <w:jc w:val="right"/>
                    <w:jc w:val="center"/>
                  </w:pPr>
                  <w:r>
                    <w:t xml:space="preserve">1505</w:t>
                  </w:r>
                </w:p>
              </w:tc>
            </w:tr>
            <w:tr>
              <w:tc>
                <w:tcPr/>
                <w:p>
                  <w:pPr>
                    <w:pStyle w:val="Compact"/>
                    <w:jc w:val="center"/>
                    <w:jc w:val="center"/>
                  </w:pPr>
                  <w:r>
                    <w:t xml:space="preserve">2009</w:t>
                  </w:r>
                </w:p>
              </w:tc>
              <w:tc>
                <w:tcPr/>
                <w:p>
                  <w:pPr>
                    <w:pStyle w:val="Compact"/>
                    <w:jc w:val="right"/>
                    <w:jc w:val="center"/>
                  </w:pPr>
                  <w:r>
                    <w:t xml:space="preserve">845.4</w:t>
                  </w:r>
                </w:p>
              </w:tc>
              <w:tc>
                <w:tcPr/>
                <w:p>
                  <w:pPr>
                    <w:pStyle w:val="Compact"/>
                    <w:jc w:val="right"/>
                    <w:jc w:val="center"/>
                  </w:pPr>
                  <w:r>
                    <w:t xml:space="preserve">7.2</w:t>
                  </w:r>
                </w:p>
              </w:tc>
              <w:tc>
                <w:tcPr/>
                <w:p>
                  <w:pPr>
                    <w:pStyle w:val="Compact"/>
                    <w:jc w:val="right"/>
                    <w:jc w:val="center"/>
                  </w:pPr>
                  <w:r>
                    <w:t xml:space="preserve">165.3</w:t>
                  </w:r>
                </w:p>
              </w:tc>
              <w:tc>
                <w:tcPr/>
                <w:p>
                  <w:pPr>
                    <w:pStyle w:val="Compact"/>
                    <w:jc w:val="right"/>
                    <w:jc w:val="center"/>
                  </w:pPr>
                  <w:r>
                    <w:t xml:space="preserve">1375</w:t>
                  </w:r>
                </w:p>
              </w:tc>
              <w:tc>
                <w:tcPr/>
                <w:p>
                  <w:pPr>
                    <w:pStyle w:val="Compact"/>
                    <w:jc w:val="right"/>
                    <w:jc w:val="center"/>
                  </w:pPr>
                  <w:r>
                    <w:t xml:space="preserve">36.8</w:t>
                  </w:r>
                </w:p>
              </w:tc>
              <w:tc>
                <w:tcPr/>
                <w:p>
                  <w:pPr>
                    <w:pStyle w:val="Compact"/>
                    <w:jc w:val="right"/>
                    <w:jc w:val="center"/>
                  </w:pPr>
                  <w:r>
                    <w:t xml:space="preserve">1557</w:t>
                  </w:r>
                </w:p>
              </w:tc>
            </w:tr>
            <w:tr>
              <w:tc>
                <w:tcPr/>
                <w:p>
                  <w:pPr>
                    <w:pStyle w:val="Compact"/>
                    <w:jc w:val="center"/>
                    <w:jc w:val="center"/>
                  </w:pPr>
                  <w:r>
                    <w:t xml:space="preserve">2010</w:t>
                  </w:r>
                </w:p>
              </w:tc>
              <w:tc>
                <w:tcPr/>
                <w:p>
                  <w:pPr>
                    <w:pStyle w:val="Compact"/>
                    <w:jc w:val="right"/>
                    <w:jc w:val="center"/>
                  </w:pPr>
                  <w:r>
                    <w:t xml:space="preserve">970.2</w:t>
                  </w:r>
                </w:p>
              </w:tc>
              <w:tc>
                <w:tcPr/>
                <w:p>
                  <w:pPr>
                    <w:pStyle w:val="Compact"/>
                    <w:jc w:val="right"/>
                    <w:jc w:val="center"/>
                  </w:pPr>
                  <w:r>
                    <w:t xml:space="preserve">9.2</w:t>
                  </w:r>
                </w:p>
              </w:tc>
              <w:tc>
                <w:tcPr/>
                <w:p>
                  <w:pPr>
                    <w:pStyle w:val="Compact"/>
                    <w:jc w:val="right"/>
                    <w:jc w:val="center"/>
                  </w:pPr>
                  <w:r>
                    <w:t xml:space="preserve">151.3</w:t>
                  </w:r>
                </w:p>
              </w:tc>
              <w:tc>
                <w:tcPr/>
                <w:p>
                  <w:pPr>
                    <w:pStyle w:val="Compact"/>
                    <w:jc w:val="right"/>
                    <w:jc w:val="center"/>
                  </w:pPr>
                  <w:r>
                    <w:t xml:space="preserve">1395</w:t>
                  </w:r>
                </w:p>
              </w:tc>
              <w:tc>
                <w:tcPr/>
                <w:p>
                  <w:pPr>
                    <w:pStyle w:val="Compact"/>
                    <w:jc w:val="right"/>
                    <w:jc w:val="center"/>
                  </w:pPr>
                  <w:r>
                    <w:t xml:space="preserve">46.0</w:t>
                  </w:r>
                </w:p>
              </w:tc>
              <w:tc>
                <w:tcPr/>
                <w:p>
                  <w:pPr>
                    <w:pStyle w:val="Compact"/>
                    <w:jc w:val="right"/>
                    <w:jc w:val="center"/>
                  </w:pPr>
                  <w:r>
                    <w:t xml:space="preserve">897</w:t>
                  </w:r>
                </w:p>
              </w:tc>
            </w:tr>
            <w:tr>
              <w:tc>
                <w:tcPr/>
                <w:p>
                  <w:pPr>
                    <w:pStyle w:val="Compact"/>
                    <w:jc w:val="center"/>
                    <w:jc w:val="center"/>
                  </w:pPr>
                  <w:r>
                    <w:t xml:space="preserve">2011</w:t>
                  </w:r>
                </w:p>
              </w:tc>
              <w:tc>
                <w:tcPr/>
                <w:p>
                  <w:pPr>
                    <w:pStyle w:val="Compact"/>
                    <w:jc w:val="right"/>
                    <w:jc w:val="center"/>
                  </w:pPr>
                  <w:r>
                    <w:t xml:space="preserve">769.1</w:t>
                  </w:r>
                </w:p>
              </w:tc>
              <w:tc>
                <w:tcPr/>
                <w:p>
                  <w:pPr>
                    <w:pStyle w:val="Compact"/>
                    <w:jc w:val="right"/>
                    <w:jc w:val="center"/>
                  </w:pPr>
                  <w:r>
                    <w:t xml:space="preserve">8.4</w:t>
                  </w:r>
                </w:p>
              </w:tc>
              <w:tc>
                <w:tcPr/>
                <w:p>
                  <w:pPr>
                    <w:pStyle w:val="Compact"/>
                    <w:jc w:val="right"/>
                    <w:jc w:val="center"/>
                  </w:pPr>
                  <w:r>
                    <w:t xml:space="preserve">95.9</w:t>
                  </w:r>
                </w:p>
              </w:tc>
              <w:tc>
                <w:tcPr/>
                <w:p>
                  <w:pPr>
                    <w:pStyle w:val="Compact"/>
                    <w:jc w:val="right"/>
                    <w:jc w:val="center"/>
                  </w:pPr>
                  <w:r>
                    <w:t xml:space="preserve">1532</w:t>
                  </w:r>
                </w:p>
              </w:tc>
              <w:tc>
                <w:tcPr/>
                <w:p>
                  <w:pPr>
                    <w:pStyle w:val="Compact"/>
                    <w:jc w:val="right"/>
                    <w:jc w:val="center"/>
                  </w:pPr>
                  <w:r>
                    <w:t xml:space="preserve">32.6</w:t>
                  </w:r>
                </w:p>
              </w:tc>
              <w:tc>
                <w:tcPr/>
                <w:p>
                  <w:pPr>
                    <w:pStyle w:val="Compact"/>
                    <w:jc w:val="right"/>
                    <w:jc w:val="center"/>
                  </w:pPr>
                  <w:r>
                    <w:t xml:space="preserve">732</w:t>
                  </w:r>
                </w:p>
              </w:tc>
            </w:tr>
            <w:tr>
              <w:tc>
                <w:tcPr/>
                <w:p>
                  <w:pPr>
                    <w:pStyle w:val="Compact"/>
                    <w:jc w:val="center"/>
                    <w:jc w:val="center"/>
                  </w:pPr>
                  <w:r>
                    <w:t xml:space="preserve">2012</w:t>
                  </w:r>
                </w:p>
              </w:tc>
              <w:tc>
                <w:tcPr/>
                <w:p>
                  <w:pPr>
                    <w:pStyle w:val="Compact"/>
                    <w:jc w:val="right"/>
                    <w:jc w:val="center"/>
                  </w:pPr>
                  <w:r>
                    <w:t xml:space="preserve">253.3</w:t>
                  </w:r>
                </w:p>
              </w:tc>
              <w:tc>
                <w:tcPr/>
                <w:p>
                  <w:pPr>
                    <w:pStyle w:val="Compact"/>
                    <w:jc w:val="right"/>
                    <w:jc w:val="center"/>
                  </w:pPr>
                  <w:r>
                    <w:t xml:space="preserve">3.6</w:t>
                  </w:r>
                </w:p>
              </w:tc>
              <w:tc>
                <w:tcPr/>
                <w:p>
                  <w:pPr>
                    <w:pStyle w:val="Compact"/>
                    <w:jc w:val="right"/>
                    <w:jc w:val="center"/>
                  </w:pPr>
                  <w:r>
                    <w:t xml:space="preserve">125.5</w:t>
                  </w:r>
                </w:p>
              </w:tc>
              <w:tc>
                <w:tcPr/>
                <w:p>
                  <w:pPr>
                    <w:pStyle w:val="Compact"/>
                    <w:jc w:val="right"/>
                    <w:jc w:val="center"/>
                  </w:pPr>
                  <w:r>
                    <w:t xml:space="preserve">1438</w:t>
                  </w:r>
                </w:p>
              </w:tc>
              <w:tc>
                <w:tcPr/>
                <w:p>
                  <w:pPr>
                    <w:pStyle w:val="Compact"/>
                    <w:jc w:val="right"/>
                    <w:jc w:val="center"/>
                  </w:pPr>
                  <w:r>
                    <w:t xml:space="preserve">76.5</w:t>
                  </w:r>
                </w:p>
              </w:tc>
              <w:tc>
                <w:tcPr/>
                <w:p>
                  <w:pPr>
                    <w:pStyle w:val="Compact"/>
                    <w:jc w:val="right"/>
                    <w:jc w:val="center"/>
                  </w:pPr>
                  <w:r>
                    <w:t xml:space="preserve">1293</w:t>
                  </w:r>
                </w:p>
              </w:tc>
            </w:tr>
            <w:tr>
              <w:tc>
                <w:tcPr/>
                <w:p>
                  <w:pPr>
                    <w:pStyle w:val="Compact"/>
                    <w:jc w:val="center"/>
                    <w:jc w:val="center"/>
                  </w:pPr>
                  <w:r>
                    <w:t xml:space="preserve">2013</w:t>
                  </w:r>
                </w:p>
              </w:tc>
              <w:tc>
                <w:tcPr/>
                <w:p>
                  <w:pPr>
                    <w:pStyle w:val="Compact"/>
                    <w:jc w:val="right"/>
                    <w:jc w:val="center"/>
                  </w:pPr>
                  <w:r>
                    <w:t xml:space="preserve">331.7</w:t>
                  </w:r>
                </w:p>
              </w:tc>
              <w:tc>
                <w:tcPr/>
                <w:p>
                  <w:pPr>
                    <w:pStyle w:val="Compact"/>
                    <w:jc w:val="right"/>
                    <w:jc w:val="center"/>
                  </w:pPr>
                  <w:r>
                    <w:t xml:space="preserve">3.9</w:t>
                  </w:r>
                </w:p>
              </w:tc>
              <w:tc>
                <w:tcPr/>
                <w:p>
                  <w:pPr>
                    <w:pStyle w:val="Compact"/>
                    <w:jc w:val="right"/>
                    <w:jc w:val="center"/>
                  </w:pPr>
                  <w:r>
                    <w:t xml:space="preserve">141.9</w:t>
                  </w:r>
                </w:p>
              </w:tc>
              <w:tc>
                <w:tcPr/>
                <w:p>
                  <w:pPr>
                    <w:pStyle w:val="Compact"/>
                    <w:jc w:val="right"/>
                    <w:jc w:val="center"/>
                  </w:pPr>
                  <w:r>
                    <w:t xml:space="preserve">1468</w:t>
                  </w:r>
                </w:p>
              </w:tc>
              <w:tc>
                <w:tcPr/>
                <w:p>
                  <w:pPr>
                    <w:pStyle w:val="Compact"/>
                    <w:jc w:val="right"/>
                    <w:jc w:val="center"/>
                  </w:pPr>
                  <w:r>
                    <w:t xml:space="preserve">56.4</w:t>
                  </w:r>
                </w:p>
              </w:tc>
              <w:tc>
                <w:tcPr/>
                <w:p>
                  <w:pPr>
                    <w:pStyle w:val="Compact"/>
                    <w:jc w:val="right"/>
                    <w:jc w:val="center"/>
                  </w:pPr>
                  <w:r>
                    <w:t xml:space="preserve">853</w:t>
                  </w:r>
                </w:p>
              </w:tc>
            </w:tr>
            <w:tr>
              <w:tc>
                <w:tcPr/>
                <w:p>
                  <w:pPr>
                    <w:pStyle w:val="Compact"/>
                    <w:jc w:val="center"/>
                    <w:jc w:val="center"/>
                  </w:pPr>
                  <w:r>
                    <w:t xml:space="preserve">2014</w:t>
                  </w:r>
                </w:p>
              </w:tc>
              <w:tc>
                <w:tcPr/>
                <w:p>
                  <w:pPr>
                    <w:pStyle w:val="Compact"/>
                    <w:jc w:val="right"/>
                    <w:jc w:val="center"/>
                  </w:pPr>
                  <w:r>
                    <w:t xml:space="preserve">300.2</w:t>
                  </w:r>
                </w:p>
              </w:tc>
              <w:tc>
                <w:tcPr/>
                <w:p>
                  <w:pPr>
                    <w:pStyle w:val="Compact"/>
                    <w:jc w:val="right"/>
                    <w:jc w:val="center"/>
                  </w:pPr>
                  <w:r>
                    <w:t xml:space="preserve">5.7</w:t>
                  </w:r>
                </w:p>
              </w:tc>
              <w:tc>
                <w:tcPr/>
                <w:p>
                  <w:pPr>
                    <w:pStyle w:val="Compact"/>
                    <w:jc w:val="right"/>
                    <w:jc w:val="center"/>
                  </w:pPr>
                  <w:r>
                    <w:t xml:space="preserve">114.5</w:t>
                  </w:r>
                </w:p>
              </w:tc>
              <w:tc>
                <w:tcPr/>
                <w:p>
                  <w:pPr>
                    <w:pStyle w:val="Compact"/>
                    <w:jc w:val="right"/>
                    <w:jc w:val="center"/>
                  </w:pPr>
                  <w:r>
                    <w:t xml:space="preserve">1577</w:t>
                  </w:r>
                </w:p>
              </w:tc>
              <w:tc>
                <w:tcPr/>
                <w:p>
                  <w:pPr>
                    <w:pStyle w:val="Compact"/>
                    <w:jc w:val="right"/>
                    <w:jc w:val="center"/>
                  </w:pPr>
                  <w:r>
                    <w:t xml:space="preserve">21.2</w:t>
                  </w:r>
                </w:p>
              </w:tc>
              <w:tc>
                <w:tcPr/>
                <w:p>
                  <w:pPr>
                    <w:pStyle w:val="Compact"/>
                    <w:jc w:val="right"/>
                    <w:jc w:val="center"/>
                  </w:pPr>
                  <w:r>
                    <w:t xml:space="preserve">471</w:t>
                  </w:r>
                </w:p>
              </w:tc>
            </w:tr>
            <w:tr>
              <w:tc>
                <w:tcPr/>
                <w:p>
                  <w:pPr>
                    <w:pStyle w:val="Compact"/>
                    <w:jc w:val="center"/>
                    <w:jc w:val="center"/>
                  </w:pPr>
                  <w:r>
                    <w:t xml:space="preserve">2015</w:t>
                  </w:r>
                </w:p>
              </w:tc>
              <w:tc>
                <w:tcPr/>
                <w:p>
                  <w:pPr>
                    <w:pStyle w:val="Compact"/>
                    <w:jc w:val="right"/>
                    <w:jc w:val="center"/>
                  </w:pPr>
                  <w:r>
                    <w:t xml:space="preserve">541.7</w:t>
                  </w:r>
                </w:p>
              </w:tc>
              <w:tc>
                <w:tcPr/>
                <w:p>
                  <w:pPr>
                    <w:pStyle w:val="Compact"/>
                    <w:jc w:val="right"/>
                    <w:jc w:val="center"/>
                  </w:pPr>
                  <w:r>
                    <w:t xml:space="preserve">6.2</w:t>
                  </w:r>
                </w:p>
              </w:tc>
              <w:tc>
                <w:tcPr/>
                <w:p>
                  <w:pPr>
                    <w:pStyle w:val="Compact"/>
                    <w:jc w:val="right"/>
                    <w:jc w:val="center"/>
                  </w:pPr>
                  <w:r>
                    <w:t xml:space="preserve">111.6</w:t>
                  </w:r>
                </w:p>
              </w:tc>
              <w:tc>
                <w:tcPr/>
                <w:p>
                  <w:pPr>
                    <w:pStyle w:val="Compact"/>
                    <w:jc w:val="right"/>
                    <w:jc w:val="center"/>
                  </w:pPr>
                  <w:r>
                    <w:t xml:space="preserve">1518</w:t>
                  </w:r>
                </w:p>
              </w:tc>
              <w:tc>
                <w:tcPr/>
                <w:p>
                  <w:pPr>
                    <w:pStyle w:val="Compact"/>
                    <w:jc w:val="right"/>
                    <w:jc w:val="center"/>
                  </w:pPr>
                  <w:r>
                    <w:t xml:space="preserve">40.3</w:t>
                  </w:r>
                </w:p>
              </w:tc>
              <w:tc>
                <w:tcPr/>
                <w:p>
                  <w:pPr>
                    <w:pStyle w:val="Compact"/>
                    <w:jc w:val="right"/>
                    <w:jc w:val="center"/>
                  </w:pPr>
                  <w:r>
                    <w:t xml:space="preserve">901</w:t>
                  </w:r>
                </w:p>
              </w:tc>
            </w:tr>
            <w:tr>
              <w:tc>
                <w:tcPr/>
                <w:p>
                  <w:pPr>
                    <w:pStyle w:val="Compact"/>
                    <w:jc w:val="center"/>
                    <w:jc w:val="center"/>
                  </w:pPr>
                  <w:r>
                    <w:t xml:space="preserve">2016</w:t>
                  </w:r>
                </w:p>
              </w:tc>
              <w:tc>
                <w:tcPr/>
                <w:p>
                  <w:pPr>
                    <w:pStyle w:val="Compact"/>
                    <w:jc w:val="right"/>
                    <w:jc w:val="center"/>
                  </w:pPr>
                  <w:r>
                    <w:t xml:space="preserve">355.6</w:t>
                  </w:r>
                </w:p>
              </w:tc>
              <w:tc>
                <w:tcPr/>
                <w:p>
                  <w:pPr>
                    <w:pStyle w:val="Compact"/>
                    <w:jc w:val="right"/>
                    <w:jc w:val="center"/>
                  </w:pPr>
                  <w:r>
                    <w:t xml:space="preserve">4.3</w:t>
                  </w:r>
                </w:p>
              </w:tc>
              <w:tc>
                <w:tcPr/>
                <w:p>
                  <w:pPr>
                    <w:pStyle w:val="Compact"/>
                    <w:jc w:val="right"/>
                    <w:jc w:val="center"/>
                  </w:pPr>
                  <w:r>
                    <w:t xml:space="preserve">159.9</w:t>
                  </w:r>
                </w:p>
              </w:tc>
              <w:tc>
                <w:tcPr/>
                <w:p>
                  <w:pPr>
                    <w:pStyle w:val="Compact"/>
                    <w:jc w:val="right"/>
                    <w:jc w:val="center"/>
                  </w:pPr>
                  <w:r>
                    <w:t xml:space="preserve">1626</w:t>
                  </w:r>
                </w:p>
              </w:tc>
              <w:tc>
                <w:tcPr/>
                <w:p>
                  <w:pPr>
                    <w:pStyle w:val="Compact"/>
                    <w:jc w:val="right"/>
                    <w:jc w:val="center"/>
                  </w:pPr>
                  <w:r>
                    <w:t xml:space="preserve">29.2</w:t>
                  </w:r>
                </w:p>
              </w:tc>
              <w:tc>
                <w:tcPr/>
                <w:p>
                  <w:pPr>
                    <w:pStyle w:val="Compact"/>
                    <w:jc w:val="right"/>
                    <w:jc w:val="center"/>
                  </w:pPr>
                  <w:r>
                    <w:t xml:space="preserve">531</w:t>
                  </w:r>
                </w:p>
              </w:tc>
            </w:tr>
            <w:tr>
              <w:tc>
                <w:tcPr/>
                <w:p>
                  <w:pPr>
                    <w:pStyle w:val="Compact"/>
                    <w:jc w:val="center"/>
                    <w:jc w:val="center"/>
                  </w:pPr>
                  <w:r>
                    <w:t xml:space="preserve">2017</w:t>
                  </w:r>
                </w:p>
              </w:tc>
              <w:tc>
                <w:tcPr/>
                <w:p>
                  <w:pPr>
                    <w:pStyle w:val="Compact"/>
                    <w:jc w:val="right"/>
                    <w:jc w:val="center"/>
                  </w:pPr>
                  <w:r>
                    <w:t xml:space="preserve">286.5</w:t>
                  </w:r>
                </w:p>
              </w:tc>
              <w:tc>
                <w:tcPr/>
                <w:p>
                  <w:pPr>
                    <w:pStyle w:val="Compact"/>
                    <w:jc w:val="right"/>
                    <w:jc w:val="center"/>
                  </w:pPr>
                  <w:r>
                    <w:t xml:space="preserve">4.0</w:t>
                  </w:r>
                </w:p>
              </w:tc>
              <w:tc>
                <w:tcPr/>
                <w:p>
                  <w:pPr>
                    <w:pStyle w:val="Compact"/>
                    <w:jc w:val="right"/>
                    <w:jc w:val="center"/>
                  </w:pPr>
                  <w:r>
                    <w:t xml:space="preserve">157.8</w:t>
                  </w:r>
                </w:p>
              </w:tc>
              <w:tc>
                <w:tcPr/>
                <w:p>
                  <w:pPr>
                    <w:pStyle w:val="Compact"/>
                    <w:jc w:val="right"/>
                    <w:jc w:val="center"/>
                  </w:pPr>
                  <w:r>
                    <w:t xml:space="preserve">1614</w:t>
                  </w:r>
                </w:p>
              </w:tc>
              <w:tc>
                <w:tcPr/>
                <w:p>
                  <w:pPr>
                    <w:pStyle w:val="Compact"/>
                    <w:jc w:val="right"/>
                    <w:jc w:val="center"/>
                  </w:pPr>
                  <w:r>
                    <w:t xml:space="preserve">23.3</w:t>
                  </w:r>
                </w:p>
              </w:tc>
              <w:tc>
                <w:tcPr/>
                <w:p>
                  <w:pPr>
                    <w:pStyle w:val="Compact"/>
                    <w:jc w:val="right"/>
                    <w:jc w:val="center"/>
                  </w:pPr>
                  <w:r>
                    <w:t xml:space="preserve">449</w:t>
                  </w:r>
                </w:p>
              </w:tc>
            </w:tr>
            <w:tr>
              <w:tc>
                <w:tcPr/>
                <w:p>
                  <w:pPr>
                    <w:pStyle w:val="Compact"/>
                    <w:jc w:val="center"/>
                    <w:jc w:val="center"/>
                  </w:pPr>
                  <w:r>
                    <w:t xml:space="preserve">2018</w:t>
                  </w:r>
                </w:p>
              </w:tc>
              <w:tc>
                <w:tcPr/>
                <w:p>
                  <w:pPr>
                    <w:pStyle w:val="Compact"/>
                    <w:jc w:val="right"/>
                    <w:jc w:val="center"/>
                  </w:pPr>
                  <w:r>
                    <w:t xml:space="preserve">281.9</w:t>
                  </w:r>
                </w:p>
              </w:tc>
              <w:tc>
                <w:tcPr/>
                <w:p>
                  <w:pPr>
                    <w:pStyle w:val="Compact"/>
                    <w:jc w:val="right"/>
                    <w:jc w:val="center"/>
                  </w:pPr>
                  <w:r>
                    <w:t xml:space="preserve">3.8</w:t>
                  </w:r>
                </w:p>
              </w:tc>
              <w:tc>
                <w:tcPr/>
                <w:p>
                  <w:pPr>
                    <w:pStyle w:val="Compact"/>
                    <w:jc w:val="right"/>
                    <w:jc w:val="center"/>
                  </w:pPr>
                  <w:r>
                    <w:t xml:space="preserve">152.7</w:t>
                  </w:r>
                </w:p>
              </w:tc>
              <w:tc>
                <w:tcPr/>
                <w:p>
                  <w:pPr>
                    <w:pStyle w:val="Compact"/>
                    <w:jc w:val="right"/>
                    <w:jc w:val="center"/>
                  </w:pPr>
                  <w:r>
                    <w:t xml:space="preserve">1674</w:t>
                  </w:r>
                </w:p>
              </w:tc>
              <w:tc>
                <w:tcPr/>
                <w:p>
                  <w:pPr>
                    <w:pStyle w:val="Compact"/>
                    <w:jc w:val="right"/>
                    <w:jc w:val="center"/>
                  </w:pPr>
                  <w:r>
                    <w:t xml:space="preserve">16.8</w:t>
                  </w:r>
                </w:p>
              </w:tc>
              <w:tc>
                <w:tcPr/>
                <w:p>
                  <w:pPr>
                    <w:pStyle w:val="Compact"/>
                    <w:jc w:val="right"/>
                    <w:jc w:val="center"/>
                  </w:pPr>
                  <w:r>
                    <w:t xml:space="preserve">455</w:t>
                  </w:r>
                </w:p>
              </w:tc>
            </w:tr>
            <w:tr>
              <w:tc>
                <w:tcPr/>
                <w:p>
                  <w:pPr>
                    <w:pStyle w:val="Compact"/>
                    <w:jc w:val="center"/>
                    <w:jc w:val="center"/>
                  </w:pPr>
                  <w:r>
                    <w:t xml:space="preserve">2019</w:t>
                  </w:r>
                </w:p>
              </w:tc>
              <w:tc>
                <w:tcPr/>
                <w:p>
                  <w:pPr>
                    <w:pStyle w:val="Compact"/>
                    <w:jc w:val="right"/>
                    <w:jc w:val="center"/>
                  </w:pPr>
                  <w:r>
                    <w:t xml:space="preserve">196.2</w:t>
                  </w:r>
                </w:p>
              </w:tc>
              <w:tc>
                <w:tcPr/>
                <w:p>
                  <w:pPr>
                    <w:pStyle w:val="Compact"/>
                    <w:jc w:val="right"/>
                    <w:jc w:val="center"/>
                  </w:pPr>
                  <w:r>
                    <w:t xml:space="preserve">2.6</w:t>
                  </w:r>
                </w:p>
              </w:tc>
              <w:tc>
                <w:tcPr/>
                <w:p>
                  <w:pPr>
                    <w:pStyle w:val="Compact"/>
                    <w:jc w:val="right"/>
                    <w:jc w:val="center"/>
                  </w:pPr>
                  <w:r>
                    <w:t xml:space="preserve">211.2</w:t>
                  </w:r>
                </w:p>
              </w:tc>
              <w:tc>
                <w:tcPr/>
                <w:p>
                  <w:pPr>
                    <w:pStyle w:val="Compact"/>
                    <w:jc w:val="right"/>
                    <w:jc w:val="center"/>
                  </w:pPr>
                  <w:r>
                    <w:t xml:space="preserve">1561</w:t>
                  </w:r>
                </w:p>
              </w:tc>
              <w:tc>
                <w:tcPr/>
                <w:p>
                  <w:pPr>
                    <w:pStyle w:val="Compact"/>
                    <w:jc w:val="right"/>
                    <w:jc w:val="center"/>
                  </w:pPr>
                  <w:r>
                    <w:t xml:space="preserve">41.2</w:t>
                  </w:r>
                </w:p>
              </w:tc>
              <w:tc>
                <w:tcPr/>
                <w:p>
                  <w:pPr>
                    <w:pStyle w:val="Compact"/>
                    <w:jc w:val="right"/>
                    <w:jc w:val="center"/>
                  </w:pPr>
                  <w:r>
                    <w:t xml:space="preserve">823</w:t>
                  </w:r>
                </w:p>
              </w:tc>
            </w:tr>
            <w:tr>
              <w:tc>
                <w:tcPr/>
                <w:p>
                  <w:pPr>
                    <w:pStyle w:val="Compact"/>
                    <w:jc w:val="center"/>
                    <w:jc w:val="center"/>
                  </w:pPr>
                  <w:r>
                    <w:t xml:space="preserve">2020</w:t>
                  </w:r>
                </w:p>
              </w:tc>
              <w:tc>
                <w:tcPr/>
                <w:p>
                  <w:pPr>
                    <w:pStyle w:val="Compact"/>
                    <w:jc w:val="right"/>
                    <w:jc w:val="center"/>
                  </w:pPr>
                  <w:r>
                    <w:t xml:space="preserve">204.5</w:t>
                  </w:r>
                </w:p>
              </w:tc>
              <w:tc>
                <w:tcPr/>
                <w:p>
                  <w:pPr>
                    <w:pStyle w:val="Compact"/>
                    <w:jc w:val="right"/>
                    <w:jc w:val="center"/>
                  </w:pPr>
                  <w:r>
                    <w:t xml:space="preserve">2.4</w:t>
                  </w:r>
                </w:p>
              </w:tc>
              <w:tc>
                <w:tcPr/>
                <w:p>
                  <w:pPr>
                    <w:pStyle w:val="Compact"/>
                    <w:jc w:val="right"/>
                    <w:jc w:val="center"/>
                  </w:pPr>
                  <w:r>
                    <w:t xml:space="preserve">253.8</w:t>
                  </w:r>
                </w:p>
              </w:tc>
              <w:tc>
                <w:tcPr/>
                <w:p>
                  <w:pPr>
                    <w:pStyle w:val="Compact"/>
                    <w:jc w:val="right"/>
                    <w:jc w:val="center"/>
                  </w:pPr>
                  <w:r>
                    <w:t xml:space="preserve">1564</w:t>
                  </w:r>
                </w:p>
              </w:tc>
              <w:tc>
                <w:tcPr/>
                <w:p>
                  <w:pPr>
                    <w:pStyle w:val="Compact"/>
                    <w:jc w:val="right"/>
                    <w:jc w:val="center"/>
                  </w:pPr>
                  <w:r>
                    <w:t xml:space="preserve">50.9</w:t>
                  </w:r>
                </w:p>
              </w:tc>
              <w:tc>
                <w:tcPr/>
                <w:p>
                  <w:pPr>
                    <w:pStyle w:val="Compact"/>
                    <w:jc w:val="right"/>
                    <w:jc w:val="center"/>
                  </w:pPr>
                  <w:r>
                    <w:t xml:space="preserve">1036</w:t>
                  </w:r>
                </w:p>
              </w:tc>
            </w:tr>
            <w:tr>
              <w:tc>
                <w:tcPr/>
                <w:p>
                  <w:pPr>
                    <w:pStyle w:val="Compact"/>
                    <w:jc w:val="center"/>
                    <w:jc w:val="center"/>
                  </w:pPr>
                  <w:r>
                    <w:t xml:space="preserve">2021</w:t>
                  </w:r>
                </w:p>
              </w:tc>
              <w:tc>
                <w:tcPr/>
                <w:p>
                  <w:pPr>
                    <w:pStyle w:val="Compact"/>
                    <w:jc w:val="right"/>
                    <w:jc w:val="center"/>
                  </w:pPr>
                  <w:r>
                    <w:t xml:space="preserve">185.0</w:t>
                  </w:r>
                </w:p>
              </w:tc>
              <w:tc>
                <w:tcPr/>
                <w:p>
                  <w:pPr>
                    <w:pStyle w:val="Compact"/>
                    <w:jc w:val="right"/>
                    <w:jc w:val="center"/>
                  </w:pPr>
                  <w:r>
                    <w:t xml:space="preserve">2.5</w:t>
                  </w:r>
                </w:p>
              </w:tc>
              <w:tc>
                <w:tcPr/>
                <w:p>
                  <w:pPr>
                    <w:pStyle w:val="Compact"/>
                    <w:jc w:val="right"/>
                    <w:jc w:val="center"/>
                  </w:pPr>
                  <w:r>
                    <w:t xml:space="preserve">247.6</w:t>
                  </w:r>
                </w:p>
              </w:tc>
              <w:tc>
                <w:tcPr/>
                <w:p>
                  <w:pPr>
                    <w:pStyle w:val="Compact"/>
                    <w:jc w:val="right"/>
                    <w:jc w:val="center"/>
                  </w:pPr>
                  <w:r>
                    <w:t xml:space="preserve">1564</w:t>
                  </w:r>
                </w:p>
              </w:tc>
              <w:tc>
                <w:tcPr/>
                <w:p>
                  <w:pPr>
                    <w:pStyle w:val="Compact"/>
                    <w:jc w:val="right"/>
                    <w:jc w:val="center"/>
                  </w:pPr>
                  <w:r>
                    <w:t xml:space="preserve">69.7</w:t>
                  </w:r>
                </w:p>
              </w:tc>
              <w:tc>
                <w:tcPr/>
                <w:p>
                  <w:pPr>
                    <w:pStyle w:val="Compact"/>
                    <w:jc w:val="right"/>
                    <w:jc w:val="center"/>
                  </w:pPr>
                  <w:r>
                    <w:t xml:space="preserve">1596</w:t>
                  </w:r>
                </w:p>
              </w:tc>
            </w:tr>
            <w:tr>
              <w:tc>
                <w:tcPr/>
                <w:p>
                  <w:pPr>
                    <w:pStyle w:val="Compact"/>
                    <w:jc w:val="center"/>
                    <w:jc w:val="center"/>
                  </w:pPr>
                  <w:r>
                    <w:t xml:space="preserve">2022</w:t>
                  </w:r>
                </w:p>
              </w:tc>
              <w:tc>
                <w:tcPr/>
                <w:p>
                  <w:pPr>
                    <w:pStyle w:val="Compact"/>
                    <w:jc w:val="right"/>
                    <w:jc w:val="center"/>
                  </w:pPr>
                  <w:r>
                    <w:t xml:space="preserve">122.1</w:t>
                  </w:r>
                </w:p>
              </w:tc>
              <w:tc>
                <w:tcPr/>
                <w:p>
                  <w:pPr>
                    <w:pStyle w:val="Compact"/>
                    <w:jc w:val="right"/>
                    <w:jc w:val="center"/>
                  </w:pPr>
                  <w:r>
                    <w:t xml:space="preserve">2.3</w:t>
                  </w:r>
                </w:p>
              </w:tc>
              <w:tc>
                <w:tcPr/>
                <w:p>
                  <w:pPr>
                    <w:pStyle w:val="Compact"/>
                    <w:jc w:val="right"/>
                    <w:jc w:val="center"/>
                  </w:pPr>
                  <w:r>
                    <w:t xml:space="preserve">242.9</w:t>
                  </w:r>
                </w:p>
              </w:tc>
              <w:tc>
                <w:tcPr/>
                <w:p>
                  <w:pPr>
                    <w:pStyle w:val="Compact"/>
                    <w:jc w:val="right"/>
                    <w:jc w:val="center"/>
                  </w:pPr>
                  <w:r>
                    <w:t xml:space="preserve">1585</w:t>
                  </w:r>
                </w:p>
              </w:tc>
              <w:tc>
                <w:tcPr/>
                <w:p>
                  <w:pPr>
                    <w:pStyle w:val="Compact"/>
                    <w:jc w:val="right"/>
                    <w:jc w:val="center"/>
                  </w:pPr>
                  <w:r>
                    <w:t xml:space="preserve">80.9</w:t>
                  </w:r>
                </w:p>
              </w:tc>
              <w:tc>
                <w:tcPr/>
                <w:p>
                  <w:pPr>
                    <w:pStyle w:val="Compact"/>
                    <w:jc w:val="right"/>
                    <w:jc w:val="center"/>
                  </w:pPr>
                  <w:r>
                    <w:t xml:space="preserve">2001</w:t>
                  </w:r>
                </w:p>
              </w:tc>
            </w:tr>
            <w:tr>
              <w:tc>
                <w:tcPr/>
                <w:p>
                  <w:pPr>
                    <w:pStyle w:val="Compact"/>
                    <w:jc w:val="center"/>
                    <w:jc w:val="center"/>
                  </w:pPr>
                  <w:r>
                    <w:t xml:space="preserve">2023</w:t>
                  </w:r>
                </w:p>
              </w:tc>
              <w:tc>
                <w:tcPr/>
                <w:p>
                  <w:pPr>
                    <w:pStyle w:val="Compact"/>
                    <w:jc w:val="right"/>
                    <w:jc w:val="center"/>
                  </w:pPr>
                  <w:r>
                    <w:t xml:space="preserve">136.8</w:t>
                  </w:r>
                </w:p>
              </w:tc>
              <w:tc>
                <w:tcPr/>
                <w:p>
                  <w:pPr>
                    <w:pStyle w:val="Compact"/>
                    <w:jc w:val="right"/>
                    <w:jc w:val="center"/>
                  </w:pPr>
                  <w:r>
                    <w:t xml:space="preserve">1.6</w:t>
                  </w:r>
                </w:p>
              </w:tc>
              <w:tc>
                <w:tcPr/>
                <w:p>
                  <w:pPr>
                    <w:pStyle w:val="Compact"/>
                    <w:jc w:val="right"/>
                    <w:jc w:val="center"/>
                  </w:pPr>
                  <w:r>
                    <w:t xml:space="preserve">252.9</w:t>
                  </w:r>
                </w:p>
              </w:tc>
              <w:tc>
                <w:tcPr/>
                <w:p>
                  <w:pPr>
                    <w:pStyle w:val="Compact"/>
                    <w:jc w:val="right"/>
                    <w:jc w:val="center"/>
                  </w:pPr>
                  <w:r>
                    <w:t xml:space="preserve">1578</w:t>
                  </w:r>
                </w:p>
              </w:tc>
              <w:tc>
                <w:tcPr/>
                <w:p>
                  <w:pPr>
                    <w:pStyle w:val="Compact"/>
                    <w:jc w:val="right"/>
                    <w:jc w:val="center"/>
                  </w:pPr>
                  <w:r>
                    <w:t xml:space="preserve">83.4</w:t>
                  </w:r>
                </w:p>
              </w:tc>
              <w:tc>
                <w:tcPr/>
                <w:p>
                  <w:pPr>
                    <w:pStyle w:val="Compact"/>
                    <w:jc w:val="right"/>
                    <w:jc w:val="center"/>
                  </w:pPr>
                  <w:r>
                    <w:t xml:space="preserve">2379</w:t>
                  </w:r>
                </w:p>
              </w:tc>
            </w:tr>
            <w:tr>
              <w:tc>
                <w:tcPr/>
                <w:p>
                  <w:pPr>
                    <w:pStyle w:val="Compact"/>
                    <w:jc w:val="center"/>
                    <w:jc w:val="center"/>
                  </w:pPr>
                  <w:r>
                    <w:t xml:space="preserve">2024</w:t>
                  </w:r>
                </w:p>
              </w:tc>
              <w:tc>
                <w:tcPr/>
                <w:p>
                  <w:pPr>
                    <w:pStyle w:val="Compact"/>
                    <w:jc w:val="right"/>
                    <w:jc w:val="center"/>
                  </w:pPr>
                  <w:r>
                    <w:t xml:space="preserve">196.9</w:t>
                  </w:r>
                </w:p>
              </w:tc>
              <w:tc>
                <w:tcPr/>
                <w:p>
                  <w:pPr>
                    <w:pStyle w:val="Compact"/>
                    <w:jc w:val="right"/>
                    <w:jc w:val="center"/>
                  </w:pPr>
                  <w:r>
                    <w:t xml:space="preserve">2.8</w:t>
                  </w:r>
                </w:p>
              </w:tc>
              <w:tc>
                <w:tcPr/>
                <w:p>
                  <w:pPr>
                    <w:pStyle w:val="Compact"/>
                    <w:jc w:val="right"/>
                    <w:jc w:val="center"/>
                  </w:pPr>
                  <w:r>
                    <w:t xml:space="preserve">232.7</w:t>
                  </w:r>
                </w:p>
              </w:tc>
              <w:tc>
                <w:tcPr/>
                <w:p>
                  <w:pPr>
                    <w:pStyle w:val="Compact"/>
                    <w:jc w:val="right"/>
                    <w:jc w:val="center"/>
                  </w:pPr>
                  <w:r>
                    <w:t xml:space="preserve">1583</w:t>
                  </w:r>
                </w:p>
              </w:tc>
              <w:tc>
                <w:tcPr/>
                <w:p>
                  <w:pPr>
                    <w:pStyle w:val="Compact"/>
                    <w:jc w:val="right"/>
                    <w:jc w:val="center"/>
                  </w:pPr>
                  <w:r>
                    <w:t xml:space="preserve">92.4</w:t>
                  </w:r>
                </w:p>
              </w:tc>
              <w:tc>
                <w:tcPr/>
                <w:p>
                  <w:pPr>
                    <w:pStyle w:val="Compact"/>
                    <w:jc w:val="right"/>
                    <w:jc w:val="center"/>
                  </w:pPr>
                  <w:r>
                    <w:t xml:space="preserve">5237</w:t>
                  </w:r>
                </w:p>
              </w:tc>
            </w:tr>
            <w:tr>
              <w:tc>
                <w:tcPr/>
                <w:p>
                  <w:pPr>
                    <w:pStyle w:val="Compact"/>
                    <w:jc w:val="center"/>
                    <w:jc w:val="center"/>
                  </w:pPr>
                  <w:r>
                    <w:t xml:space="preserve">2025</w:t>
                  </w:r>
                </w:p>
              </w:tc>
              <w:tc>
                <w:tcPr/>
                <w:p>
                  <w:pPr>
                    <w:pStyle w:val="Compact"/>
                    <w:jc w:val="right"/>
                    <w:jc w:val="center"/>
                  </w:pPr>
                  <w:r>
                    <w:t xml:space="preserve">375.0</w:t>
                  </w:r>
                </w:p>
              </w:tc>
              <w:tc>
                <w:tcPr/>
                <w:p>
                  <w:pPr>
                    <w:pStyle w:val="Compact"/>
                    <w:jc w:val="right"/>
                    <w:jc w:val="center"/>
                  </w:pPr>
                  <w:r>
                    <w:t xml:space="preserve">3.8</w:t>
                  </w:r>
                </w:p>
              </w:tc>
              <w:tc>
                <w:tcPr/>
                <w:p>
                  <w:pPr>
                    <w:pStyle w:val="Compact"/>
                    <w:jc w:val="right"/>
                    <w:jc w:val="center"/>
                  </w:pPr>
                  <w:r>
                    <w:t xml:space="preserve">233.1</w:t>
                  </w:r>
                </w:p>
              </w:tc>
              <w:tc>
                <w:tcPr/>
                <w:p>
                  <w:pPr>
                    <w:pStyle w:val="Compact"/>
                    <w:jc w:val="right"/>
                    <w:jc w:val="center"/>
                  </w:pPr>
                  <w:r>
                    <w:t xml:space="preserve">1608</w:t>
                  </w:r>
                </w:p>
              </w:tc>
              <w:tc>
                <w:tcPr/>
                <w:p>
                  <w:pPr>
                    <w:pStyle w:val="Compact"/>
                    <w:jc w:val="right"/>
                    <w:jc w:val="center"/>
                  </w:pPr>
                  <w:r>
                    <w:t xml:space="preserve">88.8</w:t>
                  </w:r>
                </w:p>
              </w:tc>
              <w:tc>
                <w:tcPr/>
                <w:p>
                  <w:pPr>
                    <w:pStyle w:val="Compact"/>
                    <w:jc w:val="right"/>
                    <w:jc w:val="center"/>
                  </w:pPr>
                  <w:r>
                    <w:t xml:space="preserve">4163</w:t>
                  </w:r>
                </w:p>
              </w:tc>
            </w:tr>
            <w:tr>
              <w:tc>
                <w:tcPr/>
                <w:p>
                  <w:pPr>
                    <w:pStyle w:val="Compact"/>
                    <w:jc w:val="center"/>
                    <w:jc w:val="center"/>
                  </w:pPr>
                  <w:r>
                    <w:t xml:space="preserve">2026</w:t>
                  </w:r>
                </w:p>
              </w:tc>
              <w:tc>
                <w:tcPr/>
                <w:p>
                  <w:pPr>
                    <w:pStyle w:val="Compact"/>
                    <w:jc w:val="right"/>
                    <w:jc w:val="center"/>
                  </w:pPr>
                  <w:r>
                    <w:t xml:space="preserve">221.8</w:t>
                  </w:r>
                </w:p>
              </w:tc>
              <w:tc>
                <w:tcPr/>
                <w:p>
                  <w:pPr>
                    <w:pStyle w:val="Compact"/>
                    <w:jc w:val="right"/>
                    <w:jc w:val="center"/>
                  </w:pPr>
                  <w:r>
                    <w:t xml:space="preserve">3.9</w:t>
                  </w:r>
                </w:p>
              </w:tc>
              <w:tc>
                <w:tcPr/>
                <w:p>
                  <w:pPr>
                    <w:pStyle w:val="Compact"/>
                    <w:jc w:val="right"/>
                    <w:jc w:val="center"/>
                  </w:pPr>
                  <w:r>
                    <w:t xml:space="preserve">238.8</w:t>
                  </w:r>
                </w:p>
              </w:tc>
              <w:tc>
                <w:tcPr/>
                <w:p>
                  <w:pPr>
                    <w:pStyle w:val="Compact"/>
                    <w:jc w:val="right"/>
                    <w:jc w:val="center"/>
                  </w:pPr>
                  <w:r>
                    <w:t xml:space="preserve">1584</w:t>
                  </w:r>
                </w:p>
              </w:tc>
              <w:tc>
                <w:tcPr/>
                <w:p>
                  <w:pPr>
                    <w:pStyle w:val="Compact"/>
                    <w:jc w:val="right"/>
                    <w:jc w:val="center"/>
                  </w:pPr>
                  <w:r>
                    <w:t xml:space="preserve">81.0</w:t>
                  </w:r>
                </w:p>
              </w:tc>
              <w:tc>
                <w:tcPr/>
                <w:p>
                  <w:pPr>
                    <w:pStyle w:val="Compact"/>
                    <w:jc w:val="right"/>
                    <w:jc w:val="center"/>
                  </w:pPr>
                  <w:r>
                    <w:t xml:space="preserve">954</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chile-cpue-fishing-trip-pairs"/>
          <w:p>
            <w:pPr>
              <w:pStyle w:val="Compact"/>
              <w:jc w:val="center"/>
            </w:pPr>
            <w:r>
              <w:drawing>
                <wp:inline>
                  <wp:extent cx="5334000" cy="5334000"/>
                  <wp:effectExtent b="0" l="0" r="0" t="0"/>
                  <wp:docPr descr="" title="" id="32" name="Picture"/>
                  <a:graphic>
                    <a:graphicData uri="http://schemas.openxmlformats.org/drawingml/2006/picture">
                      <pic:pic>
                        <pic:nvPicPr>
                          <pic:cNvPr descr="JMWG-Benchmark-Meeting-report-2026_files/figure-docx/fig-chile-cpue-fishing-trip-pairs-1.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Pairs plot of annual Chilean South-Central fishing-trip and set-coverage variables from</w:t>
            </w:r>
            <w:r>
              <w:t xml:space="preserve"> </w:t>
            </w:r>
            <w:r>
              <w:rPr>
                <w:rStyle w:val="VerbatimChar"/>
              </w:rPr>
              <w:t xml:space="preserve">fishing_trip_summary_1994_2026.csv</w:t>
            </w:r>
            <w:r>
              <w:t xml:space="preserve">. Lower panels show annual points labeled by year with loess smoothers; upper panels show Pearson correlations.</w:t>
            </w:r>
          </w:p>
          <w:bookmarkEnd w:id="34"/>
        </w:tc>
      </w:tr>
    </w:tbl>
    <w:bookmarkEnd w:id="35"/>
    <w:bookmarkStart w:id="62" w:name="biological-inputs"/>
    <w:p>
      <w:pPr>
        <w:pStyle w:val="Heading2"/>
      </w:pPr>
      <w:r>
        <w:t xml:space="preserve">Biological Inputs</w:t>
      </w:r>
    </w:p>
    <w:p>
      <w:pPr>
        <w:pStyle w:val="FirstParagraph"/>
      </w:pPr>
      <w:r>
        <w:rPr>
          <w:b/>
          <w:bCs/>
        </w:rPr>
        <w:t xml:space="preserve">47.</w:t>
      </w:r>
      <w:r>
        <w:t xml:space="preserve"> </w:t>
      </w:r>
      <w:r>
        <w:t xml:space="preserve">The Day 3 biological-input discussion reviewed the Peruvian length-weight and</w:t>
      </w:r>
      <w:r>
        <w:t xml:space="preserve"> </w:t>
      </w:r>
      <w:r>
        <w:t xml:space="preserve">length-frequency material and agreed that the Peruvian length frequencies should</w:t>
      </w:r>
      <w:r>
        <w:t xml:space="preserve"> </w:t>
      </w:r>
      <w:r>
        <w:t xml:space="preserve">be treated as fork length. Growth parameters used with those data should</w:t>
      </w:r>
      <w:r>
        <w:t xml:space="preserve"> </w:t>
      </w:r>
      <w:r>
        <w:t xml:space="preserve">therefore also be in fork length. Members noted the SPRFMO convention that</w:t>
      </w:r>
      <w:r>
        <w:t xml:space="preserve"> </w:t>
      </w:r>
      <w:r>
        <w:t xml:space="preserve">length information should be reported in fork length rather than total length.</w:t>
      </w:r>
      <w:r>
        <w:t xml:space="preserve"> </w:t>
      </w:r>
      <w:r>
        <w:t xml:space="preserve">The group agreed to leave the length-composition plus group at 50 cm so the</w:t>
      </w:r>
      <w:r>
        <w:t xml:space="preserve"> </w:t>
      </w:r>
      <w:r>
        <w:t xml:space="preserve">Peruvian length-frequency information and growth assumptions are handled</w:t>
      </w:r>
      <w:r>
        <w:t xml:space="preserve"> </w:t>
      </w:r>
      <w:r>
        <w:t xml:space="preserve">consistently in the model.</w:t>
      </w:r>
    </w:p>
    <w:p>
      <w:pPr>
        <w:pStyle w:val="BodyText"/>
      </w:pPr>
      <w:r>
        <w:rPr>
          <w:b/>
          <w:bCs/>
        </w:rPr>
        <w:t xml:space="preserve">48.</w:t>
      </w:r>
      <w:r>
        <w:t xml:space="preserve"> </w:t>
      </w:r>
      <w:r>
        <w:t xml:space="preserve">The meeting also requested that Peru provide sample-size information for the</w:t>
      </w:r>
      <w:r>
        <w:t xml:space="preserve"> </w:t>
      </w:r>
      <w:r>
        <w:t xml:space="preserve">composition data in a form that can be translated into assessment input sample</w:t>
      </w:r>
      <w:r>
        <w:t xml:space="preserve"> </w:t>
      </w:r>
      <w:r>
        <w:t xml:space="preserve">sizes. Members noted that the number of fish measured would be useful in</w:t>
      </w:r>
      <w:r>
        <w:t xml:space="preserve"> </w:t>
      </w:r>
      <w:r>
        <w:t xml:space="preserve">addition to the current reporting of sampling events such as boxes or trips. The</w:t>
      </w:r>
      <w:r>
        <w:t xml:space="preserve"> </w:t>
      </w:r>
      <w:r>
        <w:t xml:space="preserve">group also discussed whether the SPRFMO length-bin range should be expanded to</w:t>
      </w:r>
      <w:r>
        <w:t xml:space="preserve"> </w:t>
      </w:r>
      <w:r>
        <w:t xml:space="preserve">match the Peruvian 5-90 cm length bins.</w:t>
      </w:r>
    </w:p>
    <w:p>
      <w:pPr>
        <w:pStyle w:val="BodyText"/>
      </w:pPr>
      <w:r>
        <w:rPr>
          <w:b/>
          <w:bCs/>
        </w:rPr>
        <w:t xml:space="preserve">49.</w:t>
      </w:r>
      <w:r>
        <w:t xml:space="preserve"> </w:t>
      </w:r>
      <w:r>
        <w:t xml:space="preserve">Jim presented model runs using the updated Peruvian length-composition data.</w:t>
      </w:r>
      <w:r>
        <w:t xml:space="preserve"> </w:t>
      </w:r>
      <w:r>
        <w:t xml:space="preserve">Members requested additional checks on the resulting selectivity patterns,</w:t>
      </w:r>
      <w:r>
        <w:t xml:space="preserve"> </w:t>
      </w:r>
      <w:r>
        <w:t xml:space="preserve">particularly that selectivity should not become dome-shaped after 2020. The</w:t>
      </w:r>
      <w:r>
        <w:t xml:space="preserve"> </w:t>
      </w:r>
      <w:r>
        <w:t xml:space="preserve">Peruvian length-weight presentation also noted that the allometric parameter</w:t>
      </w:r>
      <w:r>
        <w:t xml:space="preserve"> </w:t>
      </w:r>
      <w:r>
        <w:rPr>
          <w:rStyle w:val="VerbatimChar"/>
        </w:rPr>
        <w:t xml:space="preserve">b</w:t>
      </w:r>
      <w:r>
        <w:t xml:space="preserve"> </w:t>
      </w:r>
      <w:r>
        <w:t xml:space="preserve">fluctuates and tends to decline sharply during El Nino events, which should</w:t>
      </w:r>
      <w:r>
        <w:t xml:space="preserve"> </w:t>
      </w:r>
      <w:r>
        <w:t xml:space="preserve">be considered when interpreting biological inputs from years affected by</w:t>
      </w:r>
      <w:r>
        <w:t xml:space="preserve"> </w:t>
      </w:r>
      <w:r>
        <w:t xml:space="preserve">environmental anomalies.</w:t>
      </w:r>
    </w:p>
    <w:bookmarkStart w:id="61" w:name="X3f3d3a61e8fecc58f358c3926e6a5062ee991a7"/>
    <w:p>
      <w:pPr>
        <w:pStyle w:val="Heading3"/>
      </w:pPr>
      <w:r>
        <w:t xml:space="preserve">Far North length-composition binning and data specification</w:t>
      </w:r>
    </w:p>
    <w:p>
      <w:pPr>
        <w:pStyle w:val="FirstParagraph"/>
      </w:pPr>
      <w:r>
        <w:rPr>
          <w:b/>
          <w:bCs/>
        </w:rPr>
        <w:t xml:space="preserve">50.</w:t>
      </w:r>
      <w:r>
        <w:t xml:space="preserve"> </w:t>
      </w:r>
      <w:r>
        <w:t xml:space="preserve">The updated Far North length-composition information was provided in annual rows for 1972-2025 with centimetre bins from 5 to 90 cm. The assessment input currently uses 10-50 cm length bins. The meeting reviewed cumulative length distributions and annual length-composition shapes to evaluate whether expanding the model length-bin range was necessary for the benchmark configuration.</w:t>
      </w:r>
    </w:p>
    <w:p>
      <w:pPr>
        <w:pStyle w:val="BodyText"/>
      </w:pPr>
      <w:r>
        <w:rPr>
          <w:b/>
          <w:bCs/>
        </w:rPr>
        <w:t xml:space="preserve">51.</w:t>
      </w:r>
      <w:r>
        <w:t xml:space="preserve"> </w:t>
      </w:r>
      <w:r>
        <w:t xml:space="preserve">The diagnostic plots show that the retained 10-50 cm interval captures nearly all of the observed length-composition mass in most years (</w:t>
      </w:r>
      <w:hyperlink w:anchor="fig-farnorth-length-cumulative-all">
        <w:r>
          <w:rPr>
            <w:rStyle w:val="Hyperlink"/>
          </w:rPr>
          <w:t xml:space="preserve">Figure 4</w:t>
        </w:r>
      </w:hyperlink>
      <w:r>
        <w:t xml:space="preserve">;</w:t>
      </w:r>
      <w:r>
        <w:t xml:space="preserve"> </w:t>
      </w:r>
      <w:hyperlink w:anchor="fig-farnorth-length-cumulative">
        <w:r>
          <w:rPr>
            <w:rStyle w:val="Hyperlink"/>
          </w:rPr>
          <w:t xml:space="preserve">Figure 5</w:t>
        </w:r>
      </w:hyperlink>
      <w:r>
        <w:t xml:space="preserve">;</w:t>
      </w:r>
      <w:r>
        <w:t xml:space="preserve"> </w:t>
      </w:r>
      <w:hyperlink w:anchor="fig-farnorth-length-ridges">
        <w:r>
          <w:rPr>
            <w:rStyle w:val="Hyperlink"/>
          </w:rPr>
          <w:t xml:space="preserve">Figure 6</w:t>
        </w:r>
      </w:hyperlink>
      <w:r>
        <w:t xml:space="preserve">). Across the annual rows, the median proportion within 10-50 cm was 0.9998, and the minimum was 0.895. When the length compositions were summed across all years, 0.9986 of the total was within the retained 10-50 cm interval. The lower annual coverage years were mainly early observations and the most recent 2024 row. On this basis, the practical benchmark decision was to retain the existing 10-50 cm assessment bins for the Far North length-composition treatment rather than expanding the JJM length-bin range to 5-90 cm at this stage.</w:t>
      </w:r>
    </w:p>
    <w:p>
      <w:pPr>
        <w:pStyle w:val="BodyText"/>
      </w:pPr>
      <w:r>
        <w:rPr>
          <w:b/>
          <w:bCs/>
        </w:rPr>
        <w:t xml:space="preserve">52.</w:t>
      </w:r>
      <w:r>
        <w:t xml:space="preserve"> </w:t>
      </w:r>
      <w:r>
        <w:t xml:space="preserve">The annual length-composition sample-size plot was digitized from the provided</w:t>
      </w:r>
      <w:r>
        <w:t xml:space="preserve"> </w:t>
      </w:r>
      <w:r>
        <w:t xml:space="preserve">figure for 1972-2025. The digitized values were treated as relative sample-size</w:t>
      </w:r>
      <w:r>
        <w:t xml:space="preserve"> </w:t>
      </w:r>
      <w:r>
        <w:t xml:space="preserve">weights. The meeting noted that rescaling the Far North length-frequency sample</w:t>
      </w:r>
      <w:r>
        <w:t xml:space="preserve"> </w:t>
      </w:r>
      <w:r>
        <w:t xml:space="preserve">sizes to have a maximum value of 100 would not preserve the scale used</w:t>
      </w:r>
      <w:r>
        <w:t xml:space="preserve"> </w:t>
      </w:r>
      <w:r>
        <w:t xml:space="preserve">previously in the assessment. Instead, the effective sample-size vector should</w:t>
      </w:r>
      <w:r>
        <w:t xml:space="preserve"> </w:t>
      </w:r>
      <w:r>
        <w:t xml:space="preserve">maintain the same mean as in the past. Consequently, the vector was rescaled to</w:t>
      </w:r>
      <w:r>
        <w:t xml:space="preserve"> </w:t>
      </w:r>
      <w:r>
        <w:t xml:space="preserve">have a mean effective sample size of 30. The scaled input vector is archived in</w:t>
      </w:r>
      <w:r>
        <w:t xml:space="preserve"> </w:t>
      </w:r>
      <w:r>
        <w:rPr>
          <w:rStyle w:val="VerbatimChar"/>
        </w:rPr>
        <w:t xml:space="preserve">doc/data/farnorth_sample_sizes_scaled_for_mod0.5.csv</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farnorth-length-cumulative-all"/>
          <w:p>
            <w:pPr>
              <w:pStyle w:val="Compact"/>
              <w:jc w:val="center"/>
            </w:pPr>
            <w:r>
              <w:drawing>
                <wp:inline>
                  <wp:extent cx="5334000" cy="3460705"/>
                  <wp:effectExtent b="0" l="0" r="0" t="0"/>
                  <wp:docPr descr="" title="" id="37" name="Picture"/>
                  <a:graphic>
                    <a:graphicData uri="http://schemas.openxmlformats.org/drawingml/2006/picture">
                      <pic:pic>
                        <pic:nvPicPr>
                          <pic:cNvPr descr="images/farnorth_length_cumulative_all_years.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34607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Cumulative Far North length-composition distribution after summing across all years. The curve uses the full 5-90 cm composition data, with the x-axis truncated at 60 cm. Dashed vertical lines mark the retained 10-50 cm assessment length-bin interval.</w:t>
            </w:r>
          </w:p>
          <w:bookmarkEnd w:id="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fig-farnorth-length-cumulative"/>
          <w:p>
            <w:pPr>
              <w:pStyle w:val="Compact"/>
              <w:jc w:val="center"/>
            </w:pPr>
            <w:r>
              <w:drawing>
                <wp:inline>
                  <wp:extent cx="5334000" cy="3379557"/>
                  <wp:effectExtent b="0" l="0" r="0" t="0"/>
                  <wp:docPr descr="" title="" id="42" name="Picture"/>
                  <a:graphic>
                    <a:graphicData uri="http://schemas.openxmlformats.org/drawingml/2006/picture">
                      <pic:pic>
                        <pic:nvPicPr>
                          <pic:cNvPr descr="images/farnorth_length_cumulative_by_year.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337955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Cumulative Far North length-composition distributions by year. Lines show row-wise cumulative proportions from the full 5-90 cm composition data, with the x-axis truncated at 60 cm. Dashed vertical lines mark the retained 10-50 cm assessment length-bin interval.</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farnorth-length-ridges"/>
          <w:p>
            <w:pPr>
              <w:pStyle w:val="Compact"/>
              <w:jc w:val="center"/>
            </w:pPr>
            <w:r>
              <w:drawing>
                <wp:inline>
                  <wp:extent cx="5334000" cy="5985480"/>
                  <wp:effectExtent b="0" l="0" r="0" t="0"/>
                  <wp:docPr descr="" title="" id="47" name="Picture"/>
                  <a:graphic>
                    <a:graphicData uri="http://schemas.openxmlformats.org/drawingml/2006/picture">
                      <pic:pic>
                        <pic:nvPicPr>
                          <pic:cNvPr descr="images/farnorth_length_ridges_by_year.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5985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Far North length-composition shapes by year. Each ridge is scaled within year to emphasize modal structure; dashed vertical lines mark the retained 10-50 cm assessment length-bin interval.</w:t>
            </w:r>
          </w:p>
          <w:bookmarkEnd w:id="50"/>
        </w:tc>
      </w:tr>
    </w:tbl>
    <w:p>
      <w:pPr>
        <w:pStyle w:val="BodyText"/>
      </w:pPr>
      <w:r>
        <w:rPr>
          <w:b/>
          <w:bCs/>
        </w:rPr>
        <w:t xml:space="preserve">53.</w:t>
      </w:r>
      <w:r>
        <w:t xml:space="preserve"> </w:t>
      </w:r>
      <w:r>
        <w:t xml:space="preserve">The Season 1 and Season 2 Far North length-composition rows used in</w:t>
      </w:r>
      <w:r>
        <w:t xml:space="preserve"> </w:t>
      </w:r>
      <w:r>
        <w:rPr>
          <w:rStyle w:val="VerbatimChar"/>
        </w:rPr>
        <w:t xml:space="preserve">mod0.5.dat</w:t>
      </w:r>
      <w:r>
        <w:t xml:space="preserve"> </w:t>
      </w:r>
      <w:r>
        <w:t xml:space="preserve">were also reviewed against the retained 10-50 cm assessment bins (</w:t>
      </w:r>
      <w:hyperlink w:anchor="fig-farnorth-mod05-season1-ridges">
        <w:r>
          <w:rPr>
            <w:rStyle w:val="Hyperlink"/>
          </w:rPr>
          <w:t xml:space="preserve">Figure 7</w:t>
        </w:r>
      </w:hyperlink>
      <w:r>
        <w:t xml:space="preserve">;</w:t>
      </w:r>
      <w:r>
        <w:t xml:space="preserve"> </w:t>
      </w:r>
      <w:hyperlink w:anchor="fig-farnorth-mod05-season2-ridges">
        <w:r>
          <w:rPr>
            <w:rStyle w:val="Hyperlink"/>
          </w:rPr>
          <w:t xml:space="preserve">Figure 8</w:t>
        </w:r>
      </w:hyperlink>
      <w:r>
        <w:t xml:space="preserve">). The ridge plots preserve gaps for missing years so the temporal coverage of each seasonal series is explicit.</w:t>
      </w:r>
    </w:p>
    <w:tbl>
      <w:tblPr>
        <w:tblStyle w:val="Table"/>
        <w:tblW w:type="pct" w:w="5000"/>
        <w:tblLayout w:type="fixed"/>
        <w:tblLook w:firstRow="0" w:lastRow="0" w:firstColumn="0" w:lastColumn="0" w:noHBand="0" w:noVBand="0" w:val="0000"/>
      </w:tblPr>
      <w:tblGrid>
        <w:gridCol w:w="7920"/>
      </w:tblGrid>
      <w:tr>
        <w:tc>
          <w:tcPr/>
          <w:bookmarkStart w:id="55" w:name="fig-farnorth-mod05-season1-ridges"/>
          <w:p>
            <w:pPr>
              <w:pStyle w:val="Compact"/>
              <w:jc w:val="center"/>
            </w:pPr>
            <w:r>
              <w:drawing>
                <wp:inline>
                  <wp:extent cx="5334000" cy="6134100"/>
                  <wp:effectExtent b="0" l="0" r="0" t="0"/>
                  <wp:docPr descr="" title="" id="52" name="Picture"/>
                  <a:graphic>
                    <a:graphicData uri="http://schemas.openxmlformats.org/drawingml/2006/picture">
                      <pic:pic>
                        <pic:nvPicPr>
                          <pic:cNvPr descr="images/farnorth_mod05_season1_length_ridges.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6134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Season 1 Far North length-composition shapes from</w:t>
            </w:r>
            <w:r>
              <w:t xml:space="preserve"> </w:t>
            </w:r>
            <w:r>
              <w:rPr>
                <w:rStyle w:val="VerbatimChar"/>
              </w:rPr>
              <w:t xml:space="preserve">mod0.5.dat</w:t>
            </w:r>
            <w:r>
              <w:t xml:space="preserve">. Each ridge is scaled within year to emphasize modal structure; dashed vertical lines mark the retained 10-50 cm assessment length-bin interval, and blank rows indicate missing years.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farnorth-mod05-season2-ridges"/>
          <w:p>
            <w:pPr>
              <w:pStyle w:val="Compact"/>
              <w:jc w:val="center"/>
            </w:pPr>
            <w:r>
              <w:drawing>
                <wp:inline>
                  <wp:extent cx="5334000" cy="6134100"/>
                  <wp:effectExtent b="0" l="0" r="0" t="0"/>
                  <wp:docPr descr="" title="" id="57" name="Picture"/>
                  <a:graphic>
                    <a:graphicData uri="http://schemas.openxmlformats.org/drawingml/2006/picture">
                      <pic:pic>
                        <pic:nvPicPr>
                          <pic:cNvPr descr="images/farnorth_mod05_season2_length_ridges.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334000" cy="6134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Season 2 Far North length-composition shapes from</w:t>
            </w:r>
            <w:r>
              <w:t xml:space="preserve"> </w:t>
            </w:r>
            <w:r>
              <w:rPr>
                <w:rStyle w:val="VerbatimChar"/>
              </w:rPr>
              <w:t xml:space="preserve">mod0.5.dat</w:t>
            </w:r>
            <w:r>
              <w:t xml:space="preserve">. Each ridge is scaled within year to emphasize modal structure; dashed vertical lines mark the retained 10-50 cm assessment length-bin interval, and blank rows indicate missing years.</w:t>
            </w:r>
          </w:p>
          <w:bookmarkEnd w:id="60"/>
        </w:tc>
      </w:tr>
    </w:tbl>
    <w:p>
      <w:pPr>
        <w:pStyle w:val="BodyText"/>
      </w:pPr>
      <w:r>
        <w:rPr>
          <w:b/>
          <w:bCs/>
        </w:rPr>
        <w:t xml:space="preserve">54.</w:t>
      </w:r>
      <w:r>
        <w:t xml:space="preserve"> </w:t>
      </w:r>
      <w:r>
        <w:t xml:space="preserve">After discussions regarding the representativeness of the jack mackerel (JM)</w:t>
      </w:r>
      <w:r>
        <w:t xml:space="preserve"> </w:t>
      </w:r>
      <w:r>
        <w:t xml:space="preserve">abundance estimates off Peru, given that the coverage of the Peruvian acoustic</w:t>
      </w:r>
      <w:r>
        <w:t xml:space="preserve"> </w:t>
      </w:r>
      <w:r>
        <w:t xml:space="preserve">surveys, which are primarily designed to assess Peruvian anchovy, does not fully</w:t>
      </w:r>
      <w:r>
        <w:t xml:space="preserve"> </w:t>
      </w:r>
      <w:r>
        <w:t xml:space="preserve">match the distribution of JM, the meeting agreed to move to the new Peruvian</w:t>
      </w:r>
      <w:r>
        <w:t xml:space="preserve"> </w:t>
      </w:r>
      <w:r>
        <w:t xml:space="preserve">acoustic indices as indices of availability and remove the previous Peru</w:t>
      </w:r>
      <w:r>
        <w:t xml:space="preserve"> </w:t>
      </w:r>
      <w:r>
        <w:t xml:space="preserve">acoustic index from the base configuration. The associated Peruvian</w:t>
      </w:r>
      <w:r>
        <w:t xml:space="preserve"> </w:t>
      </w:r>
      <w:r>
        <w:t xml:space="preserve">length-frequency information should be carried forward with the new acoustic</w:t>
      </w:r>
      <w:r>
        <w:t xml:space="preserve"> </w:t>
      </w:r>
      <w:r>
        <w:t xml:space="preserve">treatment. No new Chilean Acoustic North or Chilean Acoustic South-Central index</w:t>
      </w:r>
      <w:r>
        <w:t xml:space="preserve"> </w:t>
      </w:r>
      <w:r>
        <w:t xml:space="preserve">treatment was selected for the base model at this stage.</w:t>
      </w:r>
    </w:p>
    <w:bookmarkEnd w:id="61"/>
    <w:bookmarkEnd w:id="62"/>
    <w:bookmarkStart w:id="64" w:name="assessment-model-development"/>
    <w:p>
      <w:pPr>
        <w:pStyle w:val="Heading2"/>
      </w:pPr>
      <w:r>
        <w:t xml:space="preserve">Assessment Model Development</w:t>
      </w:r>
    </w:p>
    <w:p>
      <w:pPr>
        <w:pStyle w:val="FirstParagraph"/>
      </w:pPr>
      <w:r>
        <w:rPr>
          <w:b/>
          <w:bCs/>
        </w:rPr>
        <w:t xml:space="preserve">55.</w:t>
      </w:r>
      <w:r>
        <w:t xml:space="preserve"> </w:t>
      </w:r>
      <w:r>
        <w:t xml:space="preserve">The meeting reviewed Paper 01 (</w:t>
      </w:r>
      <w:hyperlink r:id="rId63">
        <w:r>
          <w:rPr>
            <w:rStyle w:val="Hyperlink"/>
          </w:rPr>
          <w:t xml:space="preserve">SCW16-Doc01</w:t>
        </w:r>
      </w:hyperlink>
      <w:r>
        <w:t xml:space="preserve">), which evaluated and updated the previous assessment model from SC13. Participants noted that the paper covered a broad set of model alternatives, including single-stock and two-stock configurations, reduced-index options, selectivity alternatives, and other candidate simplifications intended to improve benchmark and MSE tractability.</w:t>
      </w:r>
    </w:p>
    <w:p>
      <w:pPr>
        <w:pStyle w:val="BodyText"/>
      </w:pPr>
      <w:r>
        <w:rPr>
          <w:b/>
          <w:bCs/>
        </w:rPr>
        <w:t xml:space="preserve">56.</w:t>
      </w:r>
      <w:r>
        <w:t xml:space="preserve"> </w:t>
      </w:r>
      <w:r>
        <w:t xml:space="preserve">The group also noted that several simplification suggestions in Paper 01 should be interpreted in light of the data updates agreed during the benchmark meeting. Because several abundance-index and composition series were updated or replaced during the meeting, some simplifications that were informative under the SC13 data configuration may no longer apply directly to the updated benchmark configuration. The final candidate model set should therefore reassess those simplification options after the updated input series are implemented, rather than carrying all earlier simplification conclusions forward unchanged.</w:t>
      </w:r>
    </w:p>
    <w:p>
      <w:pPr>
        <w:pStyle w:val="BodyText"/>
      </w:pPr>
      <w:r>
        <w:rPr>
          <w:b/>
          <w:bCs/>
        </w:rPr>
        <w:t xml:space="preserve">57.</w:t>
      </w:r>
      <w:r>
        <w:t xml:space="preserve"> </w:t>
      </w:r>
      <w:r>
        <w:t xml:space="preserve">Participants also discussed whether 2026 information should be included in the</w:t>
      </w:r>
      <w:r>
        <w:t xml:space="preserve"> </w:t>
      </w:r>
      <w:r>
        <w:t xml:space="preserve">benchmark or MSE model runs. One suggested approach was to estimate total 2026</w:t>
      </w:r>
      <w:r>
        <w:t xml:space="preserve"> </w:t>
      </w:r>
      <w:r>
        <w:t xml:space="preserve">catch from year-to-date Chilean catch information and use that estimate in a</w:t>
      </w:r>
      <w:r>
        <w:t xml:space="preserve"> </w:t>
      </w:r>
      <w:r>
        <w:t xml:space="preserve">sensitivity run. The group also reviewed options for Chile Acoustic South-Central</w:t>
      </w:r>
      <w:r>
        <w:t xml:space="preserve"> </w:t>
      </w:r>
      <w:r>
        <w:t xml:space="preserve">data treatment, including dropping the series, retaining it as currently used,</w:t>
      </w:r>
      <w:r>
        <w:t xml:space="preserve"> </w:t>
      </w:r>
      <w:r>
        <w:t xml:space="preserve">updating CVs based on geostatistical spatial coverage, transect design, and</w:t>
      </w:r>
      <w:r>
        <w:t xml:space="preserve"> </w:t>
      </w:r>
      <w:r>
        <w:t xml:space="preserve">operational reliability, or retaining the series with heavier downweighting.</w:t>
      </w:r>
      <w:r>
        <w:t xml:space="preserve"> </w:t>
      </w:r>
      <w:r>
        <w:t xml:space="preserve">The practical proposal carried forward was to retain the series as currently</w:t>
      </w:r>
      <w:r>
        <w:t xml:space="preserve"> </w:t>
      </w:r>
      <w:r>
        <w:t xml:space="preserve">configured unless a later sensitivity is requested.</w:t>
      </w:r>
    </w:p>
    <w:p>
      <w:pPr>
        <w:pStyle w:val="BodyText"/>
      </w:pPr>
      <w:r>
        <w:rPr>
          <w:b/>
          <w:bCs/>
        </w:rPr>
        <w:t xml:space="preserve">58.</w:t>
      </w:r>
      <w:r>
        <w:t xml:space="preserve"> </w:t>
      </w:r>
      <w:r>
        <w:t xml:space="preserve">The group discussed diagnostics of the 0.06 model, noting that sample sizes for</w:t>
      </w:r>
      <w:r>
        <w:t xml:space="preserve"> </w:t>
      </w:r>
      <w:r>
        <w:t xml:space="preserve">the Far North fleet were high. It was agreed to rescale these sample sizes to</w:t>
      </w:r>
      <w:r>
        <w:t xml:space="preserve"> </w:t>
      </w:r>
      <w:r>
        <w:t xml:space="preserve">have an average of 30 over the time series. New diagnostic plots, including</w:t>
      </w:r>
      <w:r>
        <w:t xml:space="preserve"> </w:t>
      </w:r>
      <w:r>
        <w:t xml:space="preserve">one-step-ahead residuals, were created and deemed valuable for model-performance</w:t>
      </w:r>
      <w:r>
        <w:t xml:space="preserve"> </w:t>
      </w:r>
      <w:r>
        <w:t xml:space="preserve">evaluation. Several iterations are still needed to improve model fit. The Chair</w:t>
      </w:r>
      <w:r>
        <w:t xml:space="preserve"> </w:t>
      </w:r>
      <w:r>
        <w:t xml:space="preserve">suggested allowing until Wednesday 27 May 2026 to improve model fit and</w:t>
      </w:r>
      <w:r>
        <w:t xml:space="preserve"> </w:t>
      </w:r>
      <w:r>
        <w:t xml:space="preserve">double-check data inputs and model settings. The group agreed to this approach.</w:t>
      </w:r>
    </w:p>
    <w:bookmarkEnd w:id="64"/>
    <w:bookmarkStart w:id="65" w:name="operating-models-and-mse-linkages"/>
    <w:p>
      <w:pPr>
        <w:pStyle w:val="Heading2"/>
      </w:pPr>
      <w:r>
        <w:t xml:space="preserve">Operating Models and MSE Linkages</w:t>
      </w:r>
    </w:p>
    <w:p>
      <w:pPr>
        <w:pStyle w:val="FirstParagraph"/>
      </w:pPr>
      <w:r>
        <w:rPr>
          <w:b/>
          <w:bCs/>
        </w:rPr>
        <w:t xml:space="preserve">59.</w:t>
      </w:r>
      <w:r>
        <w:t xml:space="preserve"> </w:t>
      </w:r>
      <w:r>
        <w:t xml:space="preserve">The working group conferred with the MSE contractor on details of the projection</w:t>
      </w:r>
      <w:r>
        <w:t xml:space="preserve"> </w:t>
      </w:r>
      <w:r>
        <w:t xml:space="preserve">and scenario specifications needed to link the benchmark assessment work to the</w:t>
      </w:r>
      <w:r>
        <w:t xml:space="preserve"> </w:t>
      </w:r>
      <w:r>
        <w:t xml:space="preserve">MSE process. Discussion focused in particular on how recruitment process errors</w:t>
      </w:r>
      <w:r>
        <w:t xml:space="preserve"> </w:t>
      </w:r>
      <w:r>
        <w:t xml:space="preserve">would be developed for the projection runs. The contractor clarified that an</w:t>
      </w:r>
      <w:r>
        <w:t xml:space="preserve"> </w:t>
      </w:r>
      <w:r>
        <w:t xml:space="preserve">ARIMA-based treatment may be preferable, with both the autocorrelation parameter</w:t>
      </w:r>
      <w:r>
        <w:t xml:space="preserve"> </w:t>
      </w:r>
      <w:r>
        <w:t xml:space="preserve">(</w:t>
      </w:r>
      <w:r>
        <w:rPr>
          <w:rStyle w:val="VerbatimChar"/>
        </w:rPr>
        <w:t xml:space="preserve">rho</w:t>
      </w:r>
      <w:r>
        <w:t xml:space="preserve">) and residual scale (</w:t>
      </w:r>
      <w:r>
        <w:rPr>
          <w:rStyle w:val="VerbatimChar"/>
        </w:rPr>
        <w:t xml:space="preserve">sigma</w:t>
      </w:r>
      <w:r>
        <w:t xml:space="preserve">) estimated from that process. Under that</w:t>
      </w:r>
      <w:r>
        <w:t xml:space="preserve"> </w:t>
      </w:r>
      <w:r>
        <w:t xml:space="preserve">treatment,</w:t>
      </w:r>
      <w:r>
        <w:t xml:space="preserve"> </w:t>
      </w:r>
      <w:r>
        <w:rPr>
          <w:rStyle w:val="VerbatimChar"/>
        </w:rPr>
        <w:t xml:space="preserve">sigma</w:t>
      </w:r>
      <w:r>
        <w:t xml:space="preserve"> </w:t>
      </w:r>
      <w:r>
        <w:t xml:space="preserve">is interpreted as the innovation standard deviation: the</w:t>
      </w:r>
      <w:r>
        <w:t xml:space="preserve"> </w:t>
      </w:r>
      <w:r>
        <w:t xml:space="preserve">remaining recruitment variability after accounting for autocorrelation. The</w:t>
      </w:r>
      <w:r>
        <w:t xml:space="preserve"> </w:t>
      </w:r>
      <w:r>
        <w:t xml:space="preserve">working group agreed in principle with the proposed base-model configuration</w:t>
      </w:r>
      <w:r>
        <w:t xml:space="preserve"> </w:t>
      </w:r>
      <w:r>
        <w:t xml:space="preserve">runs, noting that the final base-model set used for MSE conditioning will arise</w:t>
      </w:r>
      <w:r>
        <w:t xml:space="preserve"> </w:t>
      </w:r>
      <w:r>
        <w:t xml:space="preserve">from the benchmark decisions.</w:t>
      </w:r>
    </w:p>
    <w:p>
      <w:pPr>
        <w:pStyle w:val="BodyText"/>
      </w:pPr>
      <w:r>
        <w:rPr>
          <w:b/>
          <w:bCs/>
        </w:rPr>
        <w:t xml:space="preserve">60.</w:t>
      </w:r>
      <w:r>
        <w:t xml:space="preserve"> </w:t>
      </w:r>
      <w:r>
        <w:t xml:space="preserve">The group reviewed the operating-model grid paper presented by I. Mosquiera and</w:t>
      </w:r>
      <w:r>
        <w:t xml:space="preserve"> </w:t>
      </w:r>
      <w:r>
        <w:t xml:space="preserve">discussed how the benchmark model set would condition the South Pacific jack</w:t>
      </w:r>
      <w:r>
        <w:t xml:space="preserve"> </w:t>
      </w:r>
      <w:r>
        <w:t xml:space="preserve">mackerel MSE. Participants noted that, although preliminary 2025 information has</w:t>
      </w:r>
      <w:r>
        <w:t xml:space="preserve"> </w:t>
      </w:r>
      <w:r>
        <w:t xml:space="preserve">been presented as best available science, the conditioning model uses abundance</w:t>
      </w:r>
      <w:r>
        <w:t xml:space="preserve"> </w:t>
      </w:r>
      <w:r>
        <w:t xml:space="preserve">information from the beginning of 2025 and should not be interpreted as using</w:t>
      </w:r>
      <w:r>
        <w:t xml:space="preserve"> </w:t>
      </w:r>
      <w:r>
        <w:t xml:space="preserve">2025 as a complete year. Discussion of projection selectivity and reference-point</w:t>
      </w:r>
      <w:r>
        <w:t xml:space="preserve"> </w:t>
      </w:r>
      <w:r>
        <w:t xml:space="preserve">assumptions accepted at the previous Scientific Committee was tabled until</w:t>
      </w:r>
      <w:r>
        <w:t xml:space="preserve"> </w:t>
      </w:r>
      <w:r>
        <w:t xml:space="preserve">supporting documentation is available. The group identified an urgent need to</w:t>
      </w:r>
      <w:r>
        <w:t xml:space="preserve"> </w:t>
      </w:r>
      <w:r>
        <w:t xml:space="preserve">specify transition assumptions for selectivity and weight-at-age in projections,</w:t>
      </w:r>
      <w:r>
        <w:t xml:space="preserve"> </w:t>
      </w:r>
      <w:r>
        <w:t xml:space="preserve">given the strong mandate to have an MSE ready during 2026. The group recognized</w:t>
      </w:r>
      <w:r>
        <w:t xml:space="preserve"> </w:t>
      </w:r>
      <w:r>
        <w:t xml:space="preserve">that these specifications are prerequisites for the contractor to advance the MSE</w:t>
      </w:r>
      <w:r>
        <w:t xml:space="preserve"> </w:t>
      </w:r>
      <w:r>
        <w:t xml:space="preserve">work. The group acknowledged that any delay in providing these specifications</w:t>
      </w:r>
      <w:r>
        <w:t xml:space="preserve"> </w:t>
      </w:r>
      <w:r>
        <w:t xml:space="preserve">would directly affect the contractor’s ability to deliver against the agreed</w:t>
      </w:r>
      <w:r>
        <w:t xml:space="preserve"> </w:t>
      </w:r>
      <w:r>
        <w:t xml:space="preserve">timeline, and that progress on the MSE is contingent on timely decisions by the</w:t>
      </w:r>
      <w:r>
        <w:t xml:space="preserve"> </w:t>
      </w:r>
      <w:r>
        <w:t xml:space="preserve">group.</w:t>
      </w:r>
    </w:p>
    <w:p>
      <w:pPr>
        <w:pStyle w:val="BodyText"/>
      </w:pPr>
      <w:r>
        <w:rPr>
          <w:b/>
          <w:bCs/>
        </w:rPr>
        <w:t xml:space="preserve">61.</w:t>
      </w:r>
      <w:r>
        <w:t xml:space="preserve"> </w:t>
      </w:r>
      <w:r>
        <w:t xml:space="preserve">Participants also discussed projected recruitment deviations and whether</w:t>
      </w:r>
      <w:r>
        <w:t xml:space="preserve"> </w:t>
      </w:r>
      <w:r>
        <w:t xml:space="preserve">terminal-year uncertainty should be propagated directly into future recruitment.</w:t>
      </w:r>
      <w:r>
        <w:t xml:space="preserve"> </w:t>
      </w:r>
      <w:r>
        <w:t xml:space="preserve">The group noted the need to separate estimation uncertainty from prediction and</w:t>
      </w:r>
      <w:r>
        <w:t xml:space="preserve"> </w:t>
      </w:r>
      <w:r>
        <w:t xml:space="preserve">requested that Iago examine the distribution of values for</w:t>
      </w:r>
      <w:r>
        <w:t xml:space="preserve"> </w:t>
      </w:r>
      <w:r>
        <w:rPr>
          <w:rStyle w:val="VerbatimChar"/>
        </w:rPr>
        <w:t xml:space="preserve">sigma_R</w:t>
      </w:r>
      <w:r>
        <w:t xml:space="preserve">, which had</w:t>
      </w:r>
      <w:r>
        <w:t xml:space="preserve"> </w:t>
      </w:r>
      <w:r>
        <w:t xml:space="preserve">not been revisited since the September model. Future recruitment variability</w:t>
      </w:r>
      <w:r>
        <w:t xml:space="preserve"> </w:t>
      </w:r>
      <w:r>
        <w:t xml:space="preserve">should consider whether to exclude the extremely high 1986 and 1987 recruitment</w:t>
      </w:r>
      <w:r>
        <w:t xml:space="preserve"> </w:t>
      </w:r>
      <w:r>
        <w:t xml:space="preserve">events or use a more recent recruitment period. The group also noted that</w:t>
      </w:r>
      <w:r>
        <w:t xml:space="preserve"> </w:t>
      </w:r>
      <w:r>
        <w:t xml:space="preserve">exceptional circumstances, including the apparent 2026 dispersion of jack</w:t>
      </w:r>
      <w:r>
        <w:t xml:space="preserve"> </w:t>
      </w:r>
      <w:r>
        <w:t xml:space="preserve">mackerel, need to be considered when framing MSE scenarios and subsequent</w:t>
      </w:r>
      <w:r>
        <w:t xml:space="preserve"> </w:t>
      </w:r>
      <w:r>
        <w:t xml:space="preserve">advice. Day 5 discussions revisited the estimation of recruitment deviations,</w:t>
      </w:r>
      <w:r>
        <w:t xml:space="preserve"> </w:t>
      </w:r>
      <w:r>
        <w:t xml:space="preserve">as the contractor had simulated deviates in an alternative manner, including</w:t>
      </w:r>
      <w:r>
        <w:t xml:space="preserve"> </w:t>
      </w:r>
      <w:r>
        <w:t xml:space="preserve">autocorrelation correction for recruitment deviates. This resulted in</w:t>
      </w:r>
      <w:r>
        <w:t xml:space="preserve"> </w:t>
      </w:r>
      <w:r>
        <w:t xml:space="preserve">substantially narrower ranges of deviates, in line with recent and long-term</w:t>
      </w:r>
      <w:r>
        <w:t xml:space="preserve"> </w:t>
      </w:r>
      <w:r>
        <w:t xml:space="preserve">observations. Since autocorrelation was estimated at around 0.68, it was assumed</w:t>
      </w:r>
      <w:r>
        <w:t xml:space="preserve"> </w:t>
      </w:r>
      <w:r>
        <w:t xml:space="preserve">that this parameter was reliably estimated and hence the newly developed</w:t>
      </w:r>
      <w:r>
        <w:t xml:space="preserve"> </w:t>
      </w:r>
      <w:r>
        <w:t xml:space="preserve">approach seemed appropriate. The group considered recent recruitment deviations</w:t>
      </w:r>
      <w:r>
        <w:t xml:space="preserve"> </w:t>
      </w:r>
      <w:r>
        <w:t xml:space="preserve">most suitable for the MSE simulations.</w:t>
      </w:r>
    </w:p>
    <w:p>
      <w:pPr>
        <w:pStyle w:val="BodyText"/>
      </w:pPr>
      <w:r>
        <w:rPr>
          <w:b/>
          <w:bCs/>
        </w:rPr>
        <w:t xml:space="preserve">62.</w:t>
      </w:r>
      <w:r>
        <w:t xml:space="preserve"> </w:t>
      </w:r>
      <w:r>
        <w:t xml:space="preserve">The group discussed management-procedure implementation questions, including how</w:t>
      </w:r>
      <w:r>
        <w:t xml:space="preserve"> </w:t>
      </w:r>
      <w:r>
        <w:t xml:space="preserve">to rank indices for management-procedure input versus assessment and</w:t>
      </w:r>
      <w:r>
        <w:t xml:space="preserve"> </w:t>
      </w:r>
      <w:r>
        <w:t xml:space="preserve">conditioning use, and whether MSE scenarios should include banking and borrowing</w:t>
      </w:r>
      <w:r>
        <w:t xml:space="preserve"> </w:t>
      </w:r>
      <w:r>
        <w:t xml:space="preserve">provisions approved at the previous Commission meeting. The current MSE setup can</w:t>
      </w:r>
      <w:r>
        <w:t xml:space="preserve"> </w:t>
      </w:r>
      <w:r>
        <w:t xml:space="preserve">represent banking and borrowing across all fleets, rather than by fleet, and the</w:t>
      </w:r>
      <w:r>
        <w:t xml:space="preserve"> </w:t>
      </w:r>
      <w:r>
        <w:t xml:space="preserve">specific TAC-change bounds should be checked against the Commission report.</w:t>
      </w:r>
    </w:p>
    <w:bookmarkEnd w:id="65"/>
    <w:bookmarkEnd w:id="66"/>
    <w:bookmarkStart w:id="67" w:name="decisions-and-agreements"/>
    <w:p>
      <w:pPr>
        <w:pStyle w:val="Heading1"/>
      </w:pPr>
      <w:r>
        <w:t xml:space="preserve">Decisions and Agreements</w:t>
      </w:r>
    </w:p>
    <w:p>
      <w:pPr>
        <w:pStyle w:val="FirstParagraph"/>
      </w:pPr>
      <w:r>
        <w:rPr>
          <w:b/>
          <w:bCs/>
        </w:rPr>
        <w:t xml:space="preserve">63.</w:t>
      </w:r>
      <w:r>
        <w:t xml:space="preserve"> </w:t>
      </w:r>
      <w:r>
        <w:t xml:space="preserve">The table below consolidates the benchmark decisions and agreements reached</w:t>
      </w:r>
      <w:r>
        <w:t xml:space="preserve"> </w:t>
      </w:r>
      <w:r>
        <w:t xml:space="preserve">during the meeting and identifies the follow-up work needed to translate them</w:t>
      </w:r>
      <w:r>
        <w:t xml:space="preserve"> </w:t>
      </w:r>
      <w:r>
        <w:t xml:space="preserve">into model inputs, sensitivity runs, and final report text. Items are grouped by</w:t>
      </w:r>
      <w:r>
        <w:t xml:space="preserve"> </w:t>
      </w:r>
      <w:r>
        <w:t xml:space="preserve">technical topic so that implementation checks can be tracked alongside the</w:t>
      </w:r>
      <w:r>
        <w:t xml:space="preserve"> </w:t>
      </w:r>
      <w:r>
        <w:t xml:space="preserve">action-item list.</w:t>
      </w:r>
    </w:p>
    <w:p>
      <w:pPr>
        <w:pStyle w:val="TableCaption"/>
      </w:pPr>
      <w:r>
        <w:t xml:space="preserve">Benchmark decisions and agreements. Numbered entries in the Status column identify the corresponding model reference.</w:t>
      </w:r>
    </w:p>
    <w:tbl>
      <w:tblPr>
        <w:tblStyle w:val="Table"/>
        <w:tblW w:type="pct" w:w="5000"/>
        <w:tblLayout w:type="fixed"/>
        <w:tblLook w:firstRow="1" w:lastRow="0" w:firstColumn="0" w:lastColumn="0" w:noHBand="0" w:noVBand="0" w:val="0020"/>
        <w:tblCaption w:val="Benchmark decisions and agreements. Numbered entries in the Status column identify the corresponding model reference."/>
      </w:tblPr>
      <w:tblGrid>
        <w:gridCol w:w="396"/>
        <w:gridCol w:w="2930"/>
        <w:gridCol w:w="1267"/>
        <w:gridCol w:w="2376"/>
        <w:gridCol w:w="950"/>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c>
          <w:tcPr/>
          <w:p>
            <w:pPr>
              <w:pStyle w:val="Compact"/>
              <w:jc w:val="center"/>
            </w:pPr>
            <w:r>
              <w:t xml:space="preserve">Status</w:t>
            </w:r>
          </w:p>
        </w:tc>
      </w:tr>
      <w:tr>
        <w:tc>
          <w:tcPr/>
          <w:p>
            <w:pPr>
              <w:pStyle w:val="Compact"/>
              <w:jc w:val="right"/>
            </w:pPr>
            <w:r>
              <w:t xml:space="preserve">1</w:t>
            </w:r>
          </w:p>
        </w:tc>
        <w:tc>
          <w:tcPr/>
          <w:p>
            <w:pPr>
              <w:pStyle w:val="Compact"/>
            </w:pPr>
            <w:r>
              <w:t xml:space="preserve">Use the new Chilean CPUE series beginning in 1998.</w:t>
            </w:r>
          </w:p>
        </w:tc>
        <w:tc>
          <w:tcPr/>
          <w:p>
            <w:pPr>
              <w:pStyle w:val="Compact"/>
            </w:pPr>
            <w:r>
              <w:t xml:space="preserve">Chile CPUE</w:t>
            </w:r>
          </w:p>
        </w:tc>
        <w:tc>
          <w:tcPr/>
          <w:p>
            <w:pPr>
              <w:pStyle w:val="Compact"/>
            </w:pPr>
            <w:r>
              <w:t xml:space="preserve">Implement in the base model and remove the previous Chilean CPUE index.</w:t>
            </w:r>
          </w:p>
        </w:tc>
        <w:tc>
          <w:tcPr/>
          <w:p>
            <w:pPr>
              <w:pStyle w:val="Compact"/>
              <w:jc w:val="center"/>
            </w:pPr>
            <w:r>
              <w:t xml:space="preserve">0.01</w:t>
            </w:r>
          </w:p>
        </w:tc>
      </w:tr>
      <w:tr>
        <w:tc>
          <w:tcPr/>
          <w:p>
            <w:pPr>
              <w:pStyle w:val="Compact"/>
              <w:jc w:val="right"/>
            </w:pPr>
            <w:r>
              <w:t xml:space="preserve">2</w:t>
            </w:r>
          </w:p>
        </w:tc>
        <w:tc>
          <w:tcPr/>
          <w:p>
            <w:pPr>
              <w:pStyle w:val="Compact"/>
            </w:pPr>
            <w:r>
              <w:t xml:space="preserve">Apply the Chilean effort-creep treatment with 1% annual creep through 2004 and the 0.669 adjustment beginning in 2005.</w:t>
            </w:r>
          </w:p>
        </w:tc>
        <w:tc>
          <w:tcPr/>
          <w:p>
            <w:pPr>
              <w:pStyle w:val="Compact"/>
            </w:pPr>
            <w:r>
              <w:t xml:space="preserve">Chile CPUE / effort creep</w:t>
            </w:r>
          </w:p>
        </w:tc>
        <w:tc>
          <w:tcPr/>
          <w:p>
            <w:pPr>
              <w:pStyle w:val="Compact"/>
            </w:pPr>
            <w:r>
              <w:t xml:space="preserve">Confirm the exact implementation in the model input and control files.</w:t>
            </w:r>
          </w:p>
        </w:tc>
        <w:tc>
          <w:tcPr/>
          <w:p>
            <w:pPr>
              <w:pStyle w:val="Compact"/>
              <w:jc w:val="center"/>
            </w:pPr>
            <w:r>
              <w:t xml:space="preserve">0.06</w:t>
            </w:r>
          </w:p>
        </w:tc>
      </w:tr>
      <w:tr>
        <w:tc>
          <w:tcPr/>
          <w:p>
            <w:pPr>
              <w:pStyle w:val="Compact"/>
              <w:jc w:val="right"/>
            </w:pPr>
            <w:r>
              <w:t xml:space="preserve">3</w:t>
            </w:r>
          </w:p>
        </w:tc>
        <w:tc>
          <w:tcPr/>
          <w:p>
            <w:pPr>
              <w:pStyle w:val="Compact"/>
            </w:pPr>
            <w:r>
              <w:t xml:space="preserve">Weight Chilean CPUE CVs by percentage coverage and include standard errors from the INLA analysis.</w:t>
            </w:r>
          </w:p>
        </w:tc>
        <w:tc>
          <w:tcPr/>
          <w:p>
            <w:pPr>
              <w:pStyle w:val="Compact"/>
            </w:pPr>
            <w:r>
              <w:t xml:space="preserve">Chile CPUE uncertainty</w:t>
            </w:r>
          </w:p>
        </w:tc>
        <w:tc>
          <w:tcPr/>
          <w:p>
            <w:pPr>
              <w:pStyle w:val="Compact"/>
            </w:pPr>
            <w:r>
              <w:t xml:space="preserve">Prepare the annual uncertainty vector for assessment input.</w:t>
            </w:r>
          </w:p>
        </w:tc>
        <w:tc>
          <w:tcPr/>
          <w:p>
            <w:pPr>
              <w:pStyle w:val="Compact"/>
              <w:jc w:val="center"/>
            </w:pPr>
            <w:r>
              <w:t xml:space="preserve">0.05</w:t>
            </w:r>
          </w:p>
        </w:tc>
      </w:tr>
      <w:tr>
        <w:tc>
          <w:tcPr/>
          <w:p>
            <w:pPr>
              <w:pStyle w:val="Compact"/>
              <w:jc w:val="right"/>
            </w:pPr>
            <w:r>
              <w:t xml:space="preserve">4</w:t>
            </w:r>
          </w:p>
        </w:tc>
        <w:tc>
          <w:tcPr/>
          <w:p>
            <w:pPr>
              <w:pStyle w:val="Compact"/>
            </w:pPr>
            <w:r>
              <w:t xml:space="preserve">Run a sensitivity replacing the new Chilean CPUE series with the SC13 CPUE series.</w:t>
            </w:r>
          </w:p>
        </w:tc>
        <w:tc>
          <w:tcPr/>
          <w:p>
            <w:pPr>
              <w:pStyle w:val="Compact"/>
            </w:pPr>
            <w:r>
              <w:t xml:space="preserve">Chile CPUE sensitivity</w:t>
            </w:r>
          </w:p>
        </w:tc>
        <w:tc>
          <w:tcPr/>
          <w:p>
            <w:pPr>
              <w:pStyle w:val="Compact"/>
            </w:pPr>
            <w:r>
              <w:t xml:space="preserve">Evaluate the impact of removing the old CPUE series on historical biomass.</w:t>
            </w:r>
          </w:p>
        </w:tc>
        <w:tc>
          <w:tcPr/>
          <w:p>
            <w:pPr>
              <w:pStyle w:val="Compact"/>
              <w:jc w:val="center"/>
            </w:pPr>
            <w:r>
              <w:t xml:space="preserve">TBD</w:t>
            </w:r>
          </w:p>
        </w:tc>
      </w:tr>
      <w:tr>
        <w:tc>
          <w:tcPr/>
          <w:p>
            <w:pPr>
              <w:pStyle w:val="Compact"/>
              <w:jc w:val="right"/>
            </w:pPr>
            <w:r>
              <w:t xml:space="preserve">5</w:t>
            </w:r>
          </w:p>
        </w:tc>
        <w:tc>
          <w:tcPr/>
          <w:p>
            <w:pPr>
              <w:pStyle w:val="Compact"/>
            </w:pPr>
            <w:r>
              <w:t xml:space="preserve">Use the new short Peruvian CPUE series as the preferred base-model treatment.</w:t>
            </w:r>
          </w:p>
        </w:tc>
        <w:tc>
          <w:tcPr/>
          <w:p>
            <w:pPr>
              <w:pStyle w:val="Compact"/>
            </w:pPr>
            <w:r>
              <w:t xml:space="preserve">Peru CPUE</w:t>
            </w:r>
          </w:p>
        </w:tc>
        <w:tc>
          <w:tcPr/>
          <w:p>
            <w:pPr>
              <w:pStyle w:val="Compact"/>
            </w:pPr>
            <w:r>
              <w:t xml:space="preserve">Implement the new series in the base model and consider a sensitivity that also includes the old Peru CPUE series.</w:t>
            </w:r>
          </w:p>
        </w:tc>
        <w:tc>
          <w:tcPr/>
          <w:p>
            <w:pPr>
              <w:pStyle w:val="Compact"/>
              <w:jc w:val="center"/>
            </w:pPr>
            <w:r>
              <w:t xml:space="preserve">0.02</w:t>
            </w:r>
          </w:p>
        </w:tc>
      </w:tr>
      <w:tr>
        <w:tc>
          <w:tcPr/>
          <w:p>
            <w:pPr>
              <w:pStyle w:val="Compact"/>
              <w:jc w:val="right"/>
            </w:pPr>
            <w:r>
              <w:t xml:space="preserve">6</w:t>
            </w:r>
          </w:p>
        </w:tc>
        <w:tc>
          <w:tcPr/>
          <w:p>
            <w:pPr>
              <w:pStyle w:val="Compact"/>
            </w:pPr>
            <w:r>
              <w:t xml:space="preserve">Treat Peruvian length frequencies as fork length and use growth parameters in fork length.</w:t>
            </w:r>
          </w:p>
        </w:tc>
        <w:tc>
          <w:tcPr/>
          <w:p>
            <w:pPr>
              <w:pStyle w:val="Compact"/>
            </w:pPr>
            <w:r>
              <w:t xml:space="preserve">Peru biology / composition</w:t>
            </w:r>
          </w:p>
        </w:tc>
        <w:tc>
          <w:tcPr/>
          <w:p>
            <w:pPr>
              <w:pStyle w:val="Compact"/>
            </w:pPr>
            <w:r>
              <w:t xml:space="preserve">Check consistency of growth, length-frequency bins, and length-weight inputs.</w:t>
            </w:r>
          </w:p>
        </w:tc>
        <w:tc>
          <w:tcPr/>
          <w:p>
            <w:pPr>
              <w:pStyle w:val="Compact"/>
              <w:jc w:val="center"/>
            </w:pPr>
            <w:r>
              <w:t xml:space="preserve">0.00+</w:t>
            </w:r>
          </w:p>
        </w:tc>
      </w:tr>
      <w:tr>
        <w:tc>
          <w:tcPr/>
          <w:p>
            <w:pPr>
              <w:pStyle w:val="Compact"/>
              <w:jc w:val="right"/>
            </w:pPr>
            <w:r>
              <w:t xml:space="preserve">7</w:t>
            </w:r>
          </w:p>
        </w:tc>
        <w:tc>
          <w:tcPr/>
          <w:p>
            <w:pPr>
              <w:pStyle w:val="Compact"/>
            </w:pPr>
            <w:r>
              <w:t xml:space="preserve">Retain the 50 cm plus group for the Peruvian length-frequency and growth treatment.</w:t>
            </w:r>
          </w:p>
        </w:tc>
        <w:tc>
          <w:tcPr/>
          <w:p>
            <w:pPr>
              <w:pStyle w:val="Compact"/>
            </w:pPr>
            <w:r>
              <w:t xml:space="preserve">Peru biology / composition</w:t>
            </w:r>
          </w:p>
        </w:tc>
        <w:tc>
          <w:tcPr/>
          <w:p>
            <w:pPr>
              <w:pStyle w:val="Compact"/>
            </w:pPr>
            <w:r>
              <w:t xml:space="preserve">Confirm the retained plus-group treatment in the candidate model configuration.</w:t>
            </w:r>
          </w:p>
        </w:tc>
        <w:tc>
          <w:tcPr/>
          <w:p>
            <w:pPr>
              <w:pStyle w:val="Compact"/>
              <w:jc w:val="center"/>
            </w:pPr>
            <w:r>
              <w:t xml:space="preserve">Complete</w:t>
            </w:r>
          </w:p>
        </w:tc>
      </w:tr>
      <w:tr>
        <w:tc>
          <w:tcPr/>
          <w:p>
            <w:pPr>
              <w:pStyle w:val="Compact"/>
              <w:jc w:val="right"/>
            </w:pPr>
            <w:r>
              <w:t xml:space="preserve">8</w:t>
            </w:r>
          </w:p>
        </w:tc>
        <w:tc>
          <w:tcPr/>
          <w:p>
            <w:pPr>
              <w:pStyle w:val="Compact"/>
            </w:pPr>
            <w:r>
              <w:t xml:space="preserve">Use the new Peruvian acoustic indices and remove the previous Peru acoustic index.</w:t>
            </w:r>
          </w:p>
        </w:tc>
        <w:tc>
          <w:tcPr/>
          <w:p>
            <w:pPr>
              <w:pStyle w:val="Compact"/>
            </w:pPr>
            <w:r>
              <w:t xml:space="preserve">Peru acoustic index</w:t>
            </w:r>
          </w:p>
        </w:tc>
        <w:tc>
          <w:tcPr/>
          <w:p>
            <w:pPr>
              <w:pStyle w:val="Compact"/>
            </w:pPr>
            <w:r>
              <w:t xml:space="preserve">Carry forward associated length-frequency information with the new acoustic treatment.</w:t>
            </w:r>
          </w:p>
        </w:tc>
        <w:tc>
          <w:tcPr/>
          <w:p>
            <w:pPr>
              <w:pStyle w:val="Compact"/>
              <w:jc w:val="center"/>
            </w:pPr>
            <w:r>
              <w:t xml:space="preserve">0.05</w:t>
            </w:r>
          </w:p>
        </w:tc>
      </w:tr>
      <w:tr>
        <w:tc>
          <w:tcPr/>
          <w:p>
            <w:pPr>
              <w:pStyle w:val="Compact"/>
              <w:jc w:val="right"/>
            </w:pPr>
            <w:r>
              <w:t xml:space="preserve">9</w:t>
            </w:r>
          </w:p>
        </w:tc>
        <w:tc>
          <w:tcPr/>
          <w:p>
            <w:pPr>
              <w:pStyle w:val="Compact"/>
            </w:pPr>
            <w:r>
              <w:t xml:space="preserve">Retain raw/design-based Chile Acoustic North biomass for assessment use and keep spatio-temporal acoustic modelling as research and diagnostic information.</w:t>
            </w:r>
          </w:p>
        </w:tc>
        <w:tc>
          <w:tcPr/>
          <w:p>
            <w:pPr>
              <w:pStyle w:val="Compact"/>
            </w:pPr>
            <w:r>
              <w:t xml:space="preserve">Chile acoustic indices</w:t>
            </w:r>
          </w:p>
        </w:tc>
        <w:tc>
          <w:tcPr/>
          <w:p>
            <w:pPr>
              <w:pStyle w:val="Compact"/>
            </w:pPr>
            <w:r>
              <w:t xml:space="preserve">Acknowledge INPESCA’s modelling contribution and document why model-based CPUE indicators and design-based survey indicators are treated differently.</w:t>
            </w:r>
          </w:p>
        </w:tc>
        <w:tc>
          <w:tcPr/>
          <w:p>
            <w:pPr>
              <w:pStyle w:val="Compact"/>
              <w:jc w:val="center"/>
            </w:pPr>
            <w:r>
              <w:t xml:space="preserve">Research</w:t>
            </w:r>
          </w:p>
        </w:tc>
      </w:tr>
      <w:tr>
        <w:tc>
          <w:tcPr/>
          <w:p>
            <w:pPr>
              <w:pStyle w:val="Compact"/>
              <w:jc w:val="right"/>
            </w:pPr>
            <w:r>
              <w:t xml:space="preserve">10</w:t>
            </w:r>
          </w:p>
        </w:tc>
        <w:tc>
          <w:tcPr/>
          <w:p>
            <w:pPr>
              <w:pStyle w:val="Compact"/>
            </w:pPr>
            <w:r>
              <w:t xml:space="preserve">Do not add a new base-model treatment for Chilean Acoustic South-Central at this stage.</w:t>
            </w:r>
          </w:p>
        </w:tc>
        <w:tc>
          <w:tcPr/>
          <w:p>
            <w:pPr>
              <w:pStyle w:val="Compact"/>
            </w:pPr>
            <w:r>
              <w:t xml:space="preserve">Chile acoustic indices</w:t>
            </w:r>
          </w:p>
        </w:tc>
        <w:tc>
          <w:tcPr/>
          <w:p>
            <w:pPr>
              <w:pStyle w:val="Compact"/>
            </w:pPr>
            <w:r>
              <w:t xml:space="preserve">Retain as diagnostic or supporting information unless a later sensitivity is requested.</w:t>
            </w:r>
          </w:p>
        </w:tc>
        <w:tc>
          <w:tcPr/>
          <w:p>
            <w:pPr>
              <w:pStyle w:val="Compact"/>
              <w:jc w:val="center"/>
            </w:pPr>
            <w:r>
              <w:t xml:space="preserve">Complete</w:t>
            </w:r>
          </w:p>
        </w:tc>
      </w:tr>
      <w:tr>
        <w:tc>
          <w:tcPr/>
          <w:p>
            <w:pPr>
              <w:pStyle w:val="Compact"/>
              <w:jc w:val="right"/>
            </w:pPr>
            <w:r>
              <w:t xml:space="preserve">11</w:t>
            </w:r>
          </w:p>
        </w:tc>
        <w:tc>
          <w:tcPr/>
          <w:p>
            <w:pPr>
              <w:pStyle w:val="Compact"/>
            </w:pPr>
            <w:r>
              <w:t xml:space="preserve">Estimate variable fishery selectivity for Peru catch length frequencies.</w:t>
            </w:r>
          </w:p>
        </w:tc>
        <w:tc>
          <w:tcPr/>
          <w:p>
            <w:pPr>
              <w:pStyle w:val="Compact"/>
            </w:pPr>
            <w:r>
              <w:t xml:space="preserve">Peru fishery selectivity</w:t>
            </w:r>
          </w:p>
        </w:tc>
        <w:tc>
          <w:tcPr/>
          <w:p>
            <w:pPr>
              <w:pStyle w:val="Compact"/>
            </w:pPr>
            <w:r>
              <w:t xml:space="preserve">Implement or test variable selectivity for Peru catch length-frequency data.</w:t>
            </w:r>
          </w:p>
        </w:tc>
        <w:tc>
          <w:tcPr/>
          <w:p>
            <w:pPr>
              <w:pStyle w:val="Compact"/>
              <w:jc w:val="center"/>
            </w:pPr>
            <w:r>
              <w:t xml:space="preserve">TBD</w:t>
            </w:r>
          </w:p>
        </w:tc>
      </w:tr>
      <w:tr>
        <w:tc>
          <w:tcPr/>
          <w:p>
            <w:pPr>
              <w:pStyle w:val="Compact"/>
              <w:jc w:val="right"/>
            </w:pPr>
            <w:r>
              <w:t xml:space="preserve">12</w:t>
            </w:r>
          </w:p>
        </w:tc>
        <w:tc>
          <w:tcPr/>
          <w:p>
            <w:pPr>
              <w:pStyle w:val="Compact"/>
            </w:pPr>
            <w:r>
              <w:t xml:space="preserve">Use Peru survey length frequencies to estimate survey selectivity.</w:t>
            </w:r>
          </w:p>
        </w:tc>
        <w:tc>
          <w:tcPr/>
          <w:p>
            <w:pPr>
              <w:pStyle w:val="Compact"/>
            </w:pPr>
            <w:r>
              <w:t xml:space="preserve">Peru survey selectivity</w:t>
            </w:r>
          </w:p>
        </w:tc>
        <w:tc>
          <w:tcPr/>
          <w:p>
            <w:pPr>
              <w:pStyle w:val="Compact"/>
            </w:pPr>
            <w:r>
              <w:t xml:space="preserve">Link Peru survey length frequencies to survey selectivity estimation in the model configuration.</w:t>
            </w:r>
          </w:p>
        </w:tc>
        <w:tc>
          <w:tcPr/>
          <w:p>
            <w:pPr>
              <w:pStyle w:val="Compact"/>
              <w:jc w:val="center"/>
            </w:pPr>
            <w:r>
              <w:t xml:space="preserve">TBD</w:t>
            </w:r>
          </w:p>
        </w:tc>
      </w:tr>
    </w:tbl>
    <w:bookmarkEnd w:id="67"/>
    <w:bookmarkStart w:id="68" w:name="benchmark-summary-and-recommendations"/>
    <w:p>
      <w:pPr>
        <w:pStyle w:val="Heading1"/>
      </w:pPr>
      <w:r>
        <w:t xml:space="preserve">Benchmark Summary and Recommendations</w:t>
      </w:r>
    </w:p>
    <w:p>
      <w:pPr>
        <w:pStyle w:val="FirstParagraph"/>
      </w:pPr>
      <w:r>
        <w:rPr>
          <w:b/>
          <w:bCs/>
        </w:rPr>
        <w:t xml:space="preserve">64.</w:t>
      </w:r>
      <w:r>
        <w:t xml:space="preserve"> </w:t>
      </w:r>
      <w:r>
        <w:t xml:space="preserve">Based on the 2026 benchmark workshop of the Jack Mackerel Working Group, the</w:t>
      </w:r>
      <w:r>
        <w:t xml:space="preserve"> </w:t>
      </w:r>
      <w:r>
        <w:t xml:space="preserve">following points are directed to the Scientific Committee and to the upcoming MSE</w:t>
      </w:r>
      <w:r>
        <w:t xml:space="preserve"> </w:t>
      </w:r>
      <w:r>
        <w:t xml:space="preserve">workshop.</w:t>
      </w:r>
    </w:p>
    <w:p>
      <w:pPr>
        <w:pStyle w:val="Compact"/>
        <w:numPr>
          <w:ilvl w:val="0"/>
          <w:numId w:val="1004"/>
        </w:numPr>
      </w:pPr>
      <w:r>
        <w:rPr>
          <w:b/>
          <w:bCs/>
        </w:rPr>
        <w:t xml:space="preserve">Noted</w:t>
      </w:r>
      <w:r>
        <w:t xml:space="preserve"> </w:t>
      </w:r>
      <w:r>
        <w:t xml:space="preserve">that the benchmark reviewed and re-evaluated multiple data streams,</w:t>
      </w:r>
      <w:r>
        <w:t xml:space="preserve"> </w:t>
      </w:r>
      <w:r>
        <w:t xml:space="preserve">including acoustic surveys, Chilean and Peruvian CPUE indices, biological</w:t>
      </w:r>
      <w:r>
        <w:t xml:space="preserve"> </w:t>
      </w:r>
      <w:r>
        <w:t xml:space="preserve">inputs, composition data, and candidate assessment-model configurations.</w:t>
      </w:r>
    </w:p>
    <w:p>
      <w:pPr>
        <w:pStyle w:val="Compact"/>
        <w:numPr>
          <w:ilvl w:val="0"/>
          <w:numId w:val="1004"/>
        </w:numPr>
      </w:pPr>
      <w:r>
        <w:rPr>
          <w:b/>
          <w:bCs/>
        </w:rPr>
        <w:t xml:space="preserve">Noted</w:t>
      </w:r>
      <w:r>
        <w:t xml:space="preserve"> </w:t>
      </w:r>
      <w:r>
        <w:t xml:space="preserve">that several abundance-index and composition series were updated or</w:t>
      </w:r>
      <w:r>
        <w:t xml:space="preserve"> </w:t>
      </w:r>
      <w:r>
        <w:t xml:space="preserve">replaced during the meeting, so model simplification and MSE conditioning</w:t>
      </w:r>
      <w:r>
        <w:t xml:space="preserve"> </w:t>
      </w:r>
      <w:r>
        <w:t xml:space="preserve">should be evaluated against the benchmark data configuration rather than</w:t>
      </w:r>
      <w:r>
        <w:t xml:space="preserve"> </w:t>
      </w:r>
      <w:r>
        <w:t xml:space="preserve">against the previous SC13 input set.</w:t>
      </w:r>
    </w:p>
    <w:p>
      <w:pPr>
        <w:pStyle w:val="Compact"/>
        <w:numPr>
          <w:ilvl w:val="0"/>
          <w:numId w:val="1004"/>
        </w:numPr>
      </w:pPr>
      <w:r>
        <w:rPr>
          <w:b/>
          <w:bCs/>
        </w:rPr>
        <w:t xml:space="preserve">Noted</w:t>
      </w:r>
      <w:r>
        <w:t xml:space="preserve"> </w:t>
      </w:r>
      <w:r>
        <w:t xml:space="preserve">that the new Chilean CPUE treatment begins in 1998, includes the</w:t>
      </w:r>
      <w:r>
        <w:t xml:space="preserve"> </w:t>
      </w:r>
      <w:r>
        <w:t xml:space="preserve">agreed effort-creep adjustment, and uses annual uncertainty weighted by data</w:t>
      </w:r>
      <w:r>
        <w:t xml:space="preserve"> </w:t>
      </w:r>
      <w:r>
        <w:t xml:space="preserve">coverage with INLA model-estimated standard errors.</w:t>
      </w:r>
    </w:p>
    <w:p>
      <w:pPr>
        <w:pStyle w:val="Compact"/>
        <w:numPr>
          <w:ilvl w:val="0"/>
          <w:numId w:val="1004"/>
        </w:numPr>
      </w:pPr>
      <w:r>
        <w:rPr>
          <w:b/>
          <w:bCs/>
        </w:rPr>
        <w:t xml:space="preserve">Noted</w:t>
      </w:r>
      <w:r>
        <w:t xml:space="preserve"> </w:t>
      </w:r>
      <w:r>
        <w:t xml:space="preserve">that the 2026 Chile acoustic survey and year-to-date fishery</w:t>
      </w:r>
      <w:r>
        <w:t xml:space="preserve"> </w:t>
      </w:r>
      <w:r>
        <w:t xml:space="preserve">information indicate unusual recent conditions, including apparent</w:t>
      </w:r>
      <w:r>
        <w:t xml:space="preserve"> </w:t>
      </w:r>
      <w:r>
        <w:t xml:space="preserve">dispersion of jack mackerel and a large decline in the north-central Chile</w:t>
      </w:r>
      <w:r>
        <w:t xml:space="preserve"> </w:t>
      </w:r>
      <w:r>
        <w:t xml:space="preserve">acoustic biomass estimate relative to 2025.</w:t>
      </w:r>
    </w:p>
    <w:p>
      <w:pPr>
        <w:pStyle w:val="Compact"/>
        <w:numPr>
          <w:ilvl w:val="0"/>
          <w:numId w:val="1004"/>
        </w:numPr>
      </w:pPr>
      <w:r>
        <w:rPr>
          <w:b/>
          <w:bCs/>
        </w:rPr>
        <w:t xml:space="preserve">Noted</w:t>
      </w:r>
      <w:r>
        <w:t xml:space="preserve"> </w:t>
      </w:r>
      <w:r>
        <w:t xml:space="preserve">that acoustic and CPUE data may give different recent signals and</w:t>
      </w:r>
      <w:r>
        <w:t xml:space="preserve"> </w:t>
      </w:r>
      <w:r>
        <w:t xml:space="preserve">that interpretation of availability, catchability, survey coverage, and</w:t>
      </w:r>
      <w:r>
        <w:t xml:space="preserve"> </w:t>
      </w:r>
      <w:r>
        <w:t xml:space="preserve">biological sampling remains important for both assessment and MSE use.</w:t>
      </w:r>
    </w:p>
    <w:p>
      <w:pPr>
        <w:pStyle w:val="Compact"/>
        <w:numPr>
          <w:ilvl w:val="0"/>
          <w:numId w:val="1004"/>
        </w:numPr>
      </w:pPr>
      <w:r>
        <w:rPr>
          <w:b/>
          <w:bCs/>
        </w:rPr>
        <w:t xml:space="preserve">Recommended</w:t>
      </w:r>
      <w:r>
        <w:t xml:space="preserve"> </w:t>
      </w:r>
      <w:r>
        <w:t xml:space="preserve">using the agreed benchmark index set in the candidate base-model</w:t>
      </w:r>
      <w:r>
        <w:t xml:space="preserve"> </w:t>
      </w:r>
      <w:r>
        <w:t xml:space="preserve">configuration, including the new Chilean CPUE series, the new Peruvian CPUE</w:t>
      </w:r>
      <w:r>
        <w:t xml:space="preserve"> </w:t>
      </w:r>
      <w:r>
        <w:t xml:space="preserve">series, and the new Peruvian acoustic indices, while removing the previous Peru</w:t>
      </w:r>
      <w:r>
        <w:t xml:space="preserve"> </w:t>
      </w:r>
      <w:r>
        <w:t xml:space="preserve">CPUE and acoustic index treatments from the base configuration.</w:t>
      </w:r>
    </w:p>
    <w:p>
      <w:pPr>
        <w:pStyle w:val="Compact"/>
        <w:numPr>
          <w:ilvl w:val="0"/>
          <w:numId w:val="1004"/>
        </w:numPr>
      </w:pPr>
      <w:r>
        <w:rPr>
          <w:b/>
          <w:bCs/>
        </w:rPr>
        <w:t xml:space="preserve">Recommended</w:t>
      </w:r>
      <w:r>
        <w:t xml:space="preserve"> </w:t>
      </w:r>
      <w:r>
        <w:t xml:space="preserve">retaining the raw or design-based Chile Acoustic North biomass</w:t>
      </w:r>
      <w:r>
        <w:t xml:space="preserve"> </w:t>
      </w:r>
      <w:r>
        <w:t xml:space="preserve">treatment for assessment use, while treating spatio-temporal acoustic modelling</w:t>
      </w:r>
      <w:r>
        <w:t xml:space="preserve"> </w:t>
      </w:r>
      <w:r>
        <w:t xml:space="preserve">as research and diagnostic information unless a later sensitivity is requested.</w:t>
      </w:r>
    </w:p>
    <w:p>
      <w:pPr>
        <w:pStyle w:val="Compact"/>
        <w:numPr>
          <w:ilvl w:val="0"/>
          <w:numId w:val="1004"/>
        </w:numPr>
      </w:pPr>
      <w:r>
        <w:rPr>
          <w:b/>
          <w:bCs/>
        </w:rPr>
        <w:t xml:space="preserve">Recommended</w:t>
      </w:r>
      <w:r>
        <w:t xml:space="preserve"> </w:t>
      </w:r>
      <w:r>
        <w:t xml:space="preserve">that the JMWG and relevant Members evaluate the feasibility of</w:t>
      </w:r>
      <w:r>
        <w:t xml:space="preserve"> </w:t>
      </w:r>
      <w:r>
        <w:t xml:space="preserve">a synoptic acoustic survey covering the northern to southern parts of Chile.</w:t>
      </w:r>
      <w:r>
        <w:t xml:space="preserve"> </w:t>
      </w:r>
      <w:r>
        <w:t xml:space="preserve">The group emphasized the importance of such surveys and data to distinguish</w:t>
      </w:r>
      <w:r>
        <w:t xml:space="preserve"> </w:t>
      </w:r>
      <w:r>
        <w:t xml:space="preserve">abundance trends from spatial redistribution and availability changes.</w:t>
      </w:r>
    </w:p>
    <w:p>
      <w:pPr>
        <w:pStyle w:val="Compact"/>
        <w:numPr>
          <w:ilvl w:val="0"/>
          <w:numId w:val="1004"/>
        </w:numPr>
      </w:pPr>
      <w:r>
        <w:rPr>
          <w:b/>
          <w:bCs/>
        </w:rPr>
        <w:t xml:space="preserve">Recommended</w:t>
      </w:r>
      <w:r>
        <w:t xml:space="preserve"> </w:t>
      </w:r>
      <w:r>
        <w:t xml:space="preserve">retaining the existing 10-50 cm Far North length-composition bins</w:t>
      </w:r>
      <w:r>
        <w:t xml:space="preserve"> </w:t>
      </w:r>
      <w:r>
        <w:t xml:space="preserve">and 50 cm plus group for the benchmark configuration, using Peruvian</w:t>
      </w:r>
      <w:r>
        <w:t xml:space="preserve"> </w:t>
      </w:r>
      <w:r>
        <w:t xml:space="preserve">length-frequency information as fork length and applying fork-length growth</w:t>
      </w:r>
      <w:r>
        <w:t xml:space="preserve"> </w:t>
      </w:r>
      <w:r>
        <w:t xml:space="preserve">parameters.</w:t>
      </w:r>
    </w:p>
    <w:p>
      <w:pPr>
        <w:pStyle w:val="Compact"/>
        <w:numPr>
          <w:ilvl w:val="0"/>
          <w:numId w:val="1004"/>
        </w:numPr>
      </w:pPr>
      <w:r>
        <w:rPr>
          <w:b/>
          <w:bCs/>
        </w:rPr>
        <w:t xml:space="preserve">Recommended</w:t>
      </w:r>
      <w:r>
        <w:t xml:space="preserve"> </w:t>
      </w:r>
      <w:r>
        <w:t xml:space="preserve">that the MSE workshop use the benchmark-derived base-model set</w:t>
      </w:r>
      <w:r>
        <w:t xml:space="preserve"> </w:t>
      </w:r>
      <w:r>
        <w:t xml:space="preserve">for operating-model conditioning and explicitly document recruitment-process</w:t>
      </w:r>
      <w:r>
        <w:t xml:space="preserve"> </w:t>
      </w:r>
      <w:r>
        <w:t xml:space="preserve">assumptions, including any ARIMA-based treatment of autocorrelation and</w:t>
      </w:r>
      <w:r>
        <w:t xml:space="preserve"> </w:t>
      </w:r>
      <w:r>
        <w:t xml:space="preserve">innovation variance.</w:t>
      </w:r>
    </w:p>
    <w:p>
      <w:pPr>
        <w:pStyle w:val="Compact"/>
        <w:numPr>
          <w:ilvl w:val="0"/>
          <w:numId w:val="1004"/>
        </w:numPr>
      </w:pPr>
      <w:r>
        <w:rPr>
          <w:b/>
          <w:bCs/>
        </w:rPr>
        <w:t xml:space="preserve">Recommended</w:t>
      </w:r>
      <w:r>
        <w:t xml:space="preserve"> </w:t>
      </w:r>
      <w:r>
        <w:t xml:space="preserve">that the JMWG develop a set of meta-rules for identifying and</w:t>
      </w:r>
      <w:r>
        <w:t xml:space="preserve"> </w:t>
      </w:r>
      <w:r>
        <w:t xml:space="preserve">responding to exceptional circumstances, including cases where recent survey,</w:t>
      </w:r>
      <w:r>
        <w:t xml:space="preserve"> </w:t>
      </w:r>
      <w:r>
        <w:t xml:space="preserve">fishery, environmental, or distributional information may fall outside the</w:t>
      </w:r>
      <w:r>
        <w:t xml:space="preserve"> </w:t>
      </w:r>
      <w:r>
        <w:t xml:space="preserve">conditions anticipated by the operating models or management procedures.</w:t>
      </w:r>
    </w:p>
    <w:p>
      <w:pPr>
        <w:pStyle w:val="Compact"/>
        <w:numPr>
          <w:ilvl w:val="0"/>
          <w:numId w:val="1004"/>
        </w:numPr>
      </w:pPr>
      <w:r>
        <w:rPr>
          <w:b/>
          <w:bCs/>
        </w:rPr>
        <w:t xml:space="preserve">Recommended</w:t>
      </w:r>
      <w:r>
        <w:t xml:space="preserve"> </w:t>
      </w:r>
      <w:r>
        <w:t xml:space="preserve">presenting near-term model sensitivities or diagnostics, where</w:t>
      </w:r>
      <w:r>
        <w:t xml:space="preserve"> </w:t>
      </w:r>
      <w:r>
        <w:t xml:space="preserve">feasible, that reflect the 2026 acoustic and catch information so the</w:t>
      </w:r>
      <w:r>
        <w:t xml:space="preserve"> </w:t>
      </w:r>
      <w:r>
        <w:t xml:space="preserve">Scientific Committee and MSE process have a clear indication of the apparent</w:t>
      </w:r>
      <w:r>
        <w:t xml:space="preserve"> </w:t>
      </w:r>
      <w:r>
        <w:t xml:space="preserve">recent stock trend and its uncertainty.</w:t>
      </w:r>
    </w:p>
    <w:bookmarkEnd w:id="68"/>
    <w:bookmarkStart w:id="75" w:name="references"/>
    <w:p>
      <w:pPr>
        <w:pStyle w:val="Heading1"/>
      </w:pPr>
      <w:r>
        <w:t xml:space="preserve">References</w:t>
      </w:r>
    </w:p>
    <w:p>
      <w:pPr>
        <w:pStyle w:val="FirstParagraph"/>
      </w:pPr>
      <w:r>
        <w:rPr>
          <w:b/>
          <w:bCs/>
        </w:rPr>
        <w:t xml:space="preserve">65.</w:t>
      </w:r>
      <w:r>
        <w:t xml:space="preserve"> </w:t>
      </w:r>
      <w:r>
        <w:t xml:space="preserve">The meeting report relied on the SCW16 working papers and supporting</w:t>
      </w:r>
      <w:r>
        <w:t xml:space="preserve"> </w:t>
      </w:r>
      <w:r>
        <w:t xml:space="preserve">presentations listed below. Presentation-only material and file crosswalks are</w:t>
      </w:r>
      <w:r>
        <w:t xml:space="preserve"> </w:t>
      </w:r>
      <w:r>
        <w:t xml:space="preserve">provided in Appendix D.</w:t>
      </w:r>
    </w:p>
    <w:p>
      <w:pPr>
        <w:pStyle w:val="Compact"/>
        <w:numPr>
          <w:ilvl w:val="0"/>
          <w:numId w:val="1005"/>
        </w:numPr>
      </w:pPr>
      <w:r>
        <w:t xml:space="preserve">SCW16-Doc01. Developments of the base SC13 model for benchmark and MSE</w:t>
      </w:r>
      <w:r>
        <w:t xml:space="preserve"> </w:t>
      </w:r>
      <w:r>
        <w:t xml:space="preserve">considerations.</w:t>
      </w:r>
    </w:p>
    <w:p>
      <w:pPr>
        <w:pStyle w:val="Compact"/>
        <w:numPr>
          <w:ilvl w:val="0"/>
          <w:numId w:val="1005"/>
        </w:numPr>
      </w:pPr>
      <w:r>
        <w:t xml:space="preserve">SCW16-Doc02. CPUE coordination priorities and working-paper plan.</w:t>
      </w:r>
    </w:p>
    <w:p>
      <w:pPr>
        <w:pStyle w:val="Compact"/>
        <w:numPr>
          <w:ilvl w:val="0"/>
          <w:numId w:val="1005"/>
        </w:numPr>
      </w:pPr>
      <w:r>
        <w:t xml:space="preserve">SCW16-Doc03. Meta-analysis of CPUE papers on jack mackerel.</w:t>
      </w:r>
    </w:p>
    <w:p>
      <w:pPr>
        <w:pStyle w:val="Compact"/>
        <w:numPr>
          <w:ilvl w:val="0"/>
          <w:numId w:val="1005"/>
        </w:numPr>
      </w:pPr>
      <w:r>
        <w:t xml:space="preserve">SCW16-Doc04. Conditioning of an operating-model grid for South Pacific jack</w:t>
      </w:r>
      <w:r>
        <w:t xml:space="preserve"> </w:t>
      </w:r>
      <w:r>
        <w:t xml:space="preserve">mackerel.</w:t>
      </w:r>
    </w:p>
    <w:p>
      <w:pPr>
        <w:pStyle w:val="Compact"/>
        <w:numPr>
          <w:ilvl w:val="0"/>
          <w:numId w:val="1005"/>
        </w:numPr>
      </w:pPr>
      <w:r>
        <w:t xml:space="preserve">SCW16-Doc05. Jack mackerel biology summary.</w:t>
      </w:r>
    </w:p>
    <w:p>
      <w:pPr>
        <w:pStyle w:val="Compact"/>
        <w:numPr>
          <w:ilvl w:val="0"/>
          <w:numId w:val="1005"/>
        </w:numPr>
      </w:pPr>
      <w:r>
        <w:t xml:space="preserve">SCW16-Doc06. Standardized northern Chile acoustic abundance index.</w:t>
      </w:r>
    </w:p>
    <w:p>
      <w:pPr>
        <w:pStyle w:val="Compact"/>
        <w:numPr>
          <w:ilvl w:val="0"/>
          <w:numId w:val="1005"/>
        </w:numPr>
      </w:pPr>
      <w:r>
        <w:t xml:space="preserve">SCW16-Doc07. Implementation of an informed creep correction into the Chile</w:t>
      </w:r>
      <w:r>
        <w:t xml:space="preserve"> </w:t>
      </w:r>
      <w:r>
        <w:t xml:space="preserve">jack mackerel CPUE index.</w:t>
      </w:r>
    </w:p>
    <w:p>
      <w:pPr>
        <w:pStyle w:val="Compact"/>
        <w:numPr>
          <w:ilvl w:val="0"/>
          <w:numId w:val="1005"/>
        </w:numPr>
      </w:pPr>
      <w:r>
        <w:t xml:space="preserve">SCW16-Doc08. Interannual variability in distribution, size structure, and</w:t>
      </w:r>
      <w:r>
        <w:t xml:space="preserve"> </w:t>
      </w:r>
      <w:r>
        <w:t xml:space="preserve">biomass estimated from fishery-dependent acoustics.</w:t>
      </w:r>
    </w:p>
    <w:p>
      <w:pPr>
        <w:pStyle w:val="Compact"/>
        <w:numPr>
          <w:ilvl w:val="0"/>
          <w:numId w:val="1005"/>
        </w:numPr>
      </w:pPr>
      <w:r>
        <w:t xml:space="preserve">SCW16-Doc09. Spatio-temporal modelling of acoustic backscatter from</w:t>
      </w:r>
      <w:r>
        <w:t xml:space="preserve"> </w:t>
      </w:r>
      <w:r>
        <w:t xml:space="preserve">north-central Chile acoustic surveys using</w:t>
      </w:r>
      <w:r>
        <w:t xml:space="preserve"> </w:t>
      </w:r>
      <w:r>
        <w:rPr>
          <w:rStyle w:val="VerbatimChar"/>
        </w:rPr>
        <w:t xml:space="preserve">sdmTMB</w:t>
      </w:r>
      <w:r>
        <w:t xml:space="preserve">.</w:t>
      </w:r>
    </w:p>
    <w:p>
      <w:pPr>
        <w:pStyle w:val="Compact"/>
        <w:numPr>
          <w:ilvl w:val="0"/>
          <w:numId w:val="1005"/>
        </w:numPr>
      </w:pPr>
      <w:r>
        <w:t xml:space="preserve">SCW16-Doc10. Chilean CPUE standardization using</w:t>
      </w:r>
      <w:r>
        <w:t xml:space="preserve"> </w:t>
      </w:r>
      <w:r>
        <w:rPr>
          <w:rStyle w:val="VerbatimChar"/>
        </w:rPr>
        <w:t xml:space="preserve">sdmTMB</w:t>
      </w:r>
      <w:r>
        <w:t xml:space="preserve">.</w:t>
      </w:r>
    </w:p>
    <w:p>
      <w:pPr>
        <w:pStyle w:val="Compact"/>
        <w:numPr>
          <w:ilvl w:val="0"/>
          <w:numId w:val="1005"/>
        </w:numPr>
      </w:pPr>
      <w:r>
        <w:t xml:space="preserve">SCW16-Doc11. Jack mackerel catch and fishery data quality-control checks.</w:t>
      </w:r>
    </w:p>
    <w:p>
      <w:pPr>
        <w:pStyle w:val="Compact"/>
        <w:numPr>
          <w:ilvl w:val="0"/>
          <w:numId w:val="1005"/>
        </w:numPr>
      </w:pPr>
      <w:r>
        <w:t xml:space="preserve">SCW16-Doc12. Spatio-temporal modelling of Chilean CPUE using INLA.</w:t>
      </w:r>
    </w:p>
    <w:p>
      <w:pPr>
        <w:pStyle w:val="Compact"/>
        <w:numPr>
          <w:ilvl w:val="0"/>
          <w:numId w:val="1005"/>
        </w:numPr>
      </w:pPr>
      <w:r>
        <w:t xml:space="preserve">SCW16-Doc13. Length-weight relationship of jack mackerel in Peru.</w:t>
      </w:r>
    </w:p>
    <w:p>
      <w:pPr>
        <w:pStyle w:val="Compact"/>
        <w:numPr>
          <w:ilvl w:val="0"/>
          <w:numId w:val="1005"/>
        </w:numPr>
      </w:pPr>
      <w:r>
        <w:t xml:space="preserve">SCW16-Doc14. Updated length-frequency data for Peruvian jack mackerel.</w:t>
      </w:r>
    </w:p>
    <w:p>
      <w:pPr>
        <w:pStyle w:val="Compact"/>
        <w:numPr>
          <w:ilvl w:val="0"/>
          <w:numId w:val="1005"/>
        </w:numPr>
      </w:pPr>
      <w:r>
        <w:t xml:space="preserve">SCW16-Doc15. Standardization of CPUE for jack mackerel in Peru.</w:t>
      </w:r>
    </w:p>
    <w:p>
      <w:pPr>
        <w:pStyle w:val="Compact"/>
        <w:numPr>
          <w:ilvl w:val="0"/>
          <w:numId w:val="1005"/>
        </w:numPr>
      </w:pPr>
      <w:r>
        <w:t xml:space="preserve">SCW16-Doc16. Considerations on the use of the jack mackerel acoustic index in</w:t>
      </w:r>
      <w:r>
        <w:t xml:space="preserve"> </w:t>
      </w:r>
      <w:r>
        <w:t xml:space="preserve">Peruvian national jurisdictional waters.</w:t>
      </w:r>
    </w:p>
    <w:p>
      <w:pPr>
        <w:pStyle w:val="Compact"/>
        <w:numPr>
          <w:ilvl w:val="0"/>
          <w:numId w:val="1005"/>
        </w:numPr>
      </w:pPr>
      <w:r>
        <w:t xml:space="preserve">Harbitz, A., Ona, E., and Pennington, M. (2009). The use of an adaptive</w:t>
      </w:r>
      <w:r>
        <w:t xml:space="preserve"> </w:t>
      </w:r>
      <w:r>
        <w:t xml:space="preserve">acoustic-survey design to estimate the abundance of highly skewed fish</w:t>
      </w:r>
      <w:r>
        <w:t xml:space="preserve"> </w:t>
      </w:r>
      <w:r>
        <w:t xml:space="preserve">populations.</w:t>
      </w:r>
      <w:r>
        <w:t xml:space="preserve"> </w:t>
      </w:r>
      <w:r>
        <w:rPr>
          <w:i/>
          <w:iCs/>
        </w:rPr>
        <w:t xml:space="preserve">ICES Journal of Marine Science</w:t>
      </w:r>
      <w:r>
        <w:t xml:space="preserve">, 66, 1349-1354.</w:t>
      </w:r>
      <w:r>
        <w:t xml:space="preserve"> </w:t>
      </w:r>
      <w:hyperlink r:id="rId69">
        <w:r>
          <w:rPr>
            <w:rStyle w:val="Hyperlink"/>
          </w:rPr>
          <w:t xml:space="preserve">https://doi.org/10.1093/icesjms/fsp088</w:t>
        </w:r>
      </w:hyperlink>
      <w:r>
        <w:t xml:space="preserve">.</w:t>
      </w:r>
    </w:p>
    <w:p>
      <w:pPr>
        <w:pStyle w:val="Compact"/>
        <w:numPr>
          <w:ilvl w:val="0"/>
          <w:numId w:val="1005"/>
        </w:numPr>
      </w:pPr>
      <w:r>
        <w:t xml:space="preserve">Stenevik, E. K., Volstad, J. H., Hoines, A., Aanes, S., Oskarsson, G. J.,</w:t>
      </w:r>
      <w:r>
        <w:t xml:space="preserve"> </w:t>
      </w:r>
      <w:r>
        <w:t xml:space="preserve">Jacobsen, J. A., and Tangen, O. (2015). Precision in estimates of density and</w:t>
      </w:r>
      <w:r>
        <w:t xml:space="preserve"> </w:t>
      </w:r>
      <w:r>
        <w:t xml:space="preserve">biomass of Norwegian spring-spawning herring based on acoustic surveys.</w:t>
      </w:r>
      <w:r>
        <w:t xml:space="preserve"> </w:t>
      </w:r>
      <w:r>
        <w:rPr>
          <w:i/>
          <w:iCs/>
        </w:rPr>
        <w:t xml:space="preserve">Marine Biology Research</w:t>
      </w:r>
      <w:r>
        <w:t xml:space="preserve">, 11, 449-461.</w:t>
      </w:r>
      <w:r>
        <w:t xml:space="preserve"> </w:t>
      </w:r>
      <w:hyperlink r:id="rId70">
        <w:r>
          <w:rPr>
            <w:rStyle w:val="Hyperlink"/>
          </w:rPr>
          <w:t xml:space="preserve">https://doi.org/10.1080/17451000.2014.995672</w:t>
        </w:r>
      </w:hyperlink>
      <w:r>
        <w:t xml:space="preserve">.</w:t>
      </w:r>
    </w:p>
    <w:p>
      <w:pPr>
        <w:pStyle w:val="Compact"/>
        <w:numPr>
          <w:ilvl w:val="0"/>
          <w:numId w:val="1005"/>
        </w:numPr>
      </w:pPr>
      <w:r>
        <w:t xml:space="preserve">Thorson, J. T. (2019). Guidance for decisions using the Vector Autoregressive</w:t>
      </w:r>
      <w:r>
        <w:t xml:space="preserve"> </w:t>
      </w:r>
      <w:r>
        <w:t xml:space="preserve">Spatio-Temporal (VAST) package in stock, ecosystem, habitat and climate</w:t>
      </w:r>
      <w:r>
        <w:t xml:space="preserve"> </w:t>
      </w:r>
      <w:r>
        <w:t xml:space="preserve">assessments.</w:t>
      </w:r>
      <w:r>
        <w:t xml:space="preserve"> </w:t>
      </w:r>
      <w:r>
        <w:rPr>
          <w:i/>
          <w:iCs/>
        </w:rPr>
        <w:t xml:space="preserve">Fisheries Research</w:t>
      </w:r>
      <w:r>
        <w:t xml:space="preserve">, 210, 143-161.</w:t>
      </w:r>
      <w:r>
        <w:t xml:space="preserve"> </w:t>
      </w:r>
      <w:hyperlink r:id="rId71">
        <w:r>
          <w:rPr>
            <w:rStyle w:val="Hyperlink"/>
          </w:rPr>
          <w:t xml:space="preserve">https://doi.org/10.1016/j.fishres.2018.10.013</w:t>
        </w:r>
      </w:hyperlink>
      <w:r>
        <w:t xml:space="preserve">.</w:t>
      </w:r>
    </w:p>
    <w:p>
      <w:pPr>
        <w:pStyle w:val="Compact"/>
        <w:numPr>
          <w:ilvl w:val="0"/>
          <w:numId w:val="1005"/>
        </w:numPr>
      </w:pPr>
      <w:r>
        <w:t xml:space="preserve">Paya, I. (2025). Update on the Chilean jack mackerel CPUE index and acoustic</w:t>
      </w:r>
      <w:r>
        <w:t xml:space="preserve"> </w:t>
      </w:r>
      <w:r>
        <w:t xml:space="preserve">biomass estimates in Chile. South Pacific Regional Fisheries Management</w:t>
      </w:r>
      <w:r>
        <w:t xml:space="preserve"> </w:t>
      </w:r>
      <w:r>
        <w:t xml:space="preserve">Organisation (SPRFMO).</w:t>
      </w:r>
      <w:r>
        <w:t xml:space="preserve"> </w:t>
      </w:r>
      <w:hyperlink r:id="rId72">
        <w:r>
          <w:rPr>
            <w:rStyle w:val="Hyperlink"/>
          </w:rPr>
          <w:t xml:space="preserve">https://sprfmo.int/assets/Meetings/02-SC/13th-SC-2025/Jack-Mackerel/SC13-JM04-Jack-Mackerel-CPUE-index-and-acoustic-biomass-in-the-south-central-Chile-up-to-2025-.pdf</w:t>
        </w:r>
      </w:hyperlink>
      <w:r>
        <w:t xml:space="preserve">.</w:t>
      </w:r>
    </w:p>
    <w:p>
      <w:pPr>
        <w:pStyle w:val="Compact"/>
        <w:numPr>
          <w:ilvl w:val="0"/>
          <w:numId w:val="1005"/>
        </w:numPr>
      </w:pPr>
      <w:r>
        <w:t xml:space="preserve">Vasquez, S., and Sepulveda, A. (2025). Update on CPUE standardization for the</w:t>
      </w:r>
      <w:r>
        <w:t xml:space="preserve"> </w:t>
      </w:r>
      <w:r>
        <w:t xml:space="preserve">Chilean jack mackerel fishery in central-southern Chile using spatio-temporal</w:t>
      </w:r>
      <w:r>
        <w:t xml:space="preserve"> </w:t>
      </w:r>
      <w:r>
        <w:t xml:space="preserve">Bayesian models. South Pacific Regional Fisheries Management Organisation</w:t>
      </w:r>
      <w:r>
        <w:t xml:space="preserve"> </w:t>
      </w:r>
      <w:r>
        <w:t xml:space="preserve">(SPRFMO).</w:t>
      </w:r>
      <w:r>
        <w:t xml:space="preserve"> </w:t>
      </w:r>
      <w:hyperlink r:id="rId73">
        <w:r>
          <w:rPr>
            <w:rStyle w:val="Hyperlink"/>
          </w:rPr>
          <w:t xml:space="preserve">https://www.sprfmo.int/assets/Meetings/02-SC/13th-SC-2025/Jack-Mackerel/SC13-JM02-Update-on-CPUE-standardization-for-CJM-fishery-in-central-southern-Chile.pdf</w:t>
        </w:r>
      </w:hyperlink>
      <w:r>
        <w:t xml:space="preserve">.</w:t>
      </w:r>
    </w:p>
    <w:p>
      <w:pPr>
        <w:pStyle w:val="Compact"/>
        <w:numPr>
          <w:ilvl w:val="0"/>
          <w:numId w:val="1005"/>
        </w:numPr>
      </w:pPr>
      <w:r>
        <w:t xml:space="preserve">SCW14. (2022). 14th Scientific Committee Workshop Report: Jack Mackerel</w:t>
      </w:r>
      <w:r>
        <w:t xml:space="preserve"> </w:t>
      </w:r>
      <w:r>
        <w:t xml:space="preserve">Benchmark Workshop. South Pacific Regional Fisheries Management Organisation</w:t>
      </w:r>
      <w:r>
        <w:t xml:space="preserve"> </w:t>
      </w:r>
      <w:r>
        <w:t xml:space="preserve">(SPRFMO).</w:t>
      </w:r>
      <w:r>
        <w:t xml:space="preserve"> </w:t>
      </w:r>
      <w:hyperlink r:id="rId74">
        <w:r>
          <w:rPr>
            <w:rStyle w:val="Hyperlink"/>
          </w:rPr>
          <w:t xml:space="preserve">https://www.sprfmo.int/assets/Meetings/SC_WS/SCW14-Jack-Mackerel/SPRFMO-SC-JM-Benchmark-Workshop-2022-Report-SCW14.pdf</w:t>
        </w:r>
      </w:hyperlink>
      <w:r>
        <w:t xml:space="preserve">.</w:t>
      </w:r>
    </w:p>
    <w:bookmarkEnd w:id="75"/>
    <w:bookmarkStart w:id="81"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76" w:name="day-1-acoustic-session"/>
    <w:p>
      <w:pPr>
        <w:pStyle w:val="Heading2"/>
      </w:pPr>
      <w:r>
        <w:t xml:space="preserve">Day 1: Acoustic Session</w:t>
      </w:r>
    </w:p>
    <w:p>
      <w:pPr>
        <w:pStyle w:val="Compact"/>
        <w:numPr>
          <w:ilvl w:val="0"/>
          <w:numId w:val="1006"/>
        </w:numPr>
      </w:pPr>
      <w:r>
        <w:t xml:space="preserve">Opening ceremony, official photo, and meeting organization.</w:t>
      </w:r>
    </w:p>
    <w:p>
      <w:pPr>
        <w:pStyle w:val="Compact"/>
        <w:numPr>
          <w:ilvl w:val="0"/>
          <w:numId w:val="1006"/>
        </w:numPr>
      </w:pPr>
      <w:r>
        <w:t xml:space="preserve">Historical review of hydroacoustic survey programs in north-central Chile.</w:t>
      </w:r>
    </w:p>
    <w:p>
      <w:pPr>
        <w:pStyle w:val="Compact"/>
        <w:numPr>
          <w:ilvl w:val="0"/>
          <w:numId w:val="1006"/>
        </w:numPr>
      </w:pPr>
      <w:r>
        <w:t xml:space="preserve">Preliminary results of the 2026 north-central Chile hydroacoustic survey.</w:t>
      </w:r>
    </w:p>
    <w:p>
      <w:pPr>
        <w:pStyle w:val="Compact"/>
        <w:numPr>
          <w:ilvl w:val="0"/>
          <w:numId w:val="1006"/>
        </w:numPr>
      </w:pPr>
      <w:r>
        <w:t xml:space="preserve">Oceanographic conditions during the 2026 acoustic survey.</w:t>
      </w:r>
    </w:p>
    <w:p>
      <w:pPr>
        <w:pStyle w:val="Compact"/>
        <w:numPr>
          <w:ilvl w:val="0"/>
          <w:numId w:val="1006"/>
        </w:numPr>
      </w:pPr>
      <w:r>
        <w:t xml:space="preserve">Spatio-temporal modeling of acoustic backscatter from the north-central Chile survey.</w:t>
      </w:r>
    </w:p>
    <w:p>
      <w:pPr>
        <w:pStyle w:val="Compact"/>
        <w:numPr>
          <w:ilvl w:val="0"/>
          <w:numId w:val="1006"/>
        </w:numPr>
      </w:pPr>
      <w:r>
        <w:t xml:space="preserve">Toward a standardized northern Chile acoustic abundance index.</w:t>
      </w:r>
    </w:p>
    <w:p>
      <w:pPr>
        <w:pStyle w:val="Compact"/>
        <w:numPr>
          <w:ilvl w:val="0"/>
          <w:numId w:val="1006"/>
        </w:numPr>
      </w:pPr>
      <w:r>
        <w:t xml:space="preserve">Opportunistic acoustic data collection from the south-central Chilean commercial fleet.</w:t>
      </w:r>
    </w:p>
    <w:p>
      <w:pPr>
        <w:pStyle w:val="Compact"/>
        <w:numPr>
          <w:ilvl w:val="0"/>
          <w:numId w:val="1006"/>
        </w:numPr>
      </w:pPr>
      <w:r>
        <w:t xml:space="preserve">Review of jack mackerel acoustic assessments conducted in Peru, including SCW16-Doc16.</w:t>
      </w:r>
    </w:p>
    <w:p>
      <w:pPr>
        <w:pStyle w:val="Compact"/>
        <w:numPr>
          <w:ilvl w:val="0"/>
          <w:numId w:val="1006"/>
        </w:numPr>
      </w:pPr>
      <w:r>
        <w:t xml:space="preserve">Use of acoustic data collected by fishing vessels for estimating abundance/biomass in Peru.</w:t>
      </w:r>
    </w:p>
    <w:p>
      <w:pPr>
        <w:pStyle w:val="Compact"/>
        <w:numPr>
          <w:ilvl w:val="0"/>
          <w:numId w:val="1006"/>
        </w:numPr>
      </w:pPr>
      <w:r>
        <w:t xml:space="preserve">Echogram examination and validation.</w:t>
      </w:r>
    </w:p>
    <w:p>
      <w:pPr>
        <w:pStyle w:val="Compact"/>
        <w:numPr>
          <w:ilvl w:val="0"/>
          <w:numId w:val="1006"/>
        </w:numPr>
      </w:pPr>
      <w:r>
        <w:t xml:space="preserve">General discussion and technical recommendations.</w:t>
      </w:r>
    </w:p>
    <w:bookmarkEnd w:id="76"/>
    <w:bookmarkStart w:id="77" w:name="day-2-cpue-session"/>
    <w:p>
      <w:pPr>
        <w:pStyle w:val="Heading2"/>
      </w:pPr>
      <w:r>
        <w:t xml:space="preserve">Day 2: CPUE Session</w:t>
      </w:r>
    </w:p>
    <w:p>
      <w:pPr>
        <w:pStyle w:val="Compact"/>
        <w:numPr>
          <w:ilvl w:val="0"/>
          <w:numId w:val="1007"/>
        </w:numPr>
      </w:pPr>
      <w:r>
        <w:t xml:space="preserve">Metadata by fleet and country.</w:t>
      </w:r>
    </w:p>
    <w:p>
      <w:pPr>
        <w:pStyle w:val="Compact"/>
        <w:numPr>
          <w:ilvl w:val="0"/>
          <w:numId w:val="1007"/>
        </w:numPr>
      </w:pPr>
      <w:r>
        <w:t xml:space="preserve">CPUE methods by fleet and country.</w:t>
      </w:r>
    </w:p>
    <w:p>
      <w:pPr>
        <w:pStyle w:val="Compact"/>
        <w:numPr>
          <w:ilvl w:val="0"/>
          <w:numId w:val="1007"/>
        </w:numPr>
      </w:pPr>
      <w:r>
        <w:t xml:space="preserve">Peruvian CPUE report, including SCW16-Doc15.</w:t>
      </w:r>
    </w:p>
    <w:p>
      <w:pPr>
        <w:pStyle w:val="Compact"/>
        <w:numPr>
          <w:ilvl w:val="0"/>
          <w:numId w:val="1007"/>
        </w:numPr>
      </w:pPr>
      <w:r>
        <w:t xml:space="preserve">Comparative analysis and parsimony across candidate indices.</w:t>
      </w:r>
    </w:p>
    <w:p>
      <w:pPr>
        <w:pStyle w:val="Compact"/>
        <w:numPr>
          <w:ilvl w:val="0"/>
          <w:numId w:val="1007"/>
        </w:numPr>
      </w:pPr>
      <w:r>
        <w:t xml:space="preserve">Effort-creep review and decision for stock assessment use.</w:t>
      </w:r>
    </w:p>
    <w:p>
      <w:pPr>
        <w:pStyle w:val="Compact"/>
        <w:numPr>
          <w:ilvl w:val="0"/>
          <w:numId w:val="1007"/>
        </w:numPr>
      </w:pPr>
      <w:r>
        <w:t xml:space="preserve">Catchability and availability blocks by abundance index.</w:t>
      </w:r>
    </w:p>
    <w:p>
      <w:pPr>
        <w:pStyle w:val="Compact"/>
        <w:numPr>
          <w:ilvl w:val="0"/>
          <w:numId w:val="1007"/>
        </w:numPr>
      </w:pPr>
      <w:r>
        <w:t xml:space="preserve">CPUE weighting factors for stock assessment.</w:t>
      </w:r>
    </w:p>
    <w:p>
      <w:pPr>
        <w:pStyle w:val="Compact"/>
        <w:numPr>
          <w:ilvl w:val="0"/>
          <w:numId w:val="1007"/>
        </w:numPr>
      </w:pPr>
      <w:r>
        <w:t xml:space="preserve">Separate versus combined index products for HCR or management-procedure use.</w:t>
      </w:r>
    </w:p>
    <w:bookmarkEnd w:id="77"/>
    <w:bookmarkStart w:id="78" w:name="Xe19488a9e250f8a1b1acbf6bd27cb1809ccf6dd"/>
    <w:p>
      <w:pPr>
        <w:pStyle w:val="Heading2"/>
      </w:pPr>
      <w:r>
        <w:t xml:space="preserve">Day 3: Recap, Report Drafting, and Biological Inputs</w:t>
      </w:r>
    </w:p>
    <w:p>
      <w:pPr>
        <w:pStyle w:val="Compact"/>
        <w:numPr>
          <w:ilvl w:val="0"/>
          <w:numId w:val="1008"/>
        </w:numPr>
      </w:pPr>
      <w:r>
        <w:t xml:space="preserve">Recap of acoustic and CPUE sessions.</w:t>
      </w:r>
    </w:p>
    <w:p>
      <w:pPr>
        <w:pStyle w:val="Compact"/>
        <w:numPr>
          <w:ilvl w:val="0"/>
          <w:numId w:val="1008"/>
        </w:numPr>
      </w:pPr>
      <w:r>
        <w:t xml:space="preserve">Drafting of index-session report text and follow-up tasks.</w:t>
      </w:r>
    </w:p>
    <w:p>
      <w:pPr>
        <w:pStyle w:val="Compact"/>
        <w:numPr>
          <w:ilvl w:val="0"/>
          <w:numId w:val="1008"/>
        </w:numPr>
      </w:pPr>
      <w:r>
        <w:t xml:space="preserve">Summary of SCW16-Doc01 and benchmark-model implications.</w:t>
      </w:r>
    </w:p>
    <w:p>
      <w:pPr>
        <w:pStyle w:val="Compact"/>
        <w:numPr>
          <w:ilvl w:val="0"/>
          <w:numId w:val="1008"/>
        </w:numPr>
      </w:pPr>
      <w:r>
        <w:t xml:space="preserve">Review of biological assumptions used in the assessment and operating models.</w:t>
      </w:r>
    </w:p>
    <w:p>
      <w:pPr>
        <w:pStyle w:val="Compact"/>
        <w:numPr>
          <w:ilvl w:val="0"/>
          <w:numId w:val="1008"/>
        </w:numPr>
      </w:pPr>
      <w:r>
        <w:t xml:space="preserve">Review of Peru length-weight and length-frequency information, including SCW16-Doc13 and SCW16-Doc14.</w:t>
      </w:r>
    </w:p>
    <w:bookmarkEnd w:id="78"/>
    <w:bookmarkStart w:id="79" w:name="X093770a539d959c93333ac261f9d7f2c82f1662"/>
    <w:p>
      <w:pPr>
        <w:pStyle w:val="Heading2"/>
      </w:pPr>
      <w:r>
        <w:t xml:space="preserve">Day 4: Projections, Recruitment Scenarios, and Operating Models</w:t>
      </w:r>
    </w:p>
    <w:p>
      <w:pPr>
        <w:pStyle w:val="Compact"/>
        <w:numPr>
          <w:ilvl w:val="0"/>
          <w:numId w:val="1009"/>
        </w:numPr>
      </w:pPr>
      <w:r>
        <w:t xml:space="preserve">Assessment projections and recruitment scenarios.</w:t>
      </w:r>
    </w:p>
    <w:p>
      <w:pPr>
        <w:pStyle w:val="Compact"/>
        <w:numPr>
          <w:ilvl w:val="0"/>
          <w:numId w:val="1009"/>
        </w:numPr>
      </w:pPr>
      <w:r>
        <w:t xml:space="preserve">Candidate assessment-model runs and sensitivity structure.</w:t>
      </w:r>
    </w:p>
    <w:p>
      <w:pPr>
        <w:pStyle w:val="Compact"/>
        <w:numPr>
          <w:ilvl w:val="0"/>
          <w:numId w:val="1009"/>
        </w:numPr>
      </w:pPr>
      <w:r>
        <w:t xml:space="preserve">Operating-model specifications for MSE conditioning.</w:t>
      </w:r>
    </w:p>
    <w:p>
      <w:pPr>
        <w:pStyle w:val="Compact"/>
        <w:numPr>
          <w:ilvl w:val="0"/>
          <w:numId w:val="1009"/>
        </w:numPr>
      </w:pPr>
      <w:r>
        <w:t xml:space="preserve">MCMC evaluations, convergence diagnostics, run-time constraints, and feasibility.</w:t>
      </w:r>
    </w:p>
    <w:bookmarkEnd w:id="79"/>
    <w:bookmarkStart w:id="80" w:name="X0e50bbd5976cb17edeb25ef5bfa4ced02afb38c"/>
    <w:p>
      <w:pPr>
        <w:pStyle w:val="Heading2"/>
      </w:pPr>
      <w:r>
        <w:t xml:space="preserve">Day 5: Final Decisions and Report Adoption</w:t>
      </w:r>
    </w:p>
    <w:p>
      <w:pPr>
        <w:pStyle w:val="Compact"/>
        <w:numPr>
          <w:ilvl w:val="0"/>
          <w:numId w:val="1010"/>
        </w:numPr>
      </w:pPr>
      <w:r>
        <w:t xml:space="preserve">Final benchmark decisions and recommendations.</w:t>
      </w:r>
    </w:p>
    <w:p>
      <w:pPr>
        <w:pStyle w:val="Compact"/>
        <w:numPr>
          <w:ilvl w:val="0"/>
          <w:numId w:val="1010"/>
        </w:numPr>
      </w:pPr>
      <w:r>
        <w:t xml:space="preserve">Confirmation of model-run priorities, operating-model specifications, and follow-up tasks.</w:t>
      </w:r>
    </w:p>
    <w:p>
      <w:pPr>
        <w:pStyle w:val="Compact"/>
        <w:numPr>
          <w:ilvl w:val="0"/>
          <w:numId w:val="1010"/>
        </w:numPr>
      </w:pPr>
      <w:r>
        <w:t xml:space="preserve">Report drafting, review, and adoption.</w:t>
      </w:r>
    </w:p>
    <w:bookmarkEnd w:id="80"/>
    <w:bookmarkEnd w:id="81"/>
    <w:bookmarkStart w:id="82"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Instituto del Mar del Peru (retired)</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82"/>
    <w:bookmarkStart w:id="120"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84" w:name="assessment-and-model-structure"/>
    <w:p>
      <w:pPr>
        <w:pStyle w:val="Heading2"/>
      </w:pPr>
      <w:r>
        <w:t xml:space="preserve">Assessment and Model Structure</w:t>
      </w:r>
    </w:p>
    <w:bookmarkStart w:id="83" w:name="developments-of-the-base-sc13-model"/>
    <w:p>
      <w:pPr>
        <w:pStyle w:val="Heading3"/>
      </w:pPr>
      <w:r>
        <w:t xml:space="preserve">Developments of the Base SC13 Model</w:t>
      </w:r>
    </w:p>
    <w:p>
      <w:pPr>
        <w:pStyle w:val="FirstParagraph"/>
      </w:pPr>
      <w:hyperlink r:id="rId63">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83"/>
    <w:bookmarkEnd w:id="84"/>
    <w:bookmarkStart w:id="87" w:name="operating-models-and-mse"/>
    <w:p>
      <w:pPr>
        <w:pStyle w:val="Heading2"/>
      </w:pPr>
      <w:r>
        <w:t xml:space="preserve">Operating Models and MSE</w:t>
      </w:r>
    </w:p>
    <w:bookmarkStart w:id="86" w:name="operating-models-for-jack-mackerel-mse"/>
    <w:p>
      <w:pPr>
        <w:pStyle w:val="Heading3"/>
      </w:pPr>
      <w:r>
        <w:t xml:space="preserve">Operating Models for Jack Mackerel MSE</w:t>
      </w:r>
    </w:p>
    <w:p>
      <w:pPr>
        <w:pStyle w:val="FirstParagraph"/>
      </w:pPr>
      <w:hyperlink r:id="rId85">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86"/>
    <w:bookmarkEnd w:id="87"/>
    <w:bookmarkStart w:id="100" w:name="cpue"/>
    <w:p>
      <w:pPr>
        <w:pStyle w:val="Heading2"/>
      </w:pPr>
      <w:r>
        <w:t xml:space="preserve">CPUE</w:t>
      </w:r>
    </w:p>
    <w:bookmarkStart w:id="89" w:name="X78655e90d273c2174e3dc08eb7d53678355183a"/>
    <w:p>
      <w:pPr>
        <w:pStyle w:val="Heading3"/>
      </w:pPr>
      <w:r>
        <w:t xml:space="preserve">CPUE Coordination Priorities and Working-Paper Plan</w:t>
      </w:r>
    </w:p>
    <w:p>
      <w:pPr>
        <w:pStyle w:val="FirstParagraph"/>
      </w:pPr>
      <w:hyperlink r:id="rId88">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89"/>
    <w:bookmarkStart w:id="91" w:name="X55aa1326c783fdba0a32cb00d5dd3d2612f78d5"/>
    <w:p>
      <w:pPr>
        <w:pStyle w:val="Heading3"/>
      </w:pPr>
      <w:r>
        <w:t xml:space="preserve">Meta-Analysis of CPUE Papers on Jack Mackerel</w:t>
      </w:r>
    </w:p>
    <w:p>
      <w:pPr>
        <w:pStyle w:val="FirstParagraph"/>
      </w:pPr>
      <w:hyperlink r:id="rId90">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91"/>
    <w:bookmarkStart w:id="93" w:name="chile-cpue-effort-creep"/>
    <w:p>
      <w:pPr>
        <w:pStyle w:val="Heading3"/>
      </w:pPr>
      <w:r>
        <w:t xml:space="preserve">Chile CPUE Effort Creep</w:t>
      </w:r>
    </w:p>
    <w:p>
      <w:pPr>
        <w:pStyle w:val="FirstParagraph"/>
      </w:pPr>
      <w:hyperlink r:id="rId92">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93"/>
    <w:bookmarkStart w:id="95" w:name="chile-cpue-with-sdmtmbspde"/>
    <w:p>
      <w:pPr>
        <w:pStyle w:val="Heading3"/>
      </w:pPr>
      <w:r>
        <w:t xml:space="preserve">Chile CPUE with sdmTMB/SPDE</w:t>
      </w:r>
    </w:p>
    <w:p>
      <w:pPr>
        <w:pStyle w:val="FirstParagraph"/>
      </w:pPr>
      <w:hyperlink r:id="rId94">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95"/>
    <w:bookmarkStart w:id="97" w:name="chile-cpue-with-inla"/>
    <w:p>
      <w:pPr>
        <w:pStyle w:val="Heading3"/>
      </w:pPr>
      <w:r>
        <w:t xml:space="preserve">Chile CPUE with INLA</w:t>
      </w:r>
    </w:p>
    <w:p>
      <w:pPr>
        <w:pStyle w:val="FirstParagraph"/>
      </w:pPr>
      <w:hyperlink r:id="rId96">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97"/>
    <w:bookmarkStart w:id="99" w:name="peru-cpue"/>
    <w:p>
      <w:pPr>
        <w:pStyle w:val="Heading3"/>
      </w:pPr>
      <w:r>
        <w:t xml:space="preserve">Peru CPUE</w:t>
      </w:r>
    </w:p>
    <w:p>
      <w:pPr>
        <w:pStyle w:val="FirstParagraph"/>
      </w:pPr>
      <w:hyperlink r:id="rId98">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99"/>
    <w:bookmarkEnd w:id="100"/>
    <w:bookmarkStart w:id="109" w:name="acoustic-indices-1"/>
    <w:p>
      <w:pPr>
        <w:pStyle w:val="Heading2"/>
      </w:pPr>
      <w:r>
        <w:t xml:space="preserve">Acoustic Indices</w:t>
      </w:r>
    </w:p>
    <w:bookmarkStart w:id="102" w:name="Xb04805d959d92db344062f23c1d5fc65220cd11"/>
    <w:p>
      <w:pPr>
        <w:pStyle w:val="Heading3"/>
      </w:pPr>
      <w:r>
        <w:t xml:space="preserve">Northern Chile Acoustic Spatio-Temporal Model</w:t>
      </w:r>
    </w:p>
    <w:p>
      <w:pPr>
        <w:pStyle w:val="FirstParagraph"/>
      </w:pPr>
      <w:hyperlink r:id="rId101">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102"/>
    <w:bookmarkStart w:id="104" w:name="fishery-dependent-acoustics"/>
    <w:p>
      <w:pPr>
        <w:pStyle w:val="Heading3"/>
      </w:pPr>
      <w:r>
        <w:t xml:space="preserve">Fishery-Dependent Acoustics</w:t>
      </w:r>
    </w:p>
    <w:p>
      <w:pPr>
        <w:pStyle w:val="FirstParagraph"/>
      </w:pPr>
      <w:hyperlink r:id="rId103">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104"/>
    <w:bookmarkStart w:id="106" w:name="X8dcc86fd1c77a21ecd4bd2be0d11cc79550cb59"/>
    <w:p>
      <w:pPr>
        <w:pStyle w:val="Heading3"/>
      </w:pPr>
      <w:r>
        <w:t xml:space="preserve">Central-North Acoustic Density with sdmTMB</w:t>
      </w:r>
    </w:p>
    <w:p>
      <w:pPr>
        <w:pStyle w:val="FirstParagraph"/>
      </w:pPr>
      <w:hyperlink r:id="rId105">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106"/>
    <w:bookmarkStart w:id="108" w:name="peru-acoustic-index-considerations"/>
    <w:p>
      <w:pPr>
        <w:pStyle w:val="Heading3"/>
      </w:pPr>
      <w:r>
        <w:t xml:space="preserve">Peru Acoustic Index Considerations</w:t>
      </w:r>
    </w:p>
    <w:p>
      <w:pPr>
        <w:pStyle w:val="FirstParagraph"/>
      </w:pPr>
      <w:hyperlink r:id="rId107">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108"/>
    <w:bookmarkEnd w:id="109"/>
    <w:bookmarkStart w:id="116" w:name="biology-and-composition-inputs"/>
    <w:p>
      <w:pPr>
        <w:pStyle w:val="Heading2"/>
      </w:pPr>
      <w:r>
        <w:t xml:space="preserve">Biology and Composition Inputs</w:t>
      </w:r>
    </w:p>
    <w:bookmarkStart w:id="111" w:name="biology"/>
    <w:p>
      <w:pPr>
        <w:pStyle w:val="Heading3"/>
      </w:pPr>
      <w:r>
        <w:t xml:space="preserve">Biology</w:t>
      </w:r>
    </w:p>
    <w:p>
      <w:pPr>
        <w:pStyle w:val="FirstParagraph"/>
      </w:pPr>
      <w:hyperlink r:id="rId110">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111"/>
    <w:bookmarkStart w:id="113" w:name="peru-length-weight-relationship"/>
    <w:p>
      <w:pPr>
        <w:pStyle w:val="Heading3"/>
      </w:pPr>
      <w:r>
        <w:t xml:space="preserve">Peru Length-Weight Relationship</w:t>
      </w:r>
    </w:p>
    <w:p>
      <w:pPr>
        <w:pStyle w:val="FirstParagraph"/>
      </w:pPr>
      <w:hyperlink r:id="rId112">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113"/>
    <w:bookmarkStart w:id="115" w:name="peru-length-frequency-update"/>
    <w:p>
      <w:pPr>
        <w:pStyle w:val="Heading3"/>
      </w:pPr>
      <w:r>
        <w:t xml:space="preserve">Peru Length-Frequency Update</w:t>
      </w:r>
    </w:p>
    <w:p>
      <w:pPr>
        <w:pStyle w:val="FirstParagraph"/>
      </w:pPr>
      <w:hyperlink r:id="rId114">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115"/>
    <w:bookmarkEnd w:id="116"/>
    <w:bookmarkStart w:id="119" w:name="data-quality-and-supporting-evidence"/>
    <w:p>
      <w:pPr>
        <w:pStyle w:val="Heading2"/>
      </w:pPr>
      <w:r>
        <w:t xml:space="preserve">Data Quality and Supporting Evidence</w:t>
      </w:r>
    </w:p>
    <w:bookmarkStart w:id="118" w:name="catchfishery-data-quality-checks"/>
    <w:p>
      <w:pPr>
        <w:pStyle w:val="Heading3"/>
      </w:pPr>
      <w:r>
        <w:t xml:space="preserve">Catch/Fishery Data Quality Checks</w:t>
      </w:r>
    </w:p>
    <w:p>
      <w:pPr>
        <w:pStyle w:val="FirstParagraph"/>
      </w:pPr>
      <w:hyperlink r:id="rId117">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118"/>
    <w:bookmarkEnd w:id="119"/>
    <w:bookmarkEnd w:id="120"/>
    <w:bookmarkStart w:id="141" w:name="appendix-d.-presentation-summaries"/>
    <w:p>
      <w:pPr>
        <w:pStyle w:val="Heading1"/>
      </w:pPr>
      <w:r>
        <w:t xml:space="preserve">Appendix D. Presentation summaries</w:t>
      </w:r>
    </w:p>
    <w:p>
      <w:pPr>
        <w:pStyle w:val="FirstParagraph"/>
      </w:pPr>
      <w:r>
        <w:t xml:space="preserve">This appendix records presentation files available for the benchmark meeting. It</w:t>
      </w:r>
      <w:r>
        <w:t xml:space="preserve"> </w:t>
      </w:r>
      <w:r>
        <w:t xml:space="preserve">is intended as a crosswalk between the meeting agenda, formal SCW16 papers,</w:t>
      </w:r>
      <w:r>
        <w:t xml:space="preserve"> </w:t>
      </w:r>
      <w:r>
        <w:t xml:space="preserve">presentation-only material, and how each item should be used in the meeting</w:t>
      </w:r>
      <w:r>
        <w:t xml:space="preserve"> </w:t>
      </w:r>
      <w:r>
        <w:t xml:space="preserve">report.</w:t>
      </w:r>
    </w:p>
    <w:p>
      <w:pPr>
        <w:pStyle w:val="BodyText"/>
      </w:pPr>
      <w:r>
        <w:t xml:space="preserve">For Day 1, the presentation files are available in</w:t>
      </w:r>
      <w:r>
        <w:t xml:space="preserve"> </w:t>
      </w:r>
      <w:r>
        <w:rPr>
          <w:rStyle w:val="VerbatimChar"/>
        </w:rPr>
        <w:t xml:space="preserve">docs/day1</w:t>
      </w:r>
      <w:r>
        <w:t xml:space="preserve"> </w:t>
      </w:r>
      <w:r>
        <w:t xml:space="preserve">and are organized</w:t>
      </w:r>
      <w:r>
        <w:t xml:space="preserve"> </w:t>
      </w:r>
      <w:r>
        <w:t xml:space="preserve">around the acoustic-session agenda.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121">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122">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123">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124">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105">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125">
              <w:r>
                <w:rPr>
                  <w:rStyle w:val="Hyperlink"/>
                </w:rPr>
                <w:t xml:space="preserve">Standardized northern Chile acoustic abundance index</w:t>
              </w:r>
            </w:hyperlink>
          </w:p>
        </w:tc>
        <w:tc>
          <w:tcPr/>
          <w:p>
            <w:pPr>
              <w:pStyle w:val="Compact"/>
            </w:pPr>
            <w:hyperlink r:id="rId101">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126">
              <w:r>
                <w:rPr>
                  <w:rStyle w:val="Hyperlink"/>
                </w:rPr>
                <w:t xml:space="preserve">Opportunistic acoustic data collection using the south-central Chilean commercial fleet</w:t>
              </w:r>
            </w:hyperlink>
          </w:p>
        </w:tc>
        <w:tc>
          <w:tcPr/>
          <w:p>
            <w:pPr>
              <w:pStyle w:val="Compact"/>
            </w:pPr>
            <w:hyperlink r:id="rId103">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127">
              <w:r>
                <w:rPr>
                  <w:rStyle w:val="Hyperlink"/>
                </w:rPr>
                <w:t xml:space="preserve">Review of jack mackerel acoustic assessments conducted in Peru</w:t>
              </w:r>
            </w:hyperlink>
          </w:p>
        </w:tc>
        <w:tc>
          <w:tcPr/>
          <w:p>
            <w:pPr>
              <w:pStyle w:val="Compact"/>
            </w:pPr>
            <w:hyperlink r:id="rId107">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128">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r>
        <w:tc>
          <w:tcPr/>
          <w:p>
            <w:pPr>
              <w:pStyle w:val="Compact"/>
            </w:pPr>
            <w:hyperlink r:id="rId129">
              <w:r>
                <w:rPr>
                  <w:rStyle w:val="Hyperlink"/>
                </w:rPr>
                <w:t xml:space="preserve">Acoustic data collected by fishing vessels in Peru</w:t>
              </w:r>
            </w:hyperlink>
          </w:p>
        </w:tc>
        <w:tc>
          <w:tcPr/>
          <w:p>
            <w:pPr>
              <w:pStyle w:val="Compact"/>
            </w:pPr>
            <w:r>
              <w:t xml:space="preserve">Presentation only</w:t>
            </w:r>
          </w:p>
        </w:tc>
        <w:tc>
          <w:tcPr/>
          <w:p>
            <w:pPr>
              <w:pStyle w:val="Compact"/>
            </w:pPr>
            <w:r>
              <w:t xml:space="preserve">Use of fishing-vessel acoustic data for estimating abundance or biomass of anchovy and Chilean jack mackerel in Peru.</w:t>
            </w:r>
          </w:p>
        </w:tc>
        <w:tc>
          <w:tcPr/>
          <w:p>
            <w:pPr>
              <w:pStyle w:val="Compact"/>
            </w:pPr>
            <w:r>
              <w:t xml:space="preserve">Context / supporting methods</w:t>
            </w:r>
          </w:p>
        </w:tc>
      </w:tr>
    </w:tbl>
    <w:p>
      <w:pPr>
        <w:pStyle w:val="BodyText"/>
      </w:pPr>
      <w:r>
        <w:t xml:space="preserve">For Day 2, the presentation files currently available in</w:t>
      </w:r>
      <w:r>
        <w:t xml:space="preserve"> </w:t>
      </w:r>
      <w:r>
        <w:rPr>
          <w:rStyle w:val="VerbatimChar"/>
        </w:rPr>
        <w:t xml:space="preserve">docs/day2</w:t>
      </w:r>
      <w:r>
        <w:t xml:space="preserve"> </w:t>
      </w:r>
      <w:r>
        <w:t xml:space="preserve">are organized</w:t>
      </w:r>
      <w:r>
        <w:t xml:space="preserve"> </w:t>
      </w:r>
      <w:r>
        <w:t xml:space="preserve">around the CPUE and data-quality session.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130">
              <w:r>
                <w:rPr>
                  <w:rStyle w:val="Hyperlink"/>
                </w:rPr>
                <w:t xml:space="preserve">Implementation of an informed creep correction into the Chile Jack Mackerel CPUE Index</w:t>
              </w:r>
            </w:hyperlink>
          </w:p>
        </w:tc>
        <w:tc>
          <w:tcPr/>
          <w:p>
            <w:pPr>
              <w:pStyle w:val="Compact"/>
            </w:pPr>
            <w:hyperlink r:id="rId92">
              <w:r>
                <w:rPr>
                  <w:rStyle w:val="Hyperlink"/>
                </w:rPr>
                <w:t xml:space="preserve">SCW16-Doc07</w:t>
              </w:r>
            </w:hyperlink>
          </w:p>
        </w:tc>
        <w:tc>
          <w:tcPr/>
          <w:p>
            <w:pPr>
              <w:pStyle w:val="Compact"/>
            </w:pPr>
            <w:r>
              <w:t xml:space="preserve">Industrial-vessel fishing-power and effort-creep correction for the Chilean jack mackerel CPUE index.</w:t>
            </w:r>
          </w:p>
        </w:tc>
        <w:tc>
          <w:tcPr/>
          <w:p>
            <w:pPr>
              <w:pStyle w:val="Compact"/>
            </w:pPr>
            <w:r>
              <w:t xml:space="preserve">Formal paper / candidate base or sensitivity treatment</w:t>
            </w:r>
          </w:p>
        </w:tc>
      </w:tr>
      <w:tr>
        <w:tc>
          <w:tcPr/>
          <w:p>
            <w:pPr>
              <w:pStyle w:val="Compact"/>
            </w:pPr>
            <w:hyperlink r:id="rId131">
              <w:r>
                <w:rPr>
                  <w:rStyle w:val="Hyperlink"/>
                </w:rPr>
                <w:t xml:space="preserve">Standardization of Chilean jack mackerel CPUE fishery in central-southern Chile using Hierarchical Bayesian Models</w:t>
              </w:r>
            </w:hyperlink>
          </w:p>
        </w:tc>
        <w:tc>
          <w:tcPr/>
          <w:p>
            <w:pPr>
              <w:pStyle w:val="Compact"/>
            </w:pPr>
            <w:hyperlink r:id="rId96">
              <w:r>
                <w:rPr>
                  <w:rStyle w:val="Hyperlink"/>
                </w:rPr>
                <w:t xml:space="preserve">SCW16-Doc12</w:t>
              </w:r>
            </w:hyperlink>
          </w:p>
        </w:tc>
        <w:tc>
          <w:tcPr/>
          <w:p>
            <w:pPr>
              <w:pStyle w:val="Compact"/>
            </w:pPr>
            <w:r>
              <w:t xml:space="preserve">INLA-based spatio-temporal standardization of the central-southern Chile CPUE fishery.</w:t>
            </w:r>
          </w:p>
        </w:tc>
        <w:tc>
          <w:tcPr/>
          <w:p>
            <w:pPr>
              <w:pStyle w:val="Compact"/>
            </w:pPr>
            <w:r>
              <w:t xml:space="preserve">Formal paper / candidate index</w:t>
            </w:r>
          </w:p>
        </w:tc>
      </w:tr>
      <w:tr>
        <w:tc>
          <w:tcPr/>
          <w:p>
            <w:pPr>
              <w:pStyle w:val="Compact"/>
            </w:pPr>
            <w:hyperlink r:id="rId132">
              <w:r>
                <w:rPr>
                  <w:rStyle w:val="Hyperlink"/>
                </w:rPr>
                <w:t xml:space="preserve">Standardization of CPUE for jack mackerel in Peru</w:t>
              </w:r>
            </w:hyperlink>
          </w:p>
        </w:tc>
        <w:tc>
          <w:tcPr/>
          <w:p>
            <w:pPr>
              <w:pStyle w:val="Compact"/>
            </w:pPr>
            <w:hyperlink r:id="rId98">
              <w:r>
                <w:rPr>
                  <w:rStyle w:val="Hyperlink"/>
                </w:rPr>
                <w:t xml:space="preserve">SCW16-Doc15</w:t>
              </w:r>
            </w:hyperlink>
          </w:p>
        </w:tc>
        <w:tc>
          <w:tcPr/>
          <w:p>
            <w:pPr>
              <w:pStyle w:val="Compact"/>
            </w:pPr>
            <w:r>
              <w:t xml:space="preserve">Updated Peruvian CPUE standardization for 2015-2025 using industrial and artisanal fleet information.</w:t>
            </w:r>
          </w:p>
        </w:tc>
        <w:tc>
          <w:tcPr/>
          <w:p>
            <w:pPr>
              <w:pStyle w:val="Compact"/>
            </w:pPr>
            <w:r>
              <w:t xml:space="preserve">Formal paper / candidate diagnostic or future index</w:t>
            </w:r>
          </w:p>
        </w:tc>
      </w:tr>
      <w:tr>
        <w:tc>
          <w:tcPr/>
          <w:p>
            <w:pPr>
              <w:pStyle w:val="Compact"/>
            </w:pPr>
            <w:hyperlink r:id="rId133">
              <w:r>
                <w:rPr>
                  <w:rStyle w:val="Hyperlink"/>
                </w:rPr>
                <w:t xml:space="preserve">CPUE standardisation offshore fleet</w:t>
              </w:r>
            </w:hyperlink>
          </w:p>
        </w:tc>
        <w:tc>
          <w:tcPr/>
          <w:p>
            <w:pPr>
              <w:pStyle w:val="Compact"/>
            </w:pPr>
            <w:r>
              <w:t xml:space="preserve">Presentation only; related to offshore CPUE assessment treatment</w:t>
            </w:r>
          </w:p>
        </w:tc>
        <w:tc>
          <w:tcPr/>
          <w:p>
            <w:pPr>
              <w:pStyle w:val="Compact"/>
            </w:pPr>
            <w:r>
              <w:t xml:space="preserve">Offshore fleet CPUE standardization, including treatment of a 2021 catchability break and environmental or catchability interpretation.</w:t>
            </w:r>
          </w:p>
        </w:tc>
        <w:tc>
          <w:tcPr/>
          <w:p>
            <w:pPr>
              <w:pStyle w:val="Compact"/>
            </w:pPr>
            <w:r>
              <w:t xml:space="preserve">Presentation only / model-treatment diagnostic</w:t>
            </w:r>
          </w:p>
        </w:tc>
      </w:tr>
    </w:tbl>
    <w:p>
      <w:pPr>
        <w:pStyle w:val="BodyText"/>
      </w:pPr>
      <w:r>
        <w:t xml:space="preserve">For Day 3, the presentation files currently available in</w:t>
      </w:r>
      <w:r>
        <w:t xml:space="preserve"> </w:t>
      </w:r>
      <w:r>
        <w:rPr>
          <w:rStyle w:val="VerbatimChar"/>
        </w:rPr>
        <w:t xml:space="preserve">docs/day3</w:t>
      </w:r>
      <w:r>
        <w:t xml:space="preserve"> </w:t>
      </w:r>
      <w:r>
        <w:t xml:space="preserve">are</w:t>
      </w:r>
      <w:r>
        <w:t xml:space="preserve"> </w:t>
      </w:r>
      <w:r>
        <w:t xml:space="preserve">organized around CPUE decisions, acoustic survey follow-up, and biological</w:t>
      </w:r>
      <w:r>
        <w:t xml:space="preserve"> </w:t>
      </w:r>
      <w:r>
        <w:t xml:space="preserve">inputs. The appendix links to compressed PDF exports rather than PPTX or ODP</w:t>
      </w:r>
      <w:r>
        <w:t xml:space="preserve"> </w:t>
      </w:r>
      <w:r>
        <w:t xml:space="preserve">files. Two biology-summary source PPTX versions are listed because the local</w:t>
      </w:r>
      <w:r>
        <w:t xml:space="preserve"> </w:t>
      </w:r>
      <w:r>
        <w:t xml:space="preserve">files differ by hash. The two Peruvian length-frequency source PDF filenames</w:t>
      </w:r>
      <w:r>
        <w:t xml:space="preserve"> </w:t>
      </w:r>
      <w:r>
        <w:t xml:space="preserve">listed below have identical SHA-256 hashes and appear to be duplicate copies of</w:t>
      </w:r>
      <w:r>
        <w:t xml:space="preserve"> </w:t>
      </w:r>
      <w:r>
        <w:t xml:space="preserve">the same presentation; both filenames are retained here to preserve the</w:t>
      </w:r>
      <w:r>
        <w:t xml:space="preserve"> </w:t>
      </w:r>
      <w:r>
        <w:t xml:space="preserve">file-version crosswalk.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134">
              <w:r>
                <w:rPr>
                  <w:rStyle w:val="Hyperlink"/>
                </w:rPr>
                <w:t xml:space="preserve">Jack mackerel biology summary</w:t>
              </w:r>
            </w:hyperlink>
            <w:r>
              <w:t xml:space="preserve">;</w:t>
            </w:r>
            <w:r>
              <w:t xml:space="preserve"> </w:t>
            </w:r>
            <w:hyperlink r:id="rId135">
              <w:r>
                <w:rPr>
                  <w:rStyle w:val="Hyperlink"/>
                </w:rPr>
                <w:t xml:space="preserve">second source version</w:t>
              </w:r>
            </w:hyperlink>
          </w:p>
        </w:tc>
        <w:tc>
          <w:tcPr/>
          <w:p>
            <w:pPr>
              <w:pStyle w:val="Compact"/>
            </w:pPr>
            <w:hyperlink r:id="rId110">
              <w:r>
                <w:rPr>
                  <w:rStyle w:val="Hyperlink"/>
                </w:rPr>
                <w:t xml:space="preserve">SCW16-Doc05</w:t>
              </w:r>
            </w:hyperlink>
          </w:p>
        </w:tc>
        <w:tc>
          <w:tcPr/>
          <w:p>
            <w:pPr>
              <w:pStyle w:val="Compact"/>
            </w:pPr>
            <w:r>
              <w:t xml:space="preserve">Biological-input summary for the assessment, including natural mortality, maturity, weight-at-age, and spawning-biomass calculations.</w:t>
            </w:r>
          </w:p>
        </w:tc>
        <w:tc>
          <w:tcPr/>
          <w:p>
            <w:pPr>
              <w:pStyle w:val="Compact"/>
            </w:pPr>
            <w:r>
              <w:t xml:space="preserve">Formal paper / biological input</w:t>
            </w:r>
          </w:p>
        </w:tc>
      </w:tr>
      <w:tr>
        <w:tc>
          <w:tcPr/>
          <w:p>
            <w:pPr>
              <w:pStyle w:val="Compact"/>
            </w:pPr>
            <w:hyperlink r:id="rId136">
              <w:r>
                <w:rPr>
                  <w:rStyle w:val="Hyperlink"/>
                </w:rPr>
                <w:t xml:space="preserve">2026 South-Central Chile jack mackerel fishery update</w:t>
              </w:r>
            </w:hyperlink>
          </w:p>
        </w:tc>
        <w:tc>
          <w:tcPr/>
          <w:p>
            <w:pPr>
              <w:pStyle w:val="Compact"/>
            </w:pPr>
            <w:r>
              <w:t xml:space="preserve">Presentation only; compressed PDF export of local PPTX</w:t>
            </w:r>
          </w:p>
        </w:tc>
        <w:tc>
          <w:tcPr/>
          <w:p>
            <w:pPr>
              <w:pStyle w:val="Compact"/>
            </w:pPr>
            <w:r>
              <w:t xml:space="preserve">Recent south-central Chile fishery information, including 2026 fishing conditions relevant to interpreting CPUE and availability.</w:t>
            </w:r>
          </w:p>
        </w:tc>
        <w:tc>
          <w:tcPr/>
          <w:p>
            <w:pPr>
              <w:pStyle w:val="Compact"/>
            </w:pPr>
            <w:r>
              <w:t xml:space="preserve">New 2026 evidence / CPUE caveat</w:t>
            </w:r>
          </w:p>
        </w:tc>
      </w:tr>
      <w:tr>
        <w:tc>
          <w:tcPr/>
          <w:p>
            <w:pPr>
              <w:pStyle w:val="Compact"/>
            </w:pPr>
            <w:hyperlink r:id="rId137">
              <w:r>
                <w:rPr>
                  <w:rStyle w:val="Hyperlink"/>
                </w:rPr>
                <w:t xml:space="preserve">CPUE discussion material</w:t>
              </w:r>
            </w:hyperlink>
          </w:p>
        </w:tc>
        <w:tc>
          <w:tcPr/>
          <w:p>
            <w:pPr>
              <w:pStyle w:val="Compact"/>
            </w:pPr>
            <w:r>
              <w:t xml:space="preserve">Presentation only; related to</w:t>
            </w:r>
            <w:r>
              <w:t xml:space="preserve"> </w:t>
            </w:r>
            <w:hyperlink r:id="rId98">
              <w:r>
                <w:rPr>
                  <w:rStyle w:val="Hyperlink"/>
                </w:rPr>
                <w:t xml:space="preserve">SCW16-Doc15</w:t>
              </w:r>
            </w:hyperlink>
          </w:p>
        </w:tc>
        <w:tc>
          <w:tcPr/>
          <w:p>
            <w:pPr>
              <w:pStyle w:val="Compact"/>
            </w:pPr>
            <w:r>
              <w:t xml:space="preserve">Supplemental CPUE discussion material, including spatial-distribution and catchability considerations for Peruvian CPUE interpretation.</w:t>
            </w:r>
          </w:p>
        </w:tc>
        <w:tc>
          <w:tcPr/>
          <w:p>
            <w:pPr>
              <w:pStyle w:val="Compact"/>
            </w:pPr>
            <w:r>
              <w:t xml:space="preserve">CPUE diagnostic / model-treatment discussion</w:t>
            </w:r>
          </w:p>
        </w:tc>
      </w:tr>
      <w:tr>
        <w:tc>
          <w:tcPr/>
          <w:p>
            <w:pPr>
              <w:pStyle w:val="Compact"/>
            </w:pPr>
            <w:hyperlink r:id="rId138">
              <w:r>
                <w:rPr>
                  <w:rStyle w:val="Hyperlink"/>
                </w:rPr>
                <w:t xml:space="preserve">Peruvian acoustic biomass discussion</w:t>
              </w:r>
            </w:hyperlink>
          </w:p>
        </w:tc>
        <w:tc>
          <w:tcPr/>
          <w:p>
            <w:pPr>
              <w:pStyle w:val="Compact"/>
            </w:pPr>
            <w:r>
              <w:t xml:space="preserve">Presentation only; related to</w:t>
            </w:r>
            <w:r>
              <w:t xml:space="preserve"> </w:t>
            </w:r>
            <w:hyperlink r:id="rId107">
              <w:r>
                <w:rPr>
                  <w:rStyle w:val="Hyperlink"/>
                </w:rPr>
                <w:t xml:space="preserve">SCW16-Doc16</w:t>
              </w:r>
            </w:hyperlink>
          </w:p>
        </w:tc>
        <w:tc>
          <w:tcPr/>
          <w:p>
            <w:pPr>
              <w:pStyle w:val="Compact"/>
            </w:pPr>
            <w:r>
              <w:t xml:space="preserve">Follow-up discussion of Peruvian acoustic biomass information, survey coverage, zero observations, and assessment-use questions.</w:t>
            </w:r>
          </w:p>
        </w:tc>
        <w:tc>
          <w:tcPr/>
          <w:p>
            <w:pPr>
              <w:pStyle w:val="Compact"/>
            </w:pPr>
            <w:r>
              <w:t xml:space="preserve">Acoustic-survey diagnostic / data request</w:t>
            </w:r>
          </w:p>
        </w:tc>
      </w:tr>
      <w:tr>
        <w:tc>
          <w:tcPr/>
          <w:p>
            <w:pPr>
              <w:pStyle w:val="Compact"/>
            </w:pPr>
            <w:hyperlink r:id="rId139">
              <w:r>
                <w:rPr>
                  <w:rStyle w:val="Hyperlink"/>
                </w:rPr>
                <w:t xml:space="preserve">Updated Peruvian jack mackerel length-frequency data</w:t>
              </w:r>
            </w:hyperlink>
          </w:p>
        </w:tc>
        <w:tc>
          <w:tcPr/>
          <w:p>
            <w:pPr>
              <w:pStyle w:val="Compact"/>
            </w:pPr>
            <w:hyperlink r:id="rId114">
              <w:r>
                <w:rPr>
                  <w:rStyle w:val="Hyperlink"/>
                </w:rPr>
                <w:t xml:space="preserve">SCW16-Doc14</w:t>
              </w:r>
            </w:hyperlink>
          </w:p>
        </w:tc>
        <w:tc>
          <w:tcPr/>
          <w:p>
            <w:pPr>
              <w:pStyle w:val="Compact"/>
            </w:pPr>
            <w:r>
              <w:t xml:space="preserve">Updated far-north Peruvian length-frequency information and sample-size considerations for assessment composition data. Source filenames retained in the crosswalk:</w:t>
            </w:r>
            <w:r>
              <w:t xml:space="preserve"> </w:t>
            </w:r>
            <w:r>
              <w:rPr>
                <w:rStyle w:val="VerbatimChar"/>
              </w:rPr>
              <w:t xml:space="preserve">03_05_Updated updated length-frequency ... .pdf</w:t>
            </w:r>
            <w:r>
              <w:t xml:space="preserve"> </w:t>
            </w:r>
            <w:r>
              <w:t xml:space="preserve">and</w:t>
            </w:r>
            <w:r>
              <w:t xml:space="preserve"> </w:t>
            </w:r>
            <w:r>
              <w:rPr>
                <w:rStyle w:val="VerbatimChar"/>
              </w:rPr>
              <w:t xml:space="preserve">03_CLUJAN_length_benchmark.pdf</w:t>
            </w:r>
            <w:r>
              <w:t xml:space="preserve"> </w:t>
            </w:r>
            <w:r>
              <w:t xml:space="preserve">are identical files.</w:t>
            </w:r>
          </w:p>
        </w:tc>
        <w:tc>
          <w:tcPr/>
          <w:p>
            <w:pPr>
              <w:pStyle w:val="Compact"/>
            </w:pPr>
            <w:r>
              <w:t xml:space="preserve">Biological input / composition data</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p>
      <w:pPr>
        <w:pStyle w:val="BodyText"/>
      </w:pPr>
      <w:r>
        <w:t xml:space="preserve">The diagnostic figure appendix previously appended to this meeting report has</w:t>
      </w:r>
      <w:r>
        <w:t xml:space="preserve"> </w:t>
      </w:r>
      <w:r>
        <w:t xml:space="preserve">been removed. It is replaced by the</w:t>
      </w:r>
      <w:r>
        <w:t xml:space="preserve"> </w:t>
      </w:r>
      <w:hyperlink r:id="rId140">
        <w:r>
          <w:rPr>
            <w:rStyle w:val="Hyperlink"/>
          </w:rPr>
          <w:t xml:space="preserve">SCW16 benchmark assessment report</w:t>
        </w:r>
      </w:hyperlink>
      <w:r>
        <w:t xml:space="preserve">,</w:t>
      </w:r>
      <w:r>
        <w:t xml:space="preserve"> </w:t>
      </w:r>
      <w:r>
        <w:t xml:space="preserve">which maintains the current model sequence and diagnostic material.</w:t>
      </w:r>
    </w:p>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6" Target="media/rId36.svg" /><Relationship Type="http://schemas.openxmlformats.org/officeDocument/2006/relationships/image" Id="rId41" Target="media/rId41.svg" /><Relationship Type="http://schemas.openxmlformats.org/officeDocument/2006/relationships/image" Id="rId46" Target="media/rId46.svg" /><Relationship Type="http://schemas.openxmlformats.org/officeDocument/2006/relationships/image" Id="rId51" Target="media/rId51.svg" /><Relationship Type="http://schemas.openxmlformats.org/officeDocument/2006/relationships/image" Id="rId56" Target="media/rId56.sv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63" Target="SCW16-Doc01.html" TargetMode="External" /><Relationship Type="http://schemas.openxmlformats.org/officeDocument/2006/relationships/hyperlink" Id="rId88" Target="SCW16-Doc02-CPUE_Coordination.html" TargetMode="External" /><Relationship Type="http://schemas.openxmlformats.org/officeDocument/2006/relationships/hyperlink" Id="rId90" Target="SCW16-Doc03-CPUE_MetaAnalysis.html" TargetMode="External" /><Relationship Type="http://schemas.openxmlformats.org/officeDocument/2006/relationships/hyperlink" Id="rId85" Target="SCW16-Doc04-Operating_Models.pdf" TargetMode="External" /><Relationship Type="http://schemas.openxmlformats.org/officeDocument/2006/relationships/hyperlink" Id="rId101" Target="SCW16-Doc06-Northern_Chile_Acoustic_STM.pdf" TargetMode="External" /><Relationship Type="http://schemas.openxmlformats.org/officeDocument/2006/relationships/hyperlink" Id="rId92" Target="SCW16-Doc07-Chile_CPUE_Effort_Creep.pdf" TargetMode="External" /><Relationship Type="http://schemas.openxmlformats.org/officeDocument/2006/relationships/hyperlink" Id="rId103" Target="SCW16-Doc08-Fishery_Dependent_Acoustics.pdf" TargetMode="External" /><Relationship Type="http://schemas.openxmlformats.org/officeDocument/2006/relationships/hyperlink" Id="rId105" Target="SCW16-Doc09-North_Acoustic_Density_sdmTMB.pdf" TargetMode="External" /><Relationship Type="http://schemas.openxmlformats.org/officeDocument/2006/relationships/hyperlink" Id="rId94" Target="SCW16-Doc10-Chile_CPUE_sdmTMB.pdf" TargetMode="External" /><Relationship Type="http://schemas.openxmlformats.org/officeDocument/2006/relationships/hyperlink" Id="rId117" Target="SCW16-Doc11-Jack_mack_data_qc.html" TargetMode="External" /><Relationship Type="http://schemas.openxmlformats.org/officeDocument/2006/relationships/hyperlink" Id="rId96" Target="SCW16-Doc12-Spatio-temporal_modelling_INLA_CPUE.pdf" TargetMode="External" /><Relationship Type="http://schemas.openxmlformats.org/officeDocument/2006/relationships/hyperlink" Id="rId112" Target="SCW16-Doc13-Peru_Length_Weight.pdf" TargetMode="External" /><Relationship Type="http://schemas.openxmlformats.org/officeDocument/2006/relationships/hyperlink" Id="rId114" Target="SCW16-Doc14-Peru_Length_Frequency.pdf" TargetMode="External" /><Relationship Type="http://schemas.openxmlformats.org/officeDocument/2006/relationships/hyperlink" Id="rId98" Target="SCW16-Doc15-Peru_CPUE.pdf" TargetMode="External" /><Relationship Type="http://schemas.openxmlformats.org/officeDocument/2006/relationships/hyperlink" Id="rId107" Target="SCW16-Doc16-Peru_Acoustic_Index.pdf" TargetMode="External" /><Relationship Type="http://schemas.openxmlformats.org/officeDocument/2006/relationships/hyperlink" Id="rId140" Target="SCW16.html" TargetMode="External" /><Relationship Type="http://schemas.openxmlformats.org/officeDocument/2006/relationships/hyperlink" Id="rId121" Target="day1/pdf/01_Historical%20review%20of%20hydroacoustic%20survey%20programs%20in%20north%E2%80%91central%20Chile.pdf" TargetMode="External" /><Relationship Type="http://schemas.openxmlformats.org/officeDocument/2006/relationships/hyperlink" Id="rId122" Target="day1/pdf/02_Preliminary%20results%20of%20the%202026%20north%E2%80%91central%20Chile%20hydroacoustic%20survey.pdf" TargetMode="External" /><Relationship Type="http://schemas.openxmlformats.org/officeDocument/2006/relationships/hyperlink" Id="rId123" Target="day1/pdf/03_Oceanography%20conditions%20during%20the%202026%20acoustic%20survey%20%28J.%20Letelier%2C%20IFOP%29.pdf" TargetMode="External" /><Relationship Type="http://schemas.openxmlformats.org/officeDocument/2006/relationships/hyperlink" Id="rId124" Target="day1/pdf/04_Spatio%E2%80%91temporal%20modeling%20of%20acoustic%20backscatter%20%28Sa%29%20from%20the%20north%E2%80%91central%20Chile.pdf" TargetMode="External" /><Relationship Type="http://schemas.openxmlformats.org/officeDocument/2006/relationships/hyperlink" Id="rId125" Target="day1/pdf/05_Spatial_modelling_acoustic_northern_Chile.pdf" TargetMode="External" /><Relationship Type="http://schemas.openxmlformats.org/officeDocument/2006/relationships/hyperlink" Id="rId126"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127" Target="day1/pdf/07_Stock%20Assessment%20Jack%20mackerel%20in%20Peru_C.Valdez.pdf" TargetMode="External" /><Relationship Type="http://schemas.openxmlformats.org/officeDocument/2006/relationships/hyperlink" Id="rId128" Target="day1/pdf/08_Sonar_Applications.pdf" TargetMode="External" /><Relationship Type="http://schemas.openxmlformats.org/officeDocument/2006/relationships/hyperlink" Id="rId129" Target="day1/pdf/09_Acoustics%20fishing%20vessels%20Peru%20V1.pdf" TargetMode="External" /><Relationship Type="http://schemas.openxmlformats.org/officeDocument/2006/relationships/hyperlink" Id="rId130" Target="day2/02_Implementation%20of%20an%20informed%20creep%20correction%20into%20the%20Chile%20Jack%20Mackerel%20CPUE%20Index.pptx" TargetMode="External" /><Relationship Type="http://schemas.openxmlformats.org/officeDocument/2006/relationships/hyperlink" Id="rId131" Target="day2/04_Standardization%20of%20Chilean%20jack%20mackerel%20CPUE%20fishery%20in%20central-southern%20Chile%20using%20Hierarchical%20Bayesian%20Models%20%28INLA%29.pptx" TargetMode="External" /><Relationship Type="http://schemas.openxmlformats.org/officeDocument/2006/relationships/hyperlink" Id="rId132" Target="day2/05_CPUE_Peru.pdf" TargetMode="External" /><Relationship Type="http://schemas.openxmlformats.org/officeDocument/2006/relationships/hyperlink" Id="rId133" Target="day2/06_CPUE%20standardisation%20offshore%20fleet.pptx" TargetMode="External" /><Relationship Type="http://schemas.openxmlformats.org/officeDocument/2006/relationships/hyperlink" Id="rId134" Target="day3/01_SCW16-Doc05_JM_Biology_summary_compressed.pdf" TargetMode="External" /><Relationship Type="http://schemas.openxmlformats.org/officeDocument/2006/relationships/hyperlink" Id="rId135" Target="day3/01_SCW16-Doc05_JM_Biology_summary_v2_compressed.pdf" TargetMode="External" /><Relationship Type="http://schemas.openxmlformats.org/officeDocument/2006/relationships/hyperlink" Id="rId136" Target="day3/03_02_CJM_SouthCentralFishery2026_compressed.pdf" TargetMode="External" /><Relationship Type="http://schemas.openxmlformats.org/officeDocument/2006/relationships/hyperlink" Id="rId137" Target="day3/03_03_discussion_CPUE_MGeronimo_compressed.pdf" TargetMode="External" /><Relationship Type="http://schemas.openxmlformats.org/officeDocument/2006/relationships/hyperlink" Id="rId138" Target="day3/03_04_EDiaz_acousticDiscussion-biomass_compressed.pdf" TargetMode="External" /><Relationship Type="http://schemas.openxmlformats.org/officeDocument/2006/relationships/hyperlink" Id="rId139" Target="day3/03_05_CLUJAN_length_frequency_compressed.pdf" TargetMode="External" /><Relationship Type="http://schemas.openxmlformats.org/officeDocument/2006/relationships/hyperlink" Id="rId71" Target="https://doi.org/10.1016/j.fishres.2018.10.013" TargetMode="External" /><Relationship Type="http://schemas.openxmlformats.org/officeDocument/2006/relationships/hyperlink" Id="rId70" Target="https://doi.org/10.1080/17451000.2014.995672" TargetMode="External" /><Relationship Type="http://schemas.openxmlformats.org/officeDocument/2006/relationships/hyperlink" Id="rId69" Target="https://doi.org/10.1093/icesjms/fsp088" TargetMode="External" /><Relationship Type="http://schemas.openxmlformats.org/officeDocument/2006/relationships/hyperlink" Id="rId110" Target="https://sprfmo.github.io/JM_biol/SCW16-Paper-05-JM_Biology.html" TargetMode="External" /><Relationship Type="http://schemas.openxmlformats.org/officeDocument/2006/relationships/hyperlink" Id="rId72" Target="https://sprfmo.int/assets/Meetings/02-SC/13th-SC-2025/Jack-Mackerel/SC13-JM04-Jack-Mackerel-CPUE-index-and-acoustic-biomass-in-the-south-central-Chile-up-to-2025-.pdf" TargetMode="External" /><Relationship Type="http://schemas.openxmlformats.org/officeDocument/2006/relationships/hyperlink" Id="rId73" Target="https://www.sprfmo.int/assets/Meetings/02-SC/13th-SC-2025/Jack-Mackerel/SC13-JM02-Update-on-CPUE-standardization-for-CJM-fishery-in-central-southern-Chile.pdf" TargetMode="External" /><Relationship Type="http://schemas.openxmlformats.org/officeDocument/2006/relationships/hyperlink" Id="rId74" Target="https://www.sprfmo.int/assets/Meetings/SC_WS/SCW14-Jack-Mackerel/SPRFMO-SC-JM-Benchmark-Workshop-2022-Report-SCW14.pdf"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63" Target="SCW16-Doc01.html" TargetMode="External" /><Relationship Type="http://schemas.openxmlformats.org/officeDocument/2006/relationships/hyperlink" Id="rId88" Target="SCW16-Doc02-CPUE_Coordination.html" TargetMode="External" /><Relationship Type="http://schemas.openxmlformats.org/officeDocument/2006/relationships/hyperlink" Id="rId90" Target="SCW16-Doc03-CPUE_MetaAnalysis.html" TargetMode="External" /><Relationship Type="http://schemas.openxmlformats.org/officeDocument/2006/relationships/hyperlink" Id="rId85" Target="SCW16-Doc04-Operating_Models.pdf" TargetMode="External" /><Relationship Type="http://schemas.openxmlformats.org/officeDocument/2006/relationships/hyperlink" Id="rId101" Target="SCW16-Doc06-Northern_Chile_Acoustic_STM.pdf" TargetMode="External" /><Relationship Type="http://schemas.openxmlformats.org/officeDocument/2006/relationships/hyperlink" Id="rId92" Target="SCW16-Doc07-Chile_CPUE_Effort_Creep.pdf" TargetMode="External" /><Relationship Type="http://schemas.openxmlformats.org/officeDocument/2006/relationships/hyperlink" Id="rId103" Target="SCW16-Doc08-Fishery_Dependent_Acoustics.pdf" TargetMode="External" /><Relationship Type="http://schemas.openxmlformats.org/officeDocument/2006/relationships/hyperlink" Id="rId105" Target="SCW16-Doc09-North_Acoustic_Density_sdmTMB.pdf" TargetMode="External" /><Relationship Type="http://schemas.openxmlformats.org/officeDocument/2006/relationships/hyperlink" Id="rId94" Target="SCW16-Doc10-Chile_CPUE_sdmTMB.pdf" TargetMode="External" /><Relationship Type="http://schemas.openxmlformats.org/officeDocument/2006/relationships/hyperlink" Id="rId117" Target="SCW16-Doc11-Jack_mack_data_qc.html" TargetMode="External" /><Relationship Type="http://schemas.openxmlformats.org/officeDocument/2006/relationships/hyperlink" Id="rId96" Target="SCW16-Doc12-Spatio-temporal_modelling_INLA_CPUE.pdf" TargetMode="External" /><Relationship Type="http://schemas.openxmlformats.org/officeDocument/2006/relationships/hyperlink" Id="rId112" Target="SCW16-Doc13-Peru_Length_Weight.pdf" TargetMode="External" /><Relationship Type="http://schemas.openxmlformats.org/officeDocument/2006/relationships/hyperlink" Id="rId114" Target="SCW16-Doc14-Peru_Length_Frequency.pdf" TargetMode="External" /><Relationship Type="http://schemas.openxmlformats.org/officeDocument/2006/relationships/hyperlink" Id="rId98" Target="SCW16-Doc15-Peru_CPUE.pdf" TargetMode="External" /><Relationship Type="http://schemas.openxmlformats.org/officeDocument/2006/relationships/hyperlink" Id="rId107" Target="SCW16-Doc16-Peru_Acoustic_Index.pdf" TargetMode="External" /><Relationship Type="http://schemas.openxmlformats.org/officeDocument/2006/relationships/hyperlink" Id="rId140" Target="SCW16.html" TargetMode="External" /><Relationship Type="http://schemas.openxmlformats.org/officeDocument/2006/relationships/hyperlink" Id="rId121" Target="day1/pdf/01_Historical%20review%20of%20hydroacoustic%20survey%20programs%20in%20north%E2%80%91central%20Chile.pdf" TargetMode="External" /><Relationship Type="http://schemas.openxmlformats.org/officeDocument/2006/relationships/hyperlink" Id="rId122" Target="day1/pdf/02_Preliminary%20results%20of%20the%202026%20north%E2%80%91central%20Chile%20hydroacoustic%20survey.pdf" TargetMode="External" /><Relationship Type="http://schemas.openxmlformats.org/officeDocument/2006/relationships/hyperlink" Id="rId123" Target="day1/pdf/03_Oceanography%20conditions%20during%20the%202026%20acoustic%20survey%20%28J.%20Letelier%2C%20IFOP%29.pdf" TargetMode="External" /><Relationship Type="http://schemas.openxmlformats.org/officeDocument/2006/relationships/hyperlink" Id="rId124" Target="day1/pdf/04_Spatio%E2%80%91temporal%20modeling%20of%20acoustic%20backscatter%20%28Sa%29%20from%20the%20north%E2%80%91central%20Chile.pdf" TargetMode="External" /><Relationship Type="http://schemas.openxmlformats.org/officeDocument/2006/relationships/hyperlink" Id="rId125" Target="day1/pdf/05_Spatial_modelling_acoustic_northern_Chile.pdf" TargetMode="External" /><Relationship Type="http://schemas.openxmlformats.org/officeDocument/2006/relationships/hyperlink" Id="rId126"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127" Target="day1/pdf/07_Stock%20Assessment%20Jack%20mackerel%20in%20Peru_C.Valdez.pdf" TargetMode="External" /><Relationship Type="http://schemas.openxmlformats.org/officeDocument/2006/relationships/hyperlink" Id="rId128" Target="day1/pdf/08_Sonar_Applications.pdf" TargetMode="External" /><Relationship Type="http://schemas.openxmlformats.org/officeDocument/2006/relationships/hyperlink" Id="rId129" Target="day1/pdf/09_Acoustics%20fishing%20vessels%20Peru%20V1.pdf" TargetMode="External" /><Relationship Type="http://schemas.openxmlformats.org/officeDocument/2006/relationships/hyperlink" Id="rId130" Target="day2/02_Implementation%20of%20an%20informed%20creep%20correction%20into%20the%20Chile%20Jack%20Mackerel%20CPUE%20Index.pptx" TargetMode="External" /><Relationship Type="http://schemas.openxmlformats.org/officeDocument/2006/relationships/hyperlink" Id="rId131" Target="day2/04_Standardization%20of%20Chilean%20jack%20mackerel%20CPUE%20fishery%20in%20central-southern%20Chile%20using%20Hierarchical%20Bayesian%20Models%20%28INLA%29.pptx" TargetMode="External" /><Relationship Type="http://schemas.openxmlformats.org/officeDocument/2006/relationships/hyperlink" Id="rId132" Target="day2/05_CPUE_Peru.pdf" TargetMode="External" /><Relationship Type="http://schemas.openxmlformats.org/officeDocument/2006/relationships/hyperlink" Id="rId133" Target="day2/06_CPUE%20standardisation%20offshore%20fleet.pptx" TargetMode="External" /><Relationship Type="http://schemas.openxmlformats.org/officeDocument/2006/relationships/hyperlink" Id="rId134" Target="day3/01_SCW16-Doc05_JM_Biology_summary_compressed.pdf" TargetMode="External" /><Relationship Type="http://schemas.openxmlformats.org/officeDocument/2006/relationships/hyperlink" Id="rId135" Target="day3/01_SCW16-Doc05_JM_Biology_summary_v2_compressed.pdf" TargetMode="External" /><Relationship Type="http://schemas.openxmlformats.org/officeDocument/2006/relationships/hyperlink" Id="rId136" Target="day3/03_02_CJM_SouthCentralFishery2026_compressed.pdf" TargetMode="External" /><Relationship Type="http://schemas.openxmlformats.org/officeDocument/2006/relationships/hyperlink" Id="rId137" Target="day3/03_03_discussion_CPUE_MGeronimo_compressed.pdf" TargetMode="External" /><Relationship Type="http://schemas.openxmlformats.org/officeDocument/2006/relationships/hyperlink" Id="rId138" Target="day3/03_04_EDiaz_acousticDiscussion-biomass_compressed.pdf" TargetMode="External" /><Relationship Type="http://schemas.openxmlformats.org/officeDocument/2006/relationships/hyperlink" Id="rId139" Target="day3/03_05_CLUJAN_length_frequency_compressed.pdf" TargetMode="External" /><Relationship Type="http://schemas.openxmlformats.org/officeDocument/2006/relationships/hyperlink" Id="rId71" Target="https://doi.org/10.1016/j.fishres.2018.10.013" TargetMode="External" /><Relationship Type="http://schemas.openxmlformats.org/officeDocument/2006/relationships/hyperlink" Id="rId70" Target="https://doi.org/10.1080/17451000.2014.995672" TargetMode="External" /><Relationship Type="http://schemas.openxmlformats.org/officeDocument/2006/relationships/hyperlink" Id="rId69" Target="https://doi.org/10.1093/icesjms/fsp088" TargetMode="External" /><Relationship Type="http://schemas.openxmlformats.org/officeDocument/2006/relationships/hyperlink" Id="rId110" Target="https://sprfmo.github.io/JM_biol/SCW16-Paper-05-JM_Biology.html" TargetMode="External" /><Relationship Type="http://schemas.openxmlformats.org/officeDocument/2006/relationships/hyperlink" Id="rId72" Target="https://sprfmo.int/assets/Meetings/02-SC/13th-SC-2025/Jack-Mackerel/SC13-JM04-Jack-Mackerel-CPUE-index-and-acoustic-biomass-in-the-south-central-Chile-up-to-2025-.pdf" TargetMode="External" /><Relationship Type="http://schemas.openxmlformats.org/officeDocument/2006/relationships/hyperlink" Id="rId73" Target="https://www.sprfmo.int/assets/Meetings/02-SC/13th-SC-2025/Jack-Mackerel/SC13-JM02-Update-on-CPUE-standardization-for-CJM-fishery-in-central-southern-Chile.pdf" TargetMode="External" /><Relationship Type="http://schemas.openxmlformats.org/officeDocument/2006/relationships/hyperlink" Id="rId74" Target="https://www.sprfmo.int/assets/Meetings/SC_WS/SCW14-Jack-Mackerel/SPRFMO-SC-JM-Benchmark-Workshop-2022-Report-SCW14.pdf"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2026-08-09T17:13:35Z</dcterms:created>
  <dcterms:modified xsi:type="dcterms:W3CDTF">2026-08-09T17:13:35Z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