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31.png" ContentType="image/png"/>
  <Override PartName="/word/media/rId47.png" ContentType="image/png"/>
  <Override PartName="/word/media/rId98.png" ContentType="image/png"/>
  <Override PartName="/word/media/rId106.png" ContentType="image/png"/>
  <Override PartName="/word/media/rId114.png" ContentType="image/png"/>
  <Override PartName="/word/media/rId94.png" ContentType="image/png"/>
  <Override PartName="/word/media/rId102.png" ContentType="image/png"/>
  <Override PartName="/word/media/rId110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 of the Management Strategy Evaluation (MSE) workshop, July 14-18, 2025</w:t>
      </w:r>
    </w:p>
    <w:p>
      <w:pPr>
        <w:pStyle w:val="Date"/>
      </w:pPr>
      <w:r>
        <w:t xml:space="preserve">2025-08-12</w:t>
      </w:r>
    </w:p>
    <w:bookmarkStart w:id="21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The Jack Mackerel Management Strategy Evaluation (MSE) Technical</w:t>
      </w:r>
      <w:r>
        <w:t xml:space="preserve"> </w:t>
      </w:r>
      <w:r>
        <w:t xml:space="preserve">Workshop brought together scientists, technical experts, and external</w:t>
      </w:r>
      <w:r>
        <w:t xml:space="preserve"> </w:t>
      </w:r>
      <w:r>
        <w:t xml:space="preserve">reviewers to assess recent progress and refine the MSE framework being</w:t>
      </w:r>
      <w:r>
        <w:t xml:space="preserve"> </w:t>
      </w:r>
      <w:r>
        <w:t xml:space="preserve">developed under South Pacific Regional Fisheries Management Organisation (SPRFMO). The primary goal of the workshop was to ensure that the modeling framework and management procedures (Management Procedures (MPs)) are</w:t>
      </w:r>
      <w:r>
        <w:t xml:space="preserve"> </w:t>
      </w:r>
      <w:r>
        <w:t xml:space="preserve">scientifically sound, technically robust and transparent, and aligned with</w:t>
      </w:r>
      <w:r>
        <w:t xml:space="preserve"> </w:t>
      </w:r>
      <w:r>
        <w:t xml:space="preserve">management priorities as outlined by the Commission (e.g.,</w:t>
      </w:r>
      <w:r>
        <w:t xml:space="preserve"> </w:t>
      </w:r>
      <w:r>
        <w:t xml:space="preserve">SPRFMO Jack Mackerel Working Group (2025)</w:t>
      </w:r>
      <w:r>
        <w:t xml:space="preserve">.</w:t>
      </w:r>
    </w:p>
    <w:bookmarkStart w:id="20" w:name="key-outcomes-and-advancements"/>
    <w:p>
      <w:pPr>
        <w:pStyle w:val="Heading3"/>
      </w:pPr>
      <w:r>
        <w:t xml:space="preserve">Key Outcomes and Advancements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MSE Framework Consolidation</w:t>
      </w:r>
      <w:r>
        <w:br/>
      </w:r>
      <w:r>
        <w:t xml:space="preserve">Participants reviewed the jmMSE software package, confirming that it</w:t>
      </w:r>
      <w:r>
        <w:t xml:space="preserve"> </w:t>
      </w:r>
      <w:r>
        <w:t xml:space="preserve">provides a robust and flexible platform for conducting MSEs. The</w:t>
      </w:r>
      <w:r>
        <w:t xml:space="preserve"> </w:t>
      </w:r>
      <w:r>
        <w:t xml:space="preserve">package includes a reference set of operating models conditioned to</w:t>
      </w:r>
      <w:r>
        <w:t xml:space="preserve"> </w:t>
      </w:r>
      <w:r>
        <w:t xml:space="preserve">historical data using MCMC, an efficient MP tuning algorithm, and</w:t>
      </w:r>
      <w:r>
        <w:t xml:space="preserve"> </w:t>
      </w:r>
      <w:r>
        <w:t xml:space="preserve">tools for visualizing and comparing results.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Robustness Testing</w:t>
      </w:r>
      <w:r>
        <w:br/>
      </w:r>
      <w:r>
        <w:t xml:space="preserve">The workshop clarified the role and scope of robustness tests. These</w:t>
      </w:r>
      <w:r>
        <w:t xml:space="preserve"> </w:t>
      </w:r>
      <w:r>
        <w:t xml:space="preserve">tests are intended to explore how CMPs perform under a range of</w:t>
      </w:r>
      <w:r>
        <w:t xml:space="preserve"> </w:t>
      </w:r>
      <w:r>
        <w:t xml:space="preserve">plausible yet uncertain scenarios rather than represent definitive</w:t>
      </w:r>
      <w:r>
        <w:t xml:space="preserve"> </w:t>
      </w:r>
      <w:r>
        <w:t xml:space="preserve">alternative models. Scenarios reflecting changes in recruitment,</w:t>
      </w:r>
      <w:r>
        <w:t xml:space="preserve"> </w:t>
      </w:r>
      <w:r>
        <w:t xml:space="preserve">spatial availability, environmental regime shifts (e.g., El Niño),</w:t>
      </w:r>
      <w:r>
        <w:t xml:space="preserve"> </w:t>
      </w:r>
      <w:r>
        <w:t xml:space="preserve">and stock structure were reviewed and refined for implementation.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Indicator-Driven MPs and HCR logic</w:t>
      </w:r>
      <w:r>
        <w:br/>
      </w:r>
      <w:r>
        <w:t xml:space="preserve">Empirical MPs based on one or more indicators were evaluated, with</w:t>
      </w:r>
      <w:r>
        <w:t xml:space="preserve"> </w:t>
      </w:r>
      <w:r>
        <w:t xml:space="preserve">focus on two formulations:</w:t>
      </w:r>
    </w:p>
    <w:p>
      <w:pPr>
        <w:pStyle w:val="Compact"/>
        <w:numPr>
          <w:ilvl w:val="1"/>
          <w:numId w:val="1002"/>
        </w:numPr>
      </w:pPr>
      <w:r>
        <w:t xml:space="preserve">TAC as a product of a target and a multiplier from an index.</w:t>
      </w:r>
    </w:p>
    <w:p>
      <w:pPr>
        <w:pStyle w:val="Compact"/>
        <w:numPr>
          <w:ilvl w:val="1"/>
          <w:numId w:val="1002"/>
        </w:numPr>
      </w:pPr>
      <w:r>
        <w:t xml:space="preserve">TAC adjusted incrementally from the previous year based on index</w:t>
      </w:r>
      <w:r>
        <w:t xml:space="preserve"> </w:t>
      </w:r>
      <w:r>
        <w:t xml:space="preserve">signals.</w:t>
      </w:r>
    </w:p>
    <w:p>
      <w:pPr>
        <w:numPr>
          <w:ilvl w:val="0"/>
          <w:numId w:val="1000"/>
        </w:numPr>
      </w:pPr>
      <w:r>
        <w:t xml:space="preserve">We noted that the high current stock status (well within the Commission-defined</w:t>
      </w:r>
      <w:r>
        <w:t xml:space="preserve"> </w:t>
      </w:r>
      <w:r>
        <w:t xml:space="preserve">“green zone”</w:t>
      </w:r>
      <w:r>
        <w:t xml:space="preserve"> </w:t>
      </w:r>
      <w:r>
        <w:t xml:space="preserve">(indicating stock levels at or above target biomass)) tended to increase catch levels when tuning to achieve a</w:t>
      </w:r>
      <w:r>
        <w:t xml:space="preserve"> </w:t>
      </w:r>
      <w:r>
        <w:t xml:space="preserve">desired P(Green). This can result in declining stock trends later in</w:t>
      </w:r>
      <w:r>
        <w:t xml:space="preserve"> </w:t>
      </w:r>
      <w:r>
        <w:t xml:space="preserve">the projection period, even when the short-term performance criteria</w:t>
      </w:r>
      <w:r>
        <w:t xml:space="preserve"> </w:t>
      </w:r>
      <w:r>
        <w:t xml:space="preserve">are met.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Recommendations and Refinements</w:t>
      </w:r>
      <w:r>
        <w:br/>
      </w:r>
      <w:r>
        <w:t xml:space="preserve">The participants recommended additional diagnostics and refinements,</w:t>
      </w:r>
      <w:r>
        <w:t xml:space="preserve"> </w:t>
      </w:r>
      <w:r>
        <w:t xml:space="preserve">including:</w:t>
      </w:r>
    </w:p>
    <w:p>
      <w:pPr>
        <w:pStyle w:val="Compact"/>
        <w:numPr>
          <w:ilvl w:val="1"/>
          <w:numId w:val="1003"/>
        </w:numPr>
      </w:pPr>
      <w:r>
        <w:t xml:space="preserve">Adding plots of how index trajectories relate to TACs.</w:t>
      </w:r>
    </w:p>
    <w:p>
      <w:pPr>
        <w:pStyle w:val="Compact"/>
        <w:numPr>
          <w:ilvl w:val="1"/>
          <w:numId w:val="1003"/>
        </w:numPr>
      </w:pPr>
      <w:r>
        <w:t xml:space="preserve">Including new performance metrics that reflect stock status and</w:t>
      </w:r>
      <w:r>
        <w:t xml:space="preserve"> </w:t>
      </w:r>
      <w:r>
        <w:t xml:space="preserve">trends in the final projection years.</w:t>
      </w:r>
    </w:p>
    <w:p>
      <w:pPr>
        <w:pStyle w:val="Compact"/>
        <w:numPr>
          <w:ilvl w:val="1"/>
          <w:numId w:val="1003"/>
        </w:numPr>
      </w:pPr>
      <w:r>
        <w:t xml:space="preserve">Ensuring consistent treatment of selectivity, weights-at-age,</w:t>
      </w:r>
      <w:r>
        <w:t xml:space="preserve"> </w:t>
      </w:r>
      <w:r>
        <w:t xml:space="preserve">and catch splits in both projections and reference point</w:t>
      </w:r>
      <w:r>
        <w:t xml:space="preserve"> </w:t>
      </w:r>
      <w:r>
        <w:t xml:space="preserve">calculations.</w:t>
      </w:r>
    </w:p>
    <w:p>
      <w:pPr>
        <w:pStyle w:val="Compact"/>
        <w:numPr>
          <w:ilvl w:val="1"/>
          <w:numId w:val="1003"/>
        </w:numPr>
      </w:pPr>
      <w:r>
        <w:t xml:space="preserve">Exploring robustness scenarios that account for variability in</w:t>
      </w:r>
      <w:r>
        <w:t xml:space="preserve"> </w:t>
      </w:r>
      <w:r>
        <w:t xml:space="preserve">fleet selectivity and biological assumptions, particularly where</w:t>
      </w:r>
      <w:r>
        <w:t xml:space="preserve"> </w:t>
      </w:r>
      <w:r>
        <w:t xml:space="preserve">CPUE is used as an input.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Documentation and Transparency</w:t>
      </w:r>
      <w:r>
        <w:br/>
      </w:r>
      <w:r>
        <w:t xml:space="preserve">The participants emphasized the importance of transparency in documenting</w:t>
      </w:r>
      <w:r>
        <w:t xml:space="preserve"> </w:t>
      </w:r>
      <w:r>
        <w:t xml:space="preserve">model assumptions, data sources, and MP structure. The group agreed</w:t>
      </w:r>
      <w:r>
        <w:t xml:space="preserve"> </w:t>
      </w:r>
      <w:r>
        <w:t xml:space="preserve">on priorities for improving documentation and sharing annotated</w:t>
      </w:r>
      <w:r>
        <w:t xml:space="preserve"> </w:t>
      </w:r>
      <w:r>
        <w:t xml:space="preserve">examples of MP behavior.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Next Steps and Implementation</w:t>
      </w:r>
      <w:r>
        <w:br/>
      </w:r>
      <w:r>
        <w:t xml:space="preserve">The next phase of work will focus on finalizing the candidate MPs,</w:t>
      </w:r>
      <w:r>
        <w:t xml:space="preserve"> </w:t>
      </w:r>
      <w:r>
        <w:t xml:space="preserve">running the robustness tests, and summarizing trade-offs across key</w:t>
      </w:r>
      <w:r>
        <w:t xml:space="preserve"> </w:t>
      </w:r>
      <w:r>
        <w:t xml:space="preserve">performance indicators. In discussions we also identified future</w:t>
      </w:r>
      <w:r>
        <w:t xml:space="preserve"> </w:t>
      </w:r>
      <w:r>
        <w:t xml:space="preserve">reporting needs, including summary tables and figures for managers,</w:t>
      </w:r>
      <w:r>
        <w:t xml:space="preserve"> </w:t>
      </w:r>
      <w:r>
        <w:t xml:space="preserve">and exploration of reference points and evaluation criteria beyond</w:t>
      </w:r>
      <w:r>
        <w:t xml:space="preserve"> </w:t>
      </w:r>
      <w:r>
        <w:t xml:space="preserve">the green zone probability.</w:t>
      </w:r>
    </w:p>
    <w:bookmarkEnd w:id="20"/>
    <w:bookmarkEnd w:id="21"/>
    <w:bookmarkStart w:id="30" w:name="X66600d8127f0bae7c2b47a5775f1b6d5477728b"/>
    <w:p>
      <w:pPr>
        <w:pStyle w:val="Heading1"/>
      </w:pPr>
      <w:r>
        <w:t xml:space="preserve">Background on the 2025 Commission meeting proposal</w:t>
      </w:r>
    </w:p>
    <w:p>
      <w:pPr>
        <w:pStyle w:val="FirstParagraph"/>
      </w:pPr>
      <w:r>
        <w:t xml:space="preserve">During the 2025 Commission meeting (COMM13), Chile proposed a deviation</w:t>
      </w:r>
      <w:r>
        <w:t xml:space="preserve"> </w:t>
      </w:r>
      <w:r>
        <w:t xml:space="preserve">from the established Management Procedure (MP) guidance by recommending</w:t>
      </w:r>
      <w:r>
        <w:t xml:space="preserve"> </w:t>
      </w:r>
      <w:r>
        <w:t xml:space="preserve">a Total Allowable Catch (TAC) for</w:t>
      </w:r>
      <w:r>
        <w:t xml:space="preserve"> </w:t>
      </w:r>
      <w:r>
        <w:rPr>
          <w:i/>
          <w:iCs/>
        </w:rPr>
        <w:t xml:space="preserve">Trachurus murphyi</w:t>
      </w:r>
      <w:r>
        <w:t xml:space="preserve"> </w:t>
      </w:r>
      <w:r>
        <w:t xml:space="preserve">of 1.785 million</w:t>
      </w:r>
      <w:r>
        <w:t xml:space="preserve"> </w:t>
      </w:r>
      <w:r>
        <w:t xml:space="preserve">tonnes for 2025</w:t>
      </w:r>
      <w:r>
        <w:rPr>
          <w:rStyle w:val="FootnoteReference"/>
        </w:rPr>
        <w:footnoteReference w:id="22"/>
      </w:r>
      <w:r>
        <w:t xml:space="preserve">. This proposal exceeded the 15% year-on-year TAC</w:t>
      </w:r>
      <w:r>
        <w:t xml:space="preserve"> </w:t>
      </w:r>
      <w:r>
        <w:t xml:space="preserve">change limit adopted by the Commission as part of its management</w:t>
      </w:r>
      <w:r>
        <w:t xml:space="preserve"> </w:t>
      </w:r>
      <w:r>
        <w:t xml:space="preserve">framework</w:t>
      </w:r>
      <w:r>
        <w:rPr>
          <w:rStyle w:val="FootnoteReference"/>
        </w:rPr>
        <w:footnoteReference w:id="23"/>
      </w:r>
      <w:r>
        <w:t xml:space="preserve">. Chile based its proposal on Article 4.3 of the</w:t>
      </w:r>
      <w:r>
        <w:t xml:space="preserve"> </w:t>
      </w:r>
      <w:r>
        <w:t xml:space="preserve">Convention, asserting the need to consider measures by coastal states</w:t>
      </w:r>
      <w:r>
        <w:t xml:space="preserve"> </w:t>
      </w:r>
      <w:r>
        <w:t xml:space="preserve">and highlighting that the stock had remained above MSY reference levels</w:t>
      </w:r>
      <w:r>
        <w:t xml:space="preserve"> </w:t>
      </w:r>
      <w:r>
        <w:t xml:space="preserve">for over five consecutive years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BodyText"/>
      </w:pPr>
      <w:r>
        <w:t xml:space="preserve">Chile also cited Scientific Committee (SC) analysis, particularly</w:t>
      </w:r>
      <w:r>
        <w:t xml:space="preserve"> </w:t>
      </w:r>
      <w:r>
        <w:t xml:space="preserve">paragraph 136 of the SC12 Report, which indicated that the stock was in</w:t>
      </w:r>
      <w:r>
        <w:t xml:space="preserve"> </w:t>
      </w:r>
      <w:r>
        <w:t xml:space="preserve">Tier 3 of the adopted Harvest Control Rule (HCR), theoretically allowing</w:t>
      </w:r>
      <w:r>
        <w:t xml:space="preserve"> </w:t>
      </w:r>
      <w:r>
        <w:t xml:space="preserve">for a much higher TAC (up to 4.997 Mt) if the full HCR were applied</w:t>
      </w:r>
      <w:r>
        <w:rPr>
          <w:rStyle w:val="FootnoteReference"/>
        </w:rPr>
        <w:footnoteReference w:id="25"/>
      </w:r>
      <w:r>
        <w:t xml:space="preserve">.</w:t>
      </w:r>
      <w:r>
        <w:t xml:space="preserve"> </w:t>
      </w:r>
      <w:r>
        <w:t xml:space="preserve">However, as per the Commission’s directive to the SC (COMM3-Annex C),</w:t>
      </w:r>
      <w:r>
        <w:t xml:space="preserve"> </w:t>
      </w:r>
      <w:r>
        <w:t xml:space="preserve">catch advice was constrained to not exceed a 15% increase, consistent</w:t>
      </w:r>
      <w:r>
        <w:t xml:space="preserve"> </w:t>
      </w:r>
      <w:r>
        <w:t xml:space="preserve">with the MP in place</w:t>
      </w:r>
      <w:r>
        <w:rPr>
          <w:rStyle w:val="FootnoteReference"/>
        </w:rPr>
        <w:footnoteReference w:id="26"/>
      </w:r>
      <w:r>
        <w:t xml:space="preserve">.</w:t>
      </w:r>
    </w:p>
    <w:p>
      <w:pPr>
        <w:pStyle w:val="BodyText"/>
      </w:pPr>
      <w:r>
        <w:t xml:space="preserve">The Scientific Committee Chair emphasized in plenary that the SC’s</w:t>
      </w:r>
      <w:r>
        <w:t xml:space="preserve"> </w:t>
      </w:r>
      <w:r>
        <w:t xml:space="preserve">advice adhered to the current MP, limiting TAC changes to ±15% to</w:t>
      </w:r>
      <w:r>
        <w:t xml:space="preserve"> </w:t>
      </w:r>
      <w:r>
        <w:t xml:space="preserve">account for uncertainties, including potential model misspecification.</w:t>
      </w:r>
      <w:r>
        <w:t xml:space="preserve"> </w:t>
      </w:r>
      <w:r>
        <w:t xml:space="preserve">Paragraphs 136 and 137 of the SC12 report note that this constraint was</w:t>
      </w:r>
      <w:r>
        <w:t xml:space="preserve"> </w:t>
      </w:r>
      <w:r>
        <w:t xml:space="preserve">not intended to account for rebuilding potential, but rather to ensure</w:t>
      </w:r>
      <w:r>
        <w:t xml:space="preserve"> </w:t>
      </w:r>
      <w:r>
        <w:t xml:space="preserve">precautionary stability and reduce the risk of large interannual TAC</w:t>
      </w:r>
      <w:r>
        <w:t xml:space="preserve"> </w:t>
      </w:r>
      <w:r>
        <w:t xml:space="preserve">fluctuations</w:t>
      </w:r>
      <w:r>
        <w:rPr>
          <w:rStyle w:val="FootnoteReference"/>
        </w:rPr>
        <w:footnoteReference w:id="27"/>
      </w:r>
      <w:r>
        <w:t xml:space="preserve">.</w:t>
      </w:r>
    </w:p>
    <w:p>
      <w:pPr>
        <w:pStyle w:val="BodyText"/>
      </w:pPr>
      <w:r>
        <w:t xml:space="preserve">Chile revised its proposal multiple times (COMM13-Prop01_rev1 through</w:t>
      </w:r>
      <w:r>
        <w:t xml:space="preserve"> </w:t>
      </w:r>
      <w:r>
        <w:t xml:space="preserve">rev5) to address Member concerns, including scientific justification,</w:t>
      </w:r>
      <w:r>
        <w:t xml:space="preserve"> </w:t>
      </w:r>
      <w:r>
        <w:t xml:space="preserve">process adherence, and future management stability. Nevertheless, many</w:t>
      </w:r>
      <w:r>
        <w:t xml:space="preserve"> </w:t>
      </w:r>
      <w:r>
        <w:t xml:space="preserve">Members expressed concern that implementing a TAC increase beyond 15%</w:t>
      </w:r>
      <w:r>
        <w:t xml:space="preserve"> </w:t>
      </w:r>
      <w:r>
        <w:t xml:space="preserve">ahead of finalizing the MSE would undermine the credibility of the HCR</w:t>
      </w:r>
      <w:r>
        <w:t xml:space="preserve"> </w:t>
      </w:r>
      <w:r>
        <w:t xml:space="preserve">framework and create challenges for future rule-based decisions.</w:t>
      </w:r>
    </w:p>
    <w:p>
      <w:pPr>
        <w:pStyle w:val="BodyText"/>
      </w:pPr>
      <w:r>
        <w:t xml:space="preserve">Chile also referred to Table 37 of Annex 7 of the SC12 report, which</w:t>
      </w:r>
      <w:r>
        <w:t xml:space="preserve"> </w:t>
      </w:r>
      <w:r>
        <w:t xml:space="preserve">showed that biomass remained above target levels under various fishing</w:t>
      </w:r>
      <w:r>
        <w:t xml:space="preserve"> </w:t>
      </w:r>
      <w:r>
        <w:t xml:space="preserve">scenarios. However, the SC Chair cautioned that these projections were</w:t>
      </w:r>
      <w:r>
        <w:t xml:space="preserve"> </w:t>
      </w:r>
      <w:r>
        <w:t xml:space="preserve">illustrative only and not intended for management advice</w:t>
      </w:r>
      <w:r>
        <w:rPr>
          <w:rStyle w:val="FootnoteReference"/>
        </w:rPr>
        <w:footnoteReference w:id="28"/>
      </w:r>
      <w:r>
        <w:t xml:space="preserve">. The SC</w:t>
      </w:r>
      <w:r>
        <w:t xml:space="preserve"> </w:t>
      </w:r>
      <w:r>
        <w:t xml:space="preserve">further stressed that alternative scenarios outside the adopted HCR</w:t>
      </w:r>
      <w:r>
        <w:t xml:space="preserve"> </w:t>
      </w:r>
      <w:r>
        <w:t xml:space="preserve">should be evaluated through MSE before informing decisions.</w:t>
      </w:r>
    </w:p>
    <w:p>
      <w:pPr>
        <w:pStyle w:val="BodyText"/>
      </w:pPr>
      <w:r>
        <w:t xml:space="preserve">Following intensive discussions and compromises, the Commission adopted</w:t>
      </w:r>
      <w:r>
        <w:t xml:space="preserve"> </w:t>
      </w:r>
      <w:r>
        <w:t xml:space="preserve">a revised proposal (COMM13-Prop01_rev5), establishing a one-year TAC of</w:t>
      </w:r>
      <w:r>
        <w:t xml:space="preserve"> </w:t>
      </w:r>
      <w:r>
        <w:t xml:space="preserve">1.785 Mt for 2025 while reaffirming:</w:t>
      </w:r>
    </w:p>
    <w:p>
      <w:pPr>
        <w:pStyle w:val="Compact"/>
        <w:numPr>
          <w:ilvl w:val="0"/>
          <w:numId w:val="1004"/>
        </w:numPr>
      </w:pPr>
      <w:r>
        <w:t xml:space="preserve">The importance of completing the MSE and adopting a revised MP and</w:t>
      </w:r>
      <w:r>
        <w:t xml:space="preserve"> </w:t>
      </w:r>
      <w:r>
        <w:t xml:space="preserve">HCR by 2026;</w:t>
      </w:r>
    </w:p>
    <w:p>
      <w:pPr>
        <w:pStyle w:val="Compact"/>
        <w:numPr>
          <w:ilvl w:val="0"/>
          <w:numId w:val="1004"/>
        </w:numPr>
      </w:pPr>
      <w:r>
        <w:t xml:space="preserve">The temporary nature of the 2025 deviation;</w:t>
      </w:r>
    </w:p>
    <w:p>
      <w:pPr>
        <w:pStyle w:val="Compact"/>
        <w:numPr>
          <w:ilvl w:val="0"/>
          <w:numId w:val="1004"/>
        </w:numPr>
      </w:pPr>
      <w:r>
        <w:t xml:space="preserve">The application of Article 20(5) of the Convention to enable</w:t>
      </w:r>
      <w:r>
        <w:t xml:space="preserve"> </w:t>
      </w:r>
      <w:r>
        <w:t xml:space="preserve">responsive management should the stock decline</w:t>
      </w:r>
      <w:r>
        <w:rPr>
          <w:rStyle w:val="FootnoteReference"/>
        </w:rPr>
        <w:footnoteReference w:id="29"/>
      </w:r>
      <w:r>
        <w:t xml:space="preserve">.</w:t>
      </w:r>
    </w:p>
    <w:p>
      <w:pPr>
        <w:pStyle w:val="FirstParagraph"/>
      </w:pPr>
      <w:r>
        <w:t xml:space="preserve">This episode highlighted both the limitations of static MP rules under</w:t>
      </w:r>
      <w:r>
        <w:t xml:space="preserve"> </w:t>
      </w:r>
      <w:r>
        <w:t xml:space="preserve">changing stock and socioeconomic conditions, and the importance of</w:t>
      </w:r>
      <w:r>
        <w:t xml:space="preserve"> </w:t>
      </w:r>
      <w:r>
        <w:t xml:space="preserve">timely completion of the MSE process to provide more flexible and</w:t>
      </w:r>
      <w:r>
        <w:t xml:space="preserve"> </w:t>
      </w:r>
      <w:r>
        <w:t xml:space="preserve">scientifically robust guidance.</w:t>
      </w:r>
    </w:p>
    <w:bookmarkEnd w:id="30"/>
    <w:bookmarkStart w:id="39" w:name="workshop-introduction"/>
    <w:p>
      <w:pPr>
        <w:pStyle w:val="Heading1"/>
      </w:pPr>
      <w:r>
        <w:t xml:space="preserve">Workshop introduction</w:t>
      </w:r>
    </w:p>
    <w:p>
      <w:pPr>
        <w:pStyle w:val="FirstParagraph"/>
      </w:pPr>
      <w:r>
        <w:t xml:space="preserve">Management Strategy Evaluation (MSE) has emerged as a critical tool for</w:t>
      </w:r>
      <w:r>
        <w:t xml:space="preserve"> </w:t>
      </w:r>
      <w:r>
        <w:t xml:space="preserve">fisheries management, especially in contexts where data are limited or</w:t>
      </w:r>
      <w:r>
        <w:t xml:space="preserve"> </w:t>
      </w:r>
      <w:r>
        <w:t xml:space="preserve">uncertainty is high. Foundational software frameworks like FLR were</w:t>
      </w:r>
      <w:r>
        <w:t xml:space="preserve"> </w:t>
      </w:r>
      <w:r>
        <w:t xml:space="preserve">developed to facilitate reproducible, cross-disciplinary evaluation of</w:t>
      </w:r>
      <w:r>
        <w:t xml:space="preserve"> </w:t>
      </w:r>
      <w:r>
        <w:t xml:space="preserve">management strategies through simulation and decision analysis</w:t>
      </w:r>
      <w:r>
        <w:t xml:space="preserve"> </w:t>
      </w:r>
      <w:r>
        <w:t xml:space="preserve">(Kell et al. 2007)</w:t>
      </w:r>
      <w:r>
        <w:t xml:space="preserve">. Building on this foundation, recent advances have</w:t>
      </w:r>
      <w:r>
        <w:t xml:space="preserve"> </w:t>
      </w:r>
      <w:r>
        <w:t xml:space="preserve">expanded FLR’s capacity for data-rich and data-limited systems alike,</w:t>
      </w:r>
      <w:r>
        <w:t xml:space="preserve"> </w:t>
      </w:r>
      <w:r>
        <w:t xml:space="preserve">improving accessibility and integration with other tools</w:t>
      </w:r>
      <w:r>
        <w:t xml:space="preserve"> </w:t>
      </w:r>
      <w:r>
        <w:t xml:space="preserve">(Hillary et al. 2023)</w:t>
      </w:r>
      <w:r>
        <w:t xml:space="preserve">. Complementing these developments, a structured</w:t>
      </w:r>
      <w:r>
        <w:t xml:space="preserve"> </w:t>
      </w:r>
      <w:r>
        <w:t xml:space="preserve">framework for evaluating methods and risk in data-limited fisheries has</w:t>
      </w:r>
      <w:r>
        <w:t xml:space="preserve"> </w:t>
      </w:r>
      <w:r>
        <w:t xml:space="preserve">been proposed, providing practical guidance on the application of MSE in</w:t>
      </w:r>
      <w:r>
        <w:t xml:space="preserve"> </w:t>
      </w:r>
      <w:r>
        <w:t xml:space="preserve">real-world settings</w:t>
      </w:r>
      <w:r>
        <w:t xml:space="preserve"> </w:t>
      </w:r>
      <w:r>
        <w:t xml:space="preserve">(Carruthers et al. 2023)</w:t>
      </w:r>
      <w:r>
        <w:t xml:space="preserve">.</w:t>
      </w:r>
    </w:p>
    <w:p>
      <w:pPr>
        <w:pStyle w:val="BodyText"/>
      </w:pPr>
      <w:r>
        <w:t xml:space="preserve">The SCW15 Jack Mackerel MSE Technical Workshop was convened in response</w:t>
      </w:r>
      <w:r>
        <w:t xml:space="preserve"> </w:t>
      </w:r>
      <w:r>
        <w:t xml:space="preserve">to the Scientific Committee’s request for progress on developing and</w:t>
      </w:r>
      <w:r>
        <w:t xml:space="preserve"> </w:t>
      </w:r>
      <w:r>
        <w:t xml:space="preserve">evaluating management procedures (MPs) for jack mackerel under the</w:t>
      </w:r>
      <w:r>
        <w:t xml:space="preserve"> </w:t>
      </w:r>
      <w:r>
        <w:t xml:space="preserve">SPRFMO framework. The meeting was held over five days (14–18 July 2025)</w:t>
      </w:r>
      <w:r>
        <w:t xml:space="preserve"> </w:t>
      </w:r>
      <w:r>
        <w:t xml:space="preserve">and hosted in a hybrid format, with active participation from in-person</w:t>
      </w:r>
      <w:r>
        <w:t xml:space="preserve"> </w:t>
      </w:r>
      <w:r>
        <w:t xml:space="preserve">attendees in Seattle and remote collaborators from SPRFMO Member States</w:t>
      </w:r>
      <w:r>
        <w:t xml:space="preserve"> </w:t>
      </w:r>
      <w:r>
        <w:t xml:space="preserve">and invited experts. This event followed on previous technical work,</w:t>
      </w:r>
      <w:r>
        <w:t xml:space="preserve"> </w:t>
      </w:r>
      <w:r>
        <w:t xml:space="preserve">including the SCW14 benchmark, and focused on finalizing the reference</w:t>
      </w:r>
      <w:r>
        <w:t xml:space="preserve"> </w:t>
      </w:r>
      <w:r>
        <w:t xml:space="preserve">set of operating models (OMs), implementing robustness tests, and</w:t>
      </w:r>
      <w:r>
        <w:t xml:space="preserve"> </w:t>
      </w:r>
      <w:r>
        <w:t xml:space="preserve">refining MP candidates using the jmMSE software package.</w:t>
      </w:r>
    </w:p>
    <w:p>
      <w:pPr>
        <w:pStyle w:val="BodyText"/>
      </w:pPr>
      <w:r>
        <w:t xml:space="preserve">Throughout the week, participants engaged in live coding sessions,</w:t>
      </w:r>
      <w:r>
        <w:t xml:space="preserve"> </w:t>
      </w:r>
      <w:r>
        <w:t xml:space="preserve">software validation, model tuning, and scenario refinement. The agenda</w:t>
      </w:r>
      <w:r>
        <w:t xml:space="preserve"> </w:t>
      </w:r>
      <w:r>
        <w:t xml:space="preserve">was intentionally flexible, allowing the group to respond dynamically to</w:t>
      </w:r>
      <w:r>
        <w:t xml:space="preserve"> </w:t>
      </w:r>
      <w:r>
        <w:t xml:space="preserve">technical challenges—such as issues with index generation, selectivity</w:t>
      </w:r>
      <w:r>
        <w:t xml:space="preserve"> </w:t>
      </w:r>
      <w:r>
        <w:t xml:space="preserve">artifacts, and catch variability under different MP formulations. The</w:t>
      </w:r>
      <w:r>
        <w:t xml:space="preserve"> </w:t>
      </w:r>
      <w:r>
        <w:t xml:space="preserve">workshop emphasized transparency, reproducibility, and documentation,</w:t>
      </w:r>
      <w:r>
        <w:t xml:space="preserve"> </w:t>
      </w:r>
      <w:r>
        <w:t xml:space="preserve">with clear objectives to improve the utility and credibility of the MSE</w:t>
      </w:r>
      <w:r>
        <w:t xml:space="preserve"> </w:t>
      </w:r>
      <w:r>
        <w:t xml:space="preserve">outputs ahead of Scientific Committee and Commission review.</w:t>
      </w:r>
    </w:p>
    <w:p>
      <w:pPr>
        <w:pStyle w:val="BodyText"/>
      </w:pPr>
      <w:r>
        <w:t xml:space="preserve">By way of review, we provide a general outline for the workflow for</w:t>
      </w:r>
      <w:r>
        <w:t xml:space="preserve"> </w:t>
      </w:r>
      <w:r>
        <w:t xml:space="preserve">defining and evaluating Management Procedures (MPs). We divided the</w:t>
      </w:r>
      <w:r>
        <w:t xml:space="preserve"> </w:t>
      </w:r>
      <w:r>
        <w:t xml:space="preserve">process into three main stages (</w:t>
      </w:r>
      <w:hyperlink w:anchor="fig-mp_flow">
        <w:r>
          <w:rPr>
            <w:rStyle w:val="Hyperlink"/>
          </w:rPr>
          <w:t xml:space="preserve">Figure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mp_flow"/>
          <w:p>
            <w:pPr>
              <w:pStyle w:val="Compact"/>
              <w:jc w:val="center"/>
            </w:pPr>
            <w:r>
              <w:drawing>
                <wp:inline>
                  <wp:extent cx="3594100" cy="71628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s/mp_flow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0" cy="716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Workflow for evaluating and selecting candidate management procedures</w:t>
            </w:r>
            <w:r>
              <w:t xml:space="preserve"> </w:t>
            </w:r>
            <w:r>
              <w:t xml:space="preserve">(MPs).</w:t>
            </w:r>
          </w:p>
          <w:bookmarkEnd w:id="34"/>
        </w:tc>
      </w:tr>
    </w:tbl>
    <w:p>
      <w:pPr>
        <w:pStyle w:val="BodyText"/>
      </w:pPr>
      <w:r>
        <w:t xml:space="preserve">The workshop participants recognized that all of the pieces for this</w:t>
      </w:r>
      <w:r>
        <w:t xml:space="preserve"> </w:t>
      </w:r>
      <w:r>
        <w:t xml:space="preserve">exercise were available and implemented. However, the group struggled</w:t>
      </w:r>
      <w:r>
        <w:t xml:space="preserve"> </w:t>
      </w:r>
      <w:r>
        <w:t xml:space="preserve">with getting the candidate MPs defined relative to available indices</w:t>
      </w:r>
      <w:r>
        <w:t xml:space="preserve"> </w:t>
      </w:r>
      <w:r>
        <w:t xml:space="preserve">(</w:t>
      </w:r>
      <w:r>
        <w:t xml:space="preserve">“stage 1”</w:t>
      </w:r>
      <w:r>
        <w:t xml:space="preserve"> </w:t>
      </w:r>
      <w:r>
        <w:t xml:space="preserve">in the diagram).</w:t>
      </w:r>
    </w:p>
    <w:p>
      <w:pPr>
        <w:pStyle w:val="BodyText"/>
      </w:pPr>
      <w:r>
        <w:t xml:space="preserve">The appendices provide the</w:t>
      </w:r>
      <w:r>
        <w:t xml:space="preserve"> </w:t>
      </w:r>
      <w:hyperlink r:id="rId35">
        <w:r>
          <w:rPr>
            <w:rStyle w:val="Hyperlink"/>
          </w:rPr>
          <w:t xml:space="preserve">participants</w:t>
        </w:r>
      </w:hyperlink>
      <w:r>
        <w:t xml:space="preserve">, the</w:t>
      </w:r>
      <w:r>
        <w:t xml:space="preserve"> </w:t>
      </w:r>
      <w:hyperlink r:id="rId36">
        <w:r>
          <w:rPr>
            <w:rStyle w:val="Hyperlink"/>
          </w:rPr>
          <w:t xml:space="preserve">agenda</w:t>
        </w:r>
      </w:hyperlink>
      <w:r>
        <w:t xml:space="preserve">, and the daily summary activities in the</w:t>
      </w:r>
      <w:r>
        <w:t xml:space="preserve"> </w:t>
      </w:r>
      <w:r>
        <w:t xml:space="preserve">workshop</w:t>
      </w:r>
      <w:r>
        <w:t xml:space="preserve"> </w:t>
      </w:r>
      <w:hyperlink r:id="rId37">
        <w:r>
          <w:rPr>
            <w:rStyle w:val="Hyperlink"/>
          </w:rPr>
          <w:t xml:space="preserve">minutes</w:t>
        </w:r>
      </w:hyperlink>
      <w:r>
        <w:t xml:space="preserve">. A summary review written by the</w:t>
      </w:r>
      <w:r>
        <w:t xml:space="preserve"> </w:t>
      </w:r>
      <w:r>
        <w:t xml:space="preserve">external experts is also</w:t>
      </w:r>
      <w:r>
        <w:t xml:space="preserve"> </w:t>
      </w:r>
      <w:hyperlink r:id="rId38">
        <w:r>
          <w:rPr>
            <w:rStyle w:val="Hyperlink"/>
          </w:rPr>
          <w:t xml:space="preserve">provided here</w:t>
        </w:r>
      </w:hyperlink>
      <w:r>
        <w:t xml:space="preserve">.</w:t>
      </w:r>
    </w:p>
    <w:p>
      <w:pPr>
        <w:pStyle w:val="BodyText"/>
      </w:pPr>
      <w:r>
        <w:t xml:space="preserve">The following sections detail the discussion on how best to incorporate</w:t>
      </w:r>
      <w:r>
        <w:t xml:space="preserve"> </w:t>
      </w:r>
      <w:r>
        <w:t xml:space="preserve">some environmental effects for projecting from the operating model.</w:t>
      </w:r>
      <w:r>
        <w:t xml:space="preserve"> </w:t>
      </w:r>
      <w:r>
        <w:t xml:space="preserve">Specifically, we considered how to account for the effects of El Niño on</w:t>
      </w:r>
      <w:r>
        <w:t xml:space="preserve"> </w:t>
      </w:r>
      <w:r>
        <w:t xml:space="preserve">recruitment and catchability/availability. We follow this with a</w:t>
      </w:r>
      <w:r>
        <w:t xml:space="preserve"> </w:t>
      </w:r>
      <w:r>
        <w:t xml:space="preserve">sections reviewing the OM and then some results from applying existing</w:t>
      </w:r>
      <w:r>
        <w:t xml:space="preserve"> </w:t>
      </w:r>
      <w:r>
        <w:t xml:space="preserve">and refined MPs. We conclude with a set of recommendations for the SC to</w:t>
      </w:r>
      <w:r>
        <w:t xml:space="preserve"> </w:t>
      </w:r>
      <w:r>
        <w:t xml:space="preserve">consider.</w:t>
      </w:r>
    </w:p>
    <w:bookmarkEnd w:id="39"/>
    <w:bookmarkStart w:id="46" w:name="Xfc559e43e478dc395964a0636ac1ce6188ed1ec"/>
    <w:p>
      <w:pPr>
        <w:pStyle w:val="Heading1"/>
      </w:pPr>
      <w:r>
        <w:t xml:space="preserve">Simulating El Niño effects in the Operating Model</w:t>
      </w:r>
    </w:p>
    <w:p>
      <w:pPr>
        <w:pStyle w:val="FirstParagraph"/>
      </w:pPr>
      <w:r>
        <w:t xml:space="preserve">To incorporate climate-driven variability into the Operating Model (OM)</w:t>
      </w:r>
      <w:r>
        <w:t xml:space="preserve"> </w:t>
      </w:r>
      <w:r>
        <w:t xml:space="preserve">projections, we defined a scenario simulating El Niño–like events every</w:t>
      </w:r>
      <w:r>
        <w:t xml:space="preserve"> </w:t>
      </w:r>
      <w:r>
        <w:t xml:space="preserve">five years beginning in 2030. These events affect primarily recruitment</w:t>
      </w:r>
      <w:r>
        <w:t xml:space="preserve"> </w:t>
      </w:r>
      <w:r>
        <w:t xml:space="preserve">and distribution options. Based on the work of Iago and available</w:t>
      </w:r>
      <w:r>
        <w:t xml:space="preserve"> </w:t>
      </w:r>
      <w:r>
        <w:t xml:space="preserve">literature, we proposed biological and fishery processes that may relate</w:t>
      </w:r>
      <w:r>
        <w:t xml:space="preserve"> </w:t>
      </w:r>
      <w:r>
        <w:t xml:space="preserve">to El Niño conditions. The group discussed these and noted that they</w:t>
      </w:r>
      <w:r>
        <w:t xml:space="preserve"> </w:t>
      </w:r>
      <w:r>
        <w:t xml:space="preserve">could be evaluated in the next round of stock assessment benchmark and</w:t>
      </w:r>
      <w:r>
        <w:t xml:space="preserve"> </w:t>
      </w:r>
      <w:r>
        <w:t xml:space="preserve">for future MSE work.</w:t>
      </w:r>
    </w:p>
    <w:p>
      <w:pPr>
        <w:pStyle w:val="BodyText"/>
      </w:pPr>
      <w:r>
        <w:t xml:space="preserve">The table below summarizes the proposed effects of simulated El Niño</w:t>
      </w:r>
      <w:r>
        <w:t xml:space="preserve"> </w:t>
      </w:r>
      <w:r>
        <w:t xml:space="preserve">conditions on the OM, categorizing them by their expected direction,</w:t>
      </w:r>
      <w:r>
        <w:t xml:space="preserve"> </w:t>
      </w:r>
      <w:r>
        <w:t xml:space="preserve">biological or fishery-based justification, and evaluation priority. The</w:t>
      </w:r>
      <w:r>
        <w:t xml:space="preserve"> </w:t>
      </w:r>
      <w:r>
        <w:t xml:space="preserve">table is divided into two sections: effects that are prioritized for</w:t>
      </w:r>
      <w:r>
        <w:t xml:space="preserve"> </w:t>
      </w:r>
      <w:r>
        <w:t xml:space="preserve">immediate evaluation and those deferred for further study.</w:t>
      </w:r>
    </w:p>
    <w:p>
      <w:pPr>
        <w:pStyle w:val="BodyText"/>
      </w:pPr>
      <w:r>
        <w:t xml:space="preserve">The first items highlights two key El Niño-driven effects: A 30%</w:t>
      </w:r>
      <w:r>
        <w:t xml:space="preserve"> </w:t>
      </w:r>
      <w:r>
        <w:t xml:space="preserve">increase in recruitment with a one-year lag, linked to ENSO-related</w:t>
      </w:r>
      <w:r>
        <w:t xml:space="preserve"> </w:t>
      </w:r>
      <w:r>
        <w:t xml:space="preserve">early life stage survival (</w:t>
      </w:r>
      <w:hyperlink w:anchor="fig-enso-recruitment">
        <w:r>
          <w:rPr>
            <w:rStyle w:val="Hyperlink"/>
          </w:rPr>
          <w:t xml:space="preserve">Figure 2</w:t>
        </w:r>
      </w:hyperlink>
      <w:r>
        <w:t xml:space="preserve">). Shifts in</w:t>
      </w:r>
      <w:r>
        <w:t xml:space="preserve"> </w:t>
      </w:r>
      <w:r>
        <w:t xml:space="preserve">catchability, with coastal regions experiencing increased availability</w:t>
      </w:r>
      <w:r>
        <w:t xml:space="preserve"> </w:t>
      </w:r>
      <w:r>
        <w:t xml:space="preserve">and offshore regions seeing declines, reflecting observed onshore</w:t>
      </w:r>
      <w:r>
        <w:t xml:space="preserve"> </w:t>
      </w:r>
      <w:r>
        <w:t xml:space="preserve">movement of fish during warm anomalies. This is also high-priority, with</w:t>
      </w:r>
      <w:r>
        <w:t xml:space="preserve"> </w:t>
      </w:r>
      <w:r>
        <w:t xml:space="preserve">a focus on quantifying impacts on fishery removals.</w:t>
      </w:r>
    </w:p>
    <w:p>
      <w:pPr>
        <w:pStyle w:val="BodyText"/>
      </w:pPr>
      <w:r>
        <w:t xml:space="preserve">The deferred effects were discussed and included the potential for</w:t>
      </w:r>
      <w:r>
        <w:t xml:space="preserve"> </w:t>
      </w:r>
      <w:r>
        <w:t xml:space="preserve">reduced weight-at-age (potentially due to prey scarcity), earlier</w:t>
      </w:r>
      <w:r>
        <w:t xml:space="preserve"> </w:t>
      </w:r>
      <w:r>
        <w:t xml:space="preserve">maturity (a stress response observed in small pelagics), and increased</w:t>
      </w:r>
      <w:r>
        <w:t xml:space="preserve"> </w:t>
      </w:r>
      <w:r>
        <w:t xml:space="preserve">natural mortality (from predation or environmental stress). These are</w:t>
      </w:r>
      <w:r>
        <w:t xml:space="preserve"> </w:t>
      </w:r>
      <w:r>
        <w:t xml:space="preserve">flagged for future study, pending historical data checks or further</w:t>
      </w:r>
      <w:r>
        <w:t xml:space="preserve"> </w:t>
      </w:r>
      <w:r>
        <w:t xml:space="preserve">evidence. The table succinctly organizes hypotheses while clarifying</w:t>
      </w:r>
      <w:r>
        <w:t xml:space="preserve"> </w:t>
      </w:r>
      <w:r>
        <w:t xml:space="preserve">immediate next steps for the OM framework.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enso-recruitment"/>
          <w:p>
            <w:pPr>
              <w:pStyle w:val="Compact"/>
              <w:jc w:val="center"/>
            </w:pPr>
            <w:r>
              <w:drawing>
                <wp:inline>
                  <wp:extent cx="5334000" cy="3375492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images/ENSO_R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75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Recruitment estimates and mean values (horizontal lines) used to</w:t>
            </w:r>
            <w:r>
              <w:t xml:space="preserve"> </w:t>
            </w:r>
            <w:r>
              <w:t xml:space="preserve">estimate the impact of ENSO</w:t>
            </w:r>
            <w:r>
              <w:t xml:space="preserve"> </w:t>
            </w:r>
            <w:r>
              <w:t xml:space="preserve">effects.</w:t>
            </w:r>
          </w:p>
          <w:bookmarkEnd w:id="43"/>
        </w:tc>
      </w:tr>
    </w:tbl>
    <w:p>
      <w:pPr>
        <w:pStyle w:val="BodyText"/>
      </w:pPr>
      <w:r>
        <w:t xml:space="preserve">The following tables summarizes the key effects, their expected</w:t>
      </w:r>
      <w:r>
        <w:t xml:space="preserve"> </w:t>
      </w:r>
      <w:r>
        <w:t xml:space="preserve">directions, and justification.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Effect</w:t>
            </w:r>
          </w:p>
        </w:tc>
        <w:tc>
          <w:tcPr/>
          <w:p>
            <w:pPr>
              <w:pStyle w:val="Compact"/>
            </w:pPr>
            <w:r>
              <w:t xml:space="preserve">Direction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Recruitment ↑20%</w:t>
            </w:r>
          </w:p>
        </w:tc>
        <w:tc>
          <w:tcPr/>
          <w:p>
            <w:pPr>
              <w:pStyle w:val="Compact"/>
            </w:pPr>
            <w:r>
              <w:t xml:space="preserve">↑ 1-year lag</w:t>
            </w:r>
          </w:p>
        </w:tc>
        <w:tc>
          <w:tcPr/>
          <w:p>
            <w:pPr>
              <w:pStyle w:val="Compact"/>
            </w:pPr>
            <w:r>
              <w:t xml:space="preserve">ENSO-linked early life stage effects on recruitment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availability</w:t>
            </w:r>
          </w:p>
        </w:tc>
        <w:tc>
          <w:tcPr/>
          <w:p>
            <w:pPr>
              <w:pStyle w:val="Compact"/>
            </w:pPr>
            <w:r>
              <w:t xml:space="preserve">Coast catchability ↑ and offshore ↓</w:t>
            </w:r>
          </w:p>
        </w:tc>
        <w:tc>
          <w:tcPr/>
          <w:p>
            <w:pPr>
              <w:pStyle w:val="Compact"/>
            </w:pPr>
            <w:r>
              <w:t xml:space="preserve">Onshore shift during warm anomalies</w:t>
            </w:r>
          </w:p>
        </w:tc>
      </w:tr>
    </w:tbl>
    <w:p>
      <w:pPr>
        <w:pStyle w:val="BodyText"/>
      </w:pPr>
      <w:r>
        <w:t xml:space="preserve">Discussed but deferred for further study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Effect</w:t>
            </w:r>
          </w:p>
        </w:tc>
        <w:tc>
          <w:tcPr/>
          <w:p>
            <w:pPr>
              <w:pStyle w:val="Compact"/>
            </w:pPr>
            <w:r>
              <w:t xml:space="preserve">Direction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Weight-at-age</w:t>
            </w:r>
          </w:p>
        </w:tc>
        <w:tc>
          <w:tcPr/>
          <w:p>
            <w:pPr>
              <w:pStyle w:val="Compact"/>
            </w:pPr>
            <w:r>
              <w:t xml:space="preserve">↓Productivity</w:t>
            </w:r>
          </w:p>
        </w:tc>
        <w:tc>
          <w:tcPr/>
          <w:p>
            <w:pPr>
              <w:pStyle w:val="Compact"/>
            </w:pPr>
            <w:r>
              <w:t xml:space="preserve">Lower prey density and observed condition declines</w:t>
            </w:r>
          </w:p>
        </w:tc>
        <w:tc>
          <w:tcPr/>
          <w:p>
            <w:pPr>
              <w:pStyle w:val="Compact"/>
            </w:pPr>
            <w:r>
              <w:t xml:space="preserve">Check historical WAA anomalies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Age-1 maturity</w:t>
            </w:r>
          </w:p>
        </w:tc>
        <w:tc>
          <w:tcPr/>
          <w:p>
            <w:pPr>
              <w:pStyle w:val="Compact"/>
            </w:pPr>
            <w:r>
              <w:t xml:space="preserve">Earlier maturity</w:t>
            </w:r>
          </w:p>
        </w:tc>
        <w:tc>
          <w:tcPr/>
          <w:p>
            <w:pPr>
              <w:pStyle w:val="Compact"/>
            </w:pPr>
            <w:r>
              <w:t xml:space="preserve">Stress response seen in small pelagics</w:t>
            </w:r>
          </w:p>
        </w:tc>
        <w:tc>
          <w:tcPr/>
          <w:p>
            <w:pPr>
              <w:pStyle w:val="Compact"/>
            </w:pPr>
            <w:r>
              <w:t xml:space="preserve">similar impact on Recruitment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Coastal selectivity</w:t>
            </w:r>
          </w:p>
        </w:tc>
        <w:tc>
          <w:tcPr/>
          <w:p>
            <w:pPr>
              <w:pStyle w:val="Compact"/>
            </w:pPr>
            <w:r>
              <w:t xml:space="preserve">Age 1–2 sel ↑</w:t>
            </w:r>
          </w:p>
        </w:tc>
        <w:tc>
          <w:tcPr/>
          <w:p>
            <w:pPr>
              <w:pStyle w:val="Compact"/>
            </w:pPr>
            <w:r>
              <w:t xml:space="preserve">Spatial contraction, availability change</w:t>
            </w:r>
          </w:p>
        </w:tc>
        <w:tc>
          <w:tcPr/>
          <w:p>
            <w:pPr>
              <w:pStyle w:val="Compact"/>
            </w:pPr>
            <w:r>
              <w:t xml:space="preserve">Confirm from CPUE by age?</w:t>
            </w:r>
          </w:p>
        </w:tc>
      </w:tr>
      <w:tr>
        <w:tc>
          <w:tcPr/>
          <w:p>
            <w:pPr>
              <w:pStyle w:val="Compact"/>
            </w:pPr>
            <w:r>
              <w:t xml:space="preserve">M ↑30%/20%</w:t>
            </w:r>
          </w:p>
        </w:tc>
        <w:tc>
          <w:tcPr/>
          <w:p>
            <w:pPr>
              <w:pStyle w:val="Compact"/>
            </w:pPr>
            <w:r>
              <w:t xml:space="preserve">↓ Survival</w:t>
            </w:r>
          </w:p>
        </w:tc>
        <w:tc>
          <w:tcPr/>
          <w:p>
            <w:pPr>
              <w:pStyle w:val="Compact"/>
            </w:pPr>
            <w:r>
              <w:t xml:space="preserve">Stress-induced mortality, predation</w:t>
            </w:r>
          </w:p>
        </w:tc>
        <w:tc>
          <w:tcPr/>
          <w:p>
            <w:pPr>
              <w:pStyle w:val="Compact"/>
            </w:pPr>
          </w:p>
        </w:tc>
      </w:tr>
    </w:tbl>
    <w:bookmarkStart w:id="45" w:name="Xa81f5bbac8307b08d68fdf806a77578ed825c22"/>
    <w:p>
      <w:pPr>
        <w:pStyle w:val="Heading2"/>
      </w:pPr>
      <w:r>
        <w:t xml:space="preserve">Estimating Relative Availability from Catch Proportions</w:t>
      </w:r>
    </w:p>
    <w:p>
      <w:pPr>
        <w:pStyle w:val="FirstParagraph"/>
      </w:pPr>
      <w:r>
        <w:t xml:space="preserve">Taking an assumption that over a recent period that changes in a</w:t>
      </w:r>
      <w:r>
        <w:t xml:space="preserve"> </w:t>
      </w:r>
      <w:r>
        <w:t xml:space="preserve">smoothed proportion of catch by coastal and offshore areas roughly</w:t>
      </w:r>
      <w:r>
        <w:t xml:space="preserve"> </w:t>
      </w:r>
      <w:r>
        <w:t xml:space="preserve">relates to the effective catchability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(which includes both true</w:t>
      </w:r>
      <w:r>
        <w:t xml:space="preserve"> </w:t>
      </w:r>
      <w:r>
        <w:t xml:space="preserve">catchability and availability) of the fishery, i.e.: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Catch</m:t>
              </m:r>
            </m:e>
            <m:sub>
              <m:r>
                <m:rPr>
                  <m:nor/>
                  <m:sty m:val="p"/>
                </m:rPr>
                <m:t>fleet</m:t>
              </m:r>
            </m:sub>
          </m:sSub>
          <m:r>
            <m:rPr>
              <m:sty m:val="p"/>
            </m:rPr>
            <m:t>∝</m:t>
          </m:r>
          <m:sSub>
            <m:e>
              <m:r>
                <m:t>q</m:t>
              </m:r>
            </m:e>
            <m:sub>
              <m:r>
                <m:rPr>
                  <m:nor/>
                  <m:sty m:val="p"/>
                </m:rPr>
                <m:t>fleet</m:t>
              </m:r>
            </m:sub>
          </m:sSub>
        </m:oMath>
      </m:oMathPara>
    </w:p>
    <w:p>
      <w:pPr>
        <w:pStyle w:val="FirstParagraph"/>
      </w:pPr>
      <w:r>
        <w:t xml:space="preserve">Thus, observed catch proportions can serve as a proxy for relative</w:t>
      </w:r>
      <w:r>
        <w:t xml:space="preserve"> </w:t>
      </w:r>
      <w:r>
        <w:t xml:space="preserve">availability.</w:t>
      </w:r>
    </w:p>
    <w:p>
      <w:pPr>
        <w:pStyle w:val="TableCaption"/>
      </w:pPr>
      <w:r>
        <w:rPr>
          <w:b/>
          <w:bCs/>
        </w:rPr>
        <w:t xml:space="preserve">5-year moving averages of the proportion of the catch occurring in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“coastal”</w:t>
      </w:r>
      <w:r>
        <w:rPr>
          <w:b/>
          <w:bCs/>
        </w:rPr>
        <w:t xml:space="preserve"> </w:t>
      </w:r>
      <w:r>
        <w:rPr>
          <w:b/>
          <w:bCs/>
        </w:rPr>
        <w:t xml:space="preserve">areas compared to the offshore fleet.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5-year moving averages of the proportion of the catch occurring in the “coastal” areas compared to the offshore fleet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Year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Coastal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Offshore (%)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2004–2008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2005–2009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2006–2010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2007–2011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2008–2012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2009–2013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2011–2015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2012–2016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2013–2017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2014–2018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2015–2019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2016–2020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2018–2022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2019–2023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2020–2024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15</w:t>
            </w:r>
          </w:p>
        </w:tc>
      </w:tr>
    </w:tbl>
    <w:bookmarkStart w:id="44" w:name="X88d9574cbed44a2f8d5a11d09e25d736e285d10"/>
    <w:p>
      <w:pPr>
        <w:pStyle w:val="Heading3"/>
      </w:pPr>
      <w:r>
        <w:t xml:space="preserve">Range of Change in Estimated Availability</w:t>
      </w:r>
    </w:p>
    <w:p>
      <w:pPr>
        <w:pStyle w:val="FirstParagraph"/>
      </w:pPr>
      <w:r>
        <w:t xml:space="preserve">Given this pattern we can assume a relative catchability due to an</w:t>
      </w:r>
      <w:r>
        <w:t xml:space="preserve"> </w:t>
      </w:r>
      <w:r>
        <w:t xml:space="preserve">environmental effect. We note that the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Coastal effective catchability</w:t>
      </w:r>
      <w:r>
        <w:t xml:space="preserve"> </w:t>
      </w:r>
      <w:r>
        <w:t xml:space="preserve">increased from a low of</w:t>
      </w:r>
      <w:r>
        <w:t xml:space="preserve"> </w:t>
      </w:r>
      <w:r>
        <w:rPr>
          <w:b/>
          <w:bCs/>
        </w:rPr>
        <w:t xml:space="preserve">74%</w:t>
      </w:r>
      <w:r>
        <w:t xml:space="preserve"> </w:t>
      </w:r>
      <w:r>
        <w:t xml:space="preserve">(2006–2010) to a high of</w:t>
      </w:r>
      <w:r>
        <w:t xml:space="preserve"> </w:t>
      </w:r>
      <w:r>
        <w:rPr>
          <w:b/>
          <w:bCs/>
        </w:rPr>
        <w:t xml:space="preserve">94%</w:t>
      </w:r>
      <w:r>
        <w:t xml:space="preserve"> </w:t>
      </w:r>
      <w:r>
        <w:t xml:space="preserve">(2018–2024), a</w:t>
      </w:r>
      <w:r>
        <w:t xml:space="preserve"> </w:t>
      </w:r>
      <w:r>
        <w:rPr>
          <w:b/>
          <w:bCs/>
        </w:rPr>
        <w:t xml:space="preserve">+20 percentage</w:t>
      </w:r>
      <w:r>
        <w:rPr>
          <w:b/>
          <w:bCs/>
        </w:rPr>
        <w:t xml:space="preserve"> </w:t>
      </w:r>
      <w:r>
        <w:rPr>
          <w:b/>
          <w:bCs/>
        </w:rPr>
        <w:t xml:space="preserve">point</w:t>
      </w:r>
      <w:r>
        <w:t xml:space="preserve"> </w:t>
      </w:r>
      <w:r>
        <w:t xml:space="preserve">change.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Offshore effective catchability</w:t>
      </w:r>
      <w:r>
        <w:t xml:space="preserve"> </w:t>
      </w:r>
      <w:r>
        <w:t xml:space="preserve">declined from</w:t>
      </w:r>
      <w:r>
        <w:t xml:space="preserve"> </w:t>
      </w:r>
      <w:r>
        <w:rPr>
          <w:b/>
          <w:bCs/>
        </w:rPr>
        <w:t xml:space="preserve">26%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6%</w:t>
      </w:r>
      <w:r>
        <w:t xml:space="preserve">.</w:t>
      </w:r>
    </w:p>
    <w:p>
      <w:pPr>
        <w:pStyle w:val="FirstParagraph"/>
      </w:pPr>
      <w:r>
        <w:t xml:space="preserve">As a sensitivity, we could propose that the effective availability to</w:t>
      </w:r>
      <w:r>
        <w:t xml:space="preserve"> </w:t>
      </w:r>
      <w:r>
        <w:t xml:space="preserve">the offshore fleet drops from 15% of the biomass (the mean) to gradually</w:t>
      </w:r>
      <w:r>
        <w:t xml:space="preserve"> </w:t>
      </w:r>
      <w:r>
        <w:t xml:space="preserve">to 6% during El Niño periods (a 60% decline in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). This would apply</w:t>
      </w:r>
      <w:r>
        <w:t xml:space="preserve"> </w:t>
      </w:r>
      <w:r>
        <w:t xml:space="preserve">to the data generated for offshore CPUE index in the simulations. For</w:t>
      </w:r>
      <w:r>
        <w:t xml:space="preserve"> </w:t>
      </w:r>
      <w:r>
        <w:t xml:space="preserve">the coastal zones, the effect of El Niño would correspond to an 11%</w:t>
      </w:r>
      <w:r>
        <w:t xml:space="preserve"> </w:t>
      </w:r>
      <w:r>
        <w:t xml:space="preserve">increase in the availability of fish relative to the mean (85%). These</w:t>
      </w:r>
      <w:r>
        <w:t xml:space="preserve"> </w:t>
      </w:r>
      <w:r>
        <w:t xml:space="preserve">changes would apply to the Chilean SC CPUE index and the Peruvian CPUE</w:t>
      </w:r>
      <w:r>
        <w:t xml:space="preserve"> </w:t>
      </w:r>
      <w:r>
        <w:t xml:space="preserve">index data generation. This is one proposal among many that could be</w:t>
      </w:r>
      <w:r>
        <w:t xml:space="preserve"> </w:t>
      </w:r>
      <w:r>
        <w:t xml:space="preserve">imagined. For example a slightly more conservative range could be based</w:t>
      </w:r>
      <w:r>
        <w:t xml:space="preserve"> </w:t>
      </w:r>
      <w:r>
        <w:t xml:space="preserve">on the 10th and 90th percentiles of estimated effective catchability</w:t>
      </w:r>
      <w:r>
        <w:t xml:space="preserve"> </w:t>
      </w:r>
      <w:r>
        <w:t xml:space="preserve">(from proportional catches):</w:t>
      </w:r>
    </w:p>
    <w:p>
      <w:pPr>
        <w:pStyle w:val="SourceCode"/>
      </w:pPr>
      <w:r>
        <w:rPr>
          <w:rStyle w:val="VerbatimChar"/>
        </w:rPr>
        <w:t xml:space="preserve">Coastal:</w:t>
      </w:r>
      <w:r>
        <w:br/>
      </w:r>
      <w:r>
        <w:rPr>
          <w:rStyle w:val="VerbatimChar"/>
        </w:rPr>
        <w:t xml:space="preserve">•   10th percentile: 77%</w:t>
      </w:r>
      <w:r>
        <w:br/>
      </w:r>
      <w:r>
        <w:rPr>
          <w:rStyle w:val="VerbatimChar"/>
        </w:rPr>
        <w:t xml:space="preserve">•   90th percentile: 94%</w:t>
      </w:r>
      <w:r>
        <w:br/>
      </w:r>
      <w:r>
        <w:rPr>
          <w:rStyle w:val="VerbatimChar"/>
        </w:rPr>
        <w:t xml:space="preserve">Offshore:</w:t>
      </w:r>
      <w:r>
        <w:br/>
      </w:r>
      <w:r>
        <w:rPr>
          <w:rStyle w:val="VerbatimChar"/>
        </w:rPr>
        <w:t xml:space="preserve">•   10th percentile: 6%</w:t>
      </w:r>
      <w:r>
        <w:br/>
      </w:r>
      <w:r>
        <w:rPr>
          <w:rStyle w:val="VerbatimChar"/>
        </w:rPr>
        <w:t xml:space="preserve">•   90th percentile: 23%</w:t>
      </w:r>
    </w:p>
    <w:p>
      <w:pPr>
        <w:pStyle w:val="FirstParagraph"/>
      </w:pPr>
      <w:r>
        <w:t xml:space="preserve">These shifts may provide some scope for showing the impact of changes in</w:t>
      </w:r>
      <w:r>
        <w:t xml:space="preserve"> </w:t>
      </w:r>
      <w:r>
        <w:t xml:space="preserve">the relative abundance indicators in index values. These reflect</w:t>
      </w:r>
      <w:r>
        <w:t xml:space="preserve"> </w:t>
      </w:r>
      <w:r>
        <w:t xml:space="preserve">patterns over the past two decades, possibly due to environmental</w:t>
      </w:r>
      <w:r>
        <w:t xml:space="preserve"> </w:t>
      </w:r>
      <w:r>
        <w:t xml:space="preserve">changes.</w:t>
      </w:r>
    </w:p>
    <w:bookmarkEnd w:id="44"/>
    <w:bookmarkEnd w:id="45"/>
    <w:bookmarkEnd w:id="46"/>
    <w:bookmarkStart w:id="51" w:name="X652a87fe3a4923516c5a511ce37381408532a4f"/>
    <w:p>
      <w:pPr>
        <w:pStyle w:val="Heading1"/>
      </w:pPr>
      <w:r>
        <w:t xml:space="preserve">Review of the Operating Model specifications</w:t>
      </w:r>
    </w:p>
    <w:p>
      <w:pPr>
        <w:pStyle w:val="FirstParagraph"/>
      </w:pPr>
      <w:r>
        <w:t xml:space="preserve">The workshop reviewed the current specifications of the OMs. In</w:t>
      </w:r>
      <w:r>
        <w:t xml:space="preserve"> </w:t>
      </w:r>
      <w:r>
        <w:t xml:space="preserve">particular, the assumptions for the reference point calculations were</w:t>
      </w:r>
      <w:r>
        <w:t xml:space="preserve"> </w:t>
      </w:r>
      <w:r>
        <w:t xml:space="preserve">discusssed and contrasted with the 2024 assessment results and reports</w:t>
      </w:r>
      <w:r>
        <w:t xml:space="preserve"> </w:t>
      </w:r>
      <w:r>
        <w:t xml:space="preserve">(</w:t>
      </w:r>
      <w:r>
        <w:t xml:space="preserve">South Pacific Regional Fisheries Management Organisation (2024)</w:t>
      </w:r>
      <w:r>
        <w:t xml:space="preserve">). Due to the terminal (2024) estimates of fisheries</w:t>
      </w:r>
      <w:r>
        <w:t xml:space="preserve"> </w:t>
      </w:r>
      <w:r>
        <w:t xml:space="preserve">selectivities, the assessment report had anomalously high values for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</w:p>
    <w:p>
      <w:pPr>
        <w:pStyle w:val="BodyText"/>
      </w:pPr>
      <w:r>
        <w:t xml:space="preserve">While the 2024 stock assessment produced high estimates of potential</w:t>
      </w:r>
      <w:r>
        <w:t xml:space="preserve"> </w:t>
      </w:r>
      <w:r>
        <w:t xml:space="preserve">catch under the third tier of the harvest control rule—exceeding 4,900</w:t>
      </w:r>
      <w:r>
        <w:t xml:space="preserve"> </w:t>
      </w:r>
      <w:r>
        <w:t xml:space="preserve">kt based on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—this result was considered unrealistic due to</w:t>
      </w:r>
      <w:r>
        <w:t xml:space="preserve"> </w:t>
      </w:r>
      <w:r>
        <w:t xml:space="preserve">likely upward bias in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estimates caused by strong selection</w:t>
      </w:r>
      <w:r>
        <w:t xml:space="preserve"> </w:t>
      </w:r>
      <w:r>
        <w:t xml:space="preserve">on older fish. As a result, the Scientific Committee recommended</w:t>
      </w:r>
      <w:r>
        <w:t xml:space="preserve"> </w:t>
      </w:r>
      <w:r>
        <w:t xml:space="preserve">constraining the 2025 TAC to be at or below 1,428 kt, representing only</w:t>
      </w:r>
      <w:r>
        <w:t xml:space="preserve"> </w:t>
      </w:r>
      <w:r>
        <w:t xml:space="preserve">a 15% increase from 2024 levels and aligned with the Commission’s</w:t>
      </w:r>
      <w:r>
        <w:t xml:space="preserve"> </w:t>
      </w:r>
      <w:r>
        <w:t xml:space="preserve">guidance. In developing the OM, reference points such as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were instead based on longer-term averages to avoid the influence of</w:t>
      </w:r>
      <w:r>
        <w:t xml:space="preserve"> </w:t>
      </w:r>
      <w:r>
        <w:t xml:space="preserve">short-term variability or cohort effects, ensuring more stable and</w:t>
      </w:r>
      <w:r>
        <w:t xml:space="preserve"> </w:t>
      </w:r>
      <w:r>
        <w:t xml:space="preserve">precautionary management advice consistent with the MSE framework</w:t>
      </w:r>
      <w:r>
        <w:t xml:space="preserve"> </w:t>
      </w:r>
      <w:r>
        <w:t xml:space="preserve">(</w:t>
      </w:r>
      <w:hyperlink w:anchor="fig-ref_pts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ref_pts"/>
          <w:p>
            <w:pPr>
              <w:pStyle w:val="Compact"/>
              <w:jc w:val="center"/>
            </w:pPr>
            <w:r>
              <w:drawing>
                <wp:inline>
                  <wp:extent cx="5334000" cy="4604564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s/ref_pts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04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Distribution of reference points from the operating model accepted by</w:t>
            </w:r>
            <w:r>
              <w:t xml:space="preserve"> </w:t>
            </w:r>
            <w:r>
              <w:t xml:space="preserve">the workshop.</w:t>
            </w:r>
          </w:p>
          <w:bookmarkEnd w:id="50"/>
        </w:tc>
      </w:tr>
    </w:tbl>
    <w:p>
      <w:pPr>
        <w:pStyle w:val="BodyText"/>
      </w:pPr>
      <w:r>
        <w:t xml:space="preserve">Several issues were identified with the current stock assessment that</w:t>
      </w:r>
      <w:r>
        <w:t xml:space="preserve"> </w:t>
      </w:r>
      <w:r>
        <w:t xml:space="preserve">warrant further attention ahead of the next benchmark. Key among them</w:t>
      </w:r>
      <w:r>
        <w:t xml:space="preserve"> </w:t>
      </w:r>
      <w:r>
        <w:t xml:space="preserve">are uncertainties in catch-at-age data stemming from differences in age</w:t>
      </w:r>
      <w:r>
        <w:t xml:space="preserve"> </w:t>
      </w:r>
      <w:r>
        <w:t xml:space="preserve">determination methods across laboratories, as well as assumptions about</w:t>
      </w:r>
      <w:r>
        <w:t xml:space="preserve"> </w:t>
      </w:r>
      <w:r>
        <w:t xml:space="preserve">mean body weight at age. The Scientific Committee emphasized the need</w:t>
      </w:r>
      <w:r>
        <w:t xml:space="preserve"> </w:t>
      </w:r>
      <w:r>
        <w:t xml:space="preserve">for standardizing CPUE indices and improving data collection protocols,</w:t>
      </w:r>
      <w:r>
        <w:t xml:space="preserve"> </w:t>
      </w:r>
      <w:r>
        <w:t xml:space="preserve">particularly regarding fleet-specific efficiency changes. Sensitivities</w:t>
      </w:r>
      <w:r>
        <w:t xml:space="preserve"> </w:t>
      </w:r>
      <w:r>
        <w:t xml:space="preserve">to early age composition data—especially from the pre-1990 period—remain</w:t>
      </w:r>
      <w:r>
        <w:t xml:space="preserve"> </w:t>
      </w:r>
      <w:r>
        <w:t xml:space="preserve">unresolved, with residual patterns noted for the North Chilean fleet. In</w:t>
      </w:r>
      <w:r>
        <w:t xml:space="preserve"> </w:t>
      </w:r>
      <w:r>
        <w:t xml:space="preserve">addition, assumptions underlying selectivity and recruitment regimes</w:t>
      </w:r>
      <w:r>
        <w:t xml:space="preserve"> </w:t>
      </w:r>
      <w:r>
        <w:t xml:space="preserve">were highlighted as critical sources of uncertainty, with substantial</w:t>
      </w:r>
      <w:r>
        <w:t xml:space="preserve"> </w:t>
      </w:r>
      <w:r>
        <w:t xml:space="preserve">influence on reference points and management advice. Finally, the</w:t>
      </w:r>
      <w:r>
        <w:t xml:space="preserve"> </w:t>
      </w:r>
      <w:r>
        <w:t xml:space="preserve">Committee underscored the importance of continued evaluation of</w:t>
      </w:r>
      <w:r>
        <w:t xml:space="preserve"> </w:t>
      </w:r>
      <w:r>
        <w:t xml:space="preserve">single-stock versus two-stock model structures using simulation and MSE</w:t>
      </w:r>
      <w:r>
        <w:t xml:space="preserve"> </w:t>
      </w:r>
      <w:r>
        <w:t xml:space="preserve">tools.</w:t>
      </w:r>
    </w:p>
    <w:bookmarkEnd w:id="51"/>
    <w:bookmarkStart w:id="60" w:name="summary-of-workshop-outcomes"/>
    <w:p>
      <w:pPr>
        <w:pStyle w:val="Heading1"/>
      </w:pPr>
      <w:r>
        <w:t xml:space="preserve">Summary of Workshop Outcomes</w:t>
      </w:r>
    </w:p>
    <w:p>
      <w:pPr>
        <w:pStyle w:val="FirstParagraph"/>
      </w:pPr>
      <w:r>
        <w:t xml:space="preserve">The SCW15 workshop provided a venue for progressing the Jack Mackerel</w:t>
      </w:r>
      <w:r>
        <w:t xml:space="preserve"> </w:t>
      </w:r>
      <w:r>
        <w:t xml:space="preserve">MSE work, resolving some technical issues, and evaluating multiple MP</w:t>
      </w:r>
      <w:r>
        <w:t xml:space="preserve"> </w:t>
      </w:r>
      <w:r>
        <w:t xml:space="preserve">configurations. A key outcome was the identification of problems in how</w:t>
      </w:r>
      <w:r>
        <w:t xml:space="preserve"> </w:t>
      </w:r>
      <w:r>
        <w:t xml:space="preserve">MPs interacted with the OMs. This raised the need for either resolution</w:t>
      </w:r>
      <w:r>
        <w:t xml:space="preserve"> </w:t>
      </w:r>
      <w:r>
        <w:t xml:space="preserve">of MP specification issues prior to the SC and/or holding a separate</w:t>
      </w:r>
      <w:r>
        <w:t xml:space="preserve"> </w:t>
      </w:r>
      <w:r>
        <w:t xml:space="preserve">follow-up technical meeting, ideally in person. This would focus</w:t>
      </w:r>
      <w:r>
        <w:t xml:space="preserve"> </w:t>
      </w:r>
      <w:r>
        <w:t xml:space="preserve">discussion on narrowing MP options. Depending on this direction, it may</w:t>
      </w:r>
      <w:r>
        <w:t xml:space="preserve"> </w:t>
      </w:r>
      <w:r>
        <w:t xml:space="preserve">mean that such a meeting would have to occur after February 2026 and the</w:t>
      </w:r>
      <w:r>
        <w:t xml:space="preserve"> </w:t>
      </w:r>
      <w:r>
        <w:t xml:space="preserve">Commission meeting.</w:t>
      </w:r>
    </w:p>
    <w:p>
      <w:pPr>
        <w:pStyle w:val="BodyText"/>
      </w:pPr>
      <w:r>
        <w:t xml:space="preserve">Regarding the ability and facility for member scientists to use and</w:t>
      </w:r>
      <w:r>
        <w:t xml:space="preserve"> </w:t>
      </w:r>
      <w:r>
        <w:t xml:space="preserve">evaluate the MSE framework, the group noted that the development of the</w:t>
      </w:r>
      <w:r>
        <w:t xml:space="preserve"> </w:t>
      </w:r>
      <w:r>
        <w:t xml:space="preserve">jmMSE package was exceptionally well done. We found that difficulties</w:t>
      </w:r>
      <w:r>
        <w:t xml:space="preserve"> </w:t>
      </w:r>
      <w:r>
        <w:t xml:space="preserve">inherent to the jack mackerel resource and assessment created unique</w:t>
      </w:r>
      <w:r>
        <w:t xml:space="preserve"> </w:t>
      </w:r>
      <w:r>
        <w:t xml:space="preserve">problems. Specifically, the variable resource distribution, available</w:t>
      </w:r>
      <w:r>
        <w:t xml:space="preserve"> </w:t>
      </w:r>
      <w:r>
        <w:t xml:space="preserve">data, and specifications of projection conditions (e.g., mean body</w:t>
      </w:r>
      <w:r>
        <w:t xml:space="preserve"> </w:t>
      </w:r>
      <w:r>
        <w:t xml:space="preserve">mass-at-age, fishery selectivity at age) complicated how MPs could be</w:t>
      </w:r>
      <w:r>
        <w:t xml:space="preserve"> </w:t>
      </w:r>
      <w:r>
        <w:t xml:space="preserve">evaluated. We noted that such specifications would be problematic for</w:t>
      </w:r>
      <w:r>
        <w:t xml:space="preserve"> </w:t>
      </w:r>
      <w:r>
        <w:t xml:space="preserve">any other MSE framework as well.</w:t>
      </w:r>
    </w:p>
    <w:bookmarkStart w:id="52" w:name="software-and-technical-recommendations"/>
    <w:p>
      <w:pPr>
        <w:pStyle w:val="Heading3"/>
      </w:pPr>
      <w:r>
        <w:t xml:space="preserve">Software and Technical Recommendations</w:t>
      </w:r>
    </w:p>
    <w:p>
      <w:pPr>
        <w:numPr>
          <w:ilvl w:val="0"/>
          <w:numId w:val="1006"/>
        </w:numPr>
      </w:pPr>
      <w:r>
        <w:t xml:space="preserve">Continue using</w:t>
      </w:r>
      <w:r>
        <w:t xml:space="preserve"> </w:t>
      </w:r>
      <w:r>
        <w:rPr>
          <w:b/>
          <w:bCs/>
        </w:rPr>
        <w:t xml:space="preserve">FLR</w:t>
      </w:r>
      <w:r>
        <w:t xml:space="preserve"> </w:t>
      </w:r>
      <w:r>
        <w:t xml:space="preserve">as the main MSE engine unless there is a</w:t>
      </w:r>
      <w:r>
        <w:t xml:space="preserve"> </w:t>
      </w:r>
      <w:r>
        <w:t xml:space="preserve">dedicated effort to migrate to</w:t>
      </w:r>
      <w:r>
        <w:t xml:space="preserve"> </w:t>
      </w:r>
      <w:r>
        <w:rPr>
          <w:b/>
          <w:bCs/>
        </w:rPr>
        <w:t xml:space="preserve">openMSE</w:t>
      </w:r>
      <w:r>
        <w:t xml:space="preserve"> </w:t>
      </w:r>
      <w:r>
        <w:t xml:space="preserve">or another platform.</w:t>
      </w:r>
    </w:p>
    <w:p>
      <w:pPr>
        <w:numPr>
          <w:ilvl w:val="0"/>
          <w:numId w:val="1006"/>
        </w:numPr>
      </w:pPr>
      <w:r>
        <w:t xml:space="preserve">Improve naming conventions in code to reduce ambiguity. For example:</w:t>
      </w:r>
    </w:p>
    <w:p>
      <w:pPr>
        <w:pStyle w:val="Compact"/>
        <w:numPr>
          <w:ilvl w:val="1"/>
          <w:numId w:val="1007"/>
        </w:numPr>
      </w:pPr>
      <w:r>
        <w:t xml:space="preserve">Functions like</w:t>
      </w:r>
      <w:r>
        <w:t xml:space="preserve"> </w:t>
      </w:r>
      <w:r>
        <w:rPr>
          <w:rStyle w:val="VerbatimChar"/>
        </w:rPr>
        <w:t xml:space="preserve">cpuescore2.ind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cpuescore3.ind</w:t>
      </w:r>
      <w:r>
        <w:t xml:space="preserve"> </w:t>
      </w:r>
      <w:r>
        <w:t xml:space="preserve">could</w:t>
      </w:r>
      <w:r>
        <w:t xml:space="preserve"> </w:t>
      </w:r>
      <w:r>
        <w:t xml:space="preserve">better reflect their purpose.</w:t>
      </w:r>
    </w:p>
    <w:bookmarkEnd w:id="52"/>
    <w:bookmarkStart w:id="53" w:name="Xbfa16bdf844b5eacb5d80b6029cd32153158102"/>
    <w:p>
      <w:pPr>
        <w:pStyle w:val="Heading3"/>
      </w:pPr>
      <w:r>
        <w:t xml:space="preserve">MSE Development Timeline and Deliverables</w:t>
      </w:r>
    </w:p>
    <w:p>
      <w:pPr>
        <w:pStyle w:val="FirstParagraph"/>
      </w:pPr>
      <w:r>
        <w:t xml:space="preserve">The group noted that MSE funding (in the form of providing support from</w:t>
      </w:r>
      <w:r>
        <w:t xml:space="preserve"> </w:t>
      </w:r>
      <w:r>
        <w:t xml:space="preserve">external developers) may be available but would be contingent on:</w:t>
      </w:r>
    </w:p>
    <w:p>
      <w:pPr>
        <w:numPr>
          <w:ilvl w:val="0"/>
          <w:numId w:val="1008"/>
        </w:numPr>
      </w:pPr>
      <w:r>
        <w:t xml:space="preserve">Coordination with the current analyst (Iago).</w:t>
      </w:r>
    </w:p>
    <w:p>
      <w:pPr>
        <w:numPr>
          <w:ilvl w:val="0"/>
          <w:numId w:val="1008"/>
        </w:numPr>
      </w:pPr>
      <w:r>
        <w:t xml:space="preserve">Collaboration with the technical team.</w:t>
      </w:r>
    </w:p>
    <w:p>
      <w:pPr>
        <w:numPr>
          <w:ilvl w:val="0"/>
          <w:numId w:val="1008"/>
        </w:numPr>
      </w:pPr>
      <w:r>
        <w:t xml:space="preserve">Receptiveness to using</w:t>
      </w:r>
      <w:r>
        <w:t xml:space="preserve"> </w:t>
      </w:r>
      <w:r>
        <w:rPr>
          <w:b/>
          <w:bCs/>
        </w:rPr>
        <w:t xml:space="preserve">openMSE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Clear timelines and deliverables.</w:t>
      </w:r>
    </w:p>
    <w:p>
      <w:pPr>
        <w:pStyle w:val="FirstParagraph"/>
      </w:pPr>
      <w:r>
        <w:t xml:space="preserve">An initial set of deliverables that have been completed include: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Reference OMs</w:t>
      </w:r>
      <w:r>
        <w:t xml:space="preserve"> </w:t>
      </w:r>
      <w:r>
        <w:t xml:space="preserve">(no multistock): End of July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Robustness OMs</w:t>
      </w:r>
      <w:r>
        <w:t xml:space="preserve"> </w:t>
      </w:r>
      <w:r>
        <w:t xml:space="preserve">(no multistock): End of August progress)*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Shortcut calibration</w:t>
      </w:r>
      <w:r>
        <w:t xml:space="preserve"> </w:t>
      </w:r>
      <w:r>
        <w:t xml:space="preserve">to the JJM assessment: End of August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Range of shortcut MPs</w:t>
      </w:r>
      <w:r>
        <w:t xml:space="preserve"> </w:t>
      </w:r>
      <w:r>
        <w:t xml:space="preserve">run for all reference OMs: End of July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Technical documentation and reports</w:t>
      </w:r>
      <w:r>
        <w:t xml:space="preserve">:</w:t>
      </w:r>
    </w:p>
    <w:p>
      <w:pPr>
        <w:numPr>
          <w:ilvl w:val="1"/>
          <w:numId w:val="1010"/>
        </w:numPr>
      </w:pPr>
      <w:r>
        <w:t xml:space="preserve">Draft Technical Summary Document (TSD) by end of July.</w:t>
      </w:r>
    </w:p>
    <w:p>
      <w:pPr>
        <w:numPr>
          <w:ilvl w:val="1"/>
          <w:numId w:val="1010"/>
        </w:numPr>
      </w:pPr>
      <w:r>
        <w:t xml:space="preserve">Technical working papers and presentations for:</w:t>
      </w:r>
    </w:p>
    <w:p>
      <w:pPr>
        <w:numPr>
          <w:ilvl w:val="2"/>
          <w:numId w:val="1011"/>
        </w:numPr>
      </w:pPr>
      <w:r>
        <w:t xml:space="preserve">Shortcut calibration to JJM</w:t>
      </w:r>
    </w:p>
    <w:p>
      <w:pPr>
        <w:numPr>
          <w:ilvl w:val="2"/>
          <w:numId w:val="1011"/>
        </w:numPr>
      </w:pPr>
      <w:r>
        <w:t xml:space="preserve">Reference set OM results for MP archetypes</w:t>
      </w:r>
      <w:r>
        <w:t xml:space="preserve"> </w:t>
      </w:r>
      <w:r>
        <w:rPr>
          <w:i/>
          <w:iCs/>
        </w:rPr>
        <w:t xml:space="preserve">(pending)</w:t>
      </w:r>
    </w:p>
    <w:p>
      <w:pPr>
        <w:numPr>
          <w:ilvl w:val="2"/>
          <w:numId w:val="1011"/>
        </w:numPr>
      </w:pPr>
      <w:r>
        <w:t xml:space="preserve">Robustness OM results</w:t>
      </w:r>
    </w:p>
    <w:p>
      <w:pPr>
        <w:numPr>
          <w:ilvl w:val="2"/>
          <w:numId w:val="1011"/>
        </w:numPr>
      </w:pPr>
      <w:r>
        <w:t xml:space="preserve">MP performance summaries</w:t>
      </w:r>
    </w:p>
    <w:p>
      <w:pPr>
        <w:numPr>
          <w:ilvl w:val="1"/>
          <w:numId w:val="1010"/>
        </w:numPr>
      </w:pPr>
      <w:r>
        <w:t xml:space="preserve">Slick MSE results summary.</w:t>
      </w:r>
    </w:p>
    <w:bookmarkEnd w:id="53"/>
    <w:bookmarkStart w:id="54" w:name="near-term-tasks"/>
    <w:p>
      <w:pPr>
        <w:pStyle w:val="Heading3"/>
      </w:pPr>
      <w:r>
        <w:t xml:space="preserve">Near term tasks</w:t>
      </w:r>
    </w:p>
    <w:p>
      <w:pPr>
        <w:pStyle w:val="FirstParagraph"/>
      </w:pPr>
      <w:r>
        <w:t xml:space="preserve">Participants were encouraged to document their activities during the</w:t>
      </w:r>
      <w:r>
        <w:t xml:space="preserve"> </w:t>
      </w:r>
      <w:r>
        <w:t xml:space="preserve">workshop, including the methods explored and tuning targets used. Work</w:t>
      </w:r>
      <w:r>
        <w:t xml:space="preserve"> </w:t>
      </w:r>
      <w:r>
        <w:t xml:space="preserve">tasked identified included: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All</w:t>
      </w:r>
      <w:r>
        <w:t xml:space="preserve"> </w:t>
      </w:r>
      <w:r>
        <w:t xml:space="preserve">continue to evaluate MPs to the extent practical ensuring</w:t>
      </w:r>
      <w:r>
        <w:t xml:space="preserve"> </w:t>
      </w:r>
      <w:r>
        <w:t xml:space="preserve">that they can be tuned to achieve a 60% green status and are</w:t>
      </w:r>
      <w:r>
        <w:t xml:space="preserve"> </w:t>
      </w:r>
      <w:r>
        <w:t xml:space="preserve">consistent with the available OM data stream projections.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Jim</w:t>
      </w:r>
      <w:r>
        <w:t xml:space="preserve"> </w:t>
      </w:r>
      <w:r>
        <w:t xml:space="preserve">evaluated 9 MPs (including</w:t>
      </w:r>
      <w:r>
        <w:t xml:space="preserve"> </w:t>
      </w:r>
      <w:r>
        <w:rPr>
          <w:rStyle w:val="VerbatimChar"/>
        </w:rPr>
        <w:t xml:space="preserve">bufferdelta2</w:t>
      </w:r>
      <w:r>
        <w:t xml:space="preserve">,</w:t>
      </w:r>
      <w:r>
        <w:t xml:space="preserve"> </w:t>
      </w:r>
      <w:r>
        <w:rPr>
          <w:rStyle w:val="VerbatimChar"/>
        </w:rPr>
        <w:t xml:space="preserve">cpuescore2</w:t>
      </w:r>
      <w:r>
        <w:t xml:space="preserve">,</w:t>
      </w:r>
      <w:r>
        <w:t xml:space="preserve"> </w:t>
      </w:r>
      <w:r>
        <w:t xml:space="preserve">test acoustic, and combinations of CPUE indices with different</w:t>
      </w:r>
      <w:r>
        <w:t xml:space="preserve"> </w:t>
      </w:r>
      <w:r>
        <w:rPr>
          <w:rStyle w:val="VerbatimChar"/>
        </w:rPr>
        <w:t xml:space="preserve">delta_TAC</w:t>
      </w:r>
      <w:r>
        <w:t xml:space="preserve"> </w:t>
      </w:r>
      <w:r>
        <w:t xml:space="preserve">values), all tuned to achieve 60% green status.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Chilean analysts</w:t>
      </w:r>
      <w:r>
        <w:t xml:space="preserve"> </w:t>
      </w:r>
      <w:r>
        <w:t xml:space="preserve">apply shortcut tuning methods as a</w:t>
      </w:r>
      <w:r>
        <w:t xml:space="preserve"> </w:t>
      </w:r>
      <w:r>
        <w:t xml:space="preserve">demonstration. This was completed and provided in</w:t>
      </w:r>
      <w:r>
        <w:t xml:space="preserve"> </w:t>
      </w:r>
      <w:hyperlink w:anchor="sec-shortcut">
        <w:r>
          <w:rPr>
            <w:rStyle w:val="Hyperlink"/>
          </w:rPr>
          <w:t xml:space="preserve">Section 8</w:t>
        </w:r>
      </w:hyperlink>
      <w:r>
        <w:t xml:space="preserve">.</w:t>
      </w:r>
    </w:p>
    <w:p>
      <w:pPr>
        <w:pStyle w:val="FirstParagraph"/>
      </w:pPr>
      <w:r>
        <w:t xml:space="preserve">This table illustrates how an array of MPs might be evaluated for</w:t>
      </w:r>
      <w:r>
        <w:t xml:space="preserve"> </w:t>
      </w:r>
      <w:r>
        <w:t xml:space="preserve">summarization: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Harvest Control Rule Methods Summary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Comparison of methods, tuning, and compatibility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Tuning 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 Parameters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Score Index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2024+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buffer.hcr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depletion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target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bufflow, buffup, limit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cpuescore3.ind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Original pkg function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2024+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bufferdelta.hcr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depletion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width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sloperatio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cpuescore3.ind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Modified; not compatible with z-score metrics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2024+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bufferdelta2.hcr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zscore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width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sloperatio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cpuescore2.ind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New; not compatible with depletion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2024+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buffer2.hcr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zscore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target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width (affects buffer)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cpuescore2.ind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Original; adjusted for zscore (limit = -2 SD)</w:t>
            </w:r>
          </w:p>
        </w:tc>
      </w:tr>
    </w:tbl>
    <w:p>
      <w:pPr>
        <w:pStyle w:val="BodyText"/>
      </w:pPr>
      <w:r>
        <w:t xml:space="preserve">Summary of MPs evaluated during the workshop, including tuning targets and performance metrics.</w:t>
      </w:r>
    </w:p>
    <w:p>
      <w:pPr>
        <w:pStyle w:val="BodyText"/>
      </w:pPr>
      <w:r>
        <w:t xml:space="preserve">The SC Chair, Ricardo developed some enhancements to the jmMSE demo</w:t>
      </w:r>
      <w:r>
        <w:t xml:space="preserve"> </w:t>
      </w:r>
      <w:r>
        <w:t xml:space="preserve">framework after the workshop. These introduce greater flexibility</w:t>
      </w:r>
      <w:r>
        <w:t xml:space="preserve"> </w:t>
      </w:r>
      <w:r>
        <w:t xml:space="preserve">and diagnostic power through two key components: performance2() and</w:t>
      </w:r>
      <w:r>
        <w:t xml:space="preserve"> </w:t>
      </w:r>
      <w:r>
        <w:t xml:space="preserve">evaluate_mp(). The performance2() function extends standard summary outputs by</w:t>
      </w:r>
      <w:r>
        <w:t xml:space="preserve"> </w:t>
      </w:r>
      <w:r>
        <w:t xml:space="preserve">computing a richer set of indicators—such as mean relative biomass and fishing</w:t>
      </w:r>
      <w:r>
        <w:t xml:space="preserve"> </w:t>
      </w:r>
      <w:r>
        <w:t xml:space="preserve">mortality, catch, the probability of remaining in the green zone of the Kobe</w:t>
      </w:r>
      <w:r>
        <w:t xml:space="preserve"> </w:t>
      </w:r>
      <w:r>
        <w:t xml:space="preserve">plot, and the longest duration spent outside it.</w:t>
      </w:r>
      <w:r>
        <w:t xml:space="preserve"> </w:t>
      </w:r>
      <w:r>
        <w:t xml:space="preserve"> </w:t>
      </w:r>
      <w:r>
        <w:t xml:space="preserve">The evaluate_mp() function wraps the full</w:t>
      </w:r>
      <w:r>
        <w:t xml:space="preserve"> </w:t>
      </w:r>
      <w:r>
        <w:t xml:space="preserve">MP simulation while allowing multi-parameter optimization of Harvest Control</w:t>
      </w:r>
      <w:r>
        <w:t xml:space="preserve"> </w:t>
      </w:r>
      <w:r>
        <w:t xml:space="preserve">Rule (HCR) settings, and it incorporates a customizable objective function that</w:t>
      </w:r>
      <w:r>
        <w:t xml:space="preserve"> </w:t>
      </w:r>
      <w:r>
        <w:t xml:space="preserve">accounts for discounted catch, stability (via IACV), conservation thresholds</w:t>
      </w:r>
      <w:r>
        <w:t xml:space="preserve"> </w:t>
      </w:r>
      <w:r>
        <w:t xml:space="preserve">(e.g., probability of being</w:t>
      </w:r>
      <w:r>
        <w:t xml:space="preserve"> </w:t>
      </w:r>
      <w:r>
        <w:t xml:space="preserve">“green”</w:t>
      </w:r>
      <w:r>
        <w:t xml:space="preserve">), and duration outside target reference</w:t>
      </w:r>
      <w:r>
        <w:t xml:space="preserve"> </w:t>
      </w:r>
      <w:r>
        <w:t xml:space="preserve">points. This setup allows for filtering out implausible simulations, facilitates</w:t>
      </w:r>
      <w:r>
        <w:t xml:space="preserve"> </w:t>
      </w:r>
      <w:r>
        <w:t xml:space="preserve">adaptive MP tuning, and supports rapid exploration of trade-offs in management</w:t>
      </w:r>
      <w:r>
        <w:t xml:space="preserve"> </w:t>
      </w:r>
      <w:r>
        <w:t xml:space="preserve">performance. Together, these tools make the MSE evaluation process more</w:t>
      </w:r>
      <w:r>
        <w:t xml:space="preserve"> </w:t>
      </w:r>
      <w:r>
        <w:t xml:space="preserve">transparent, efficient, and tailored to decision-maker priorities.</w:t>
      </w:r>
    </w:p>
    <w:p>
      <w:pPr>
        <w:pStyle w:val="BodyText"/>
      </w:pPr>
      <w:r>
        <w:t xml:space="preserve">This and other work conducted after the workshop encountered problems with the</w:t>
      </w:r>
      <w:r>
        <w:t xml:space="preserve"> </w:t>
      </w:r>
      <w:r>
        <w:t xml:space="preserve">magnitude of recruitment variability which led to unreasonably high levels</w:t>
      </w:r>
      <w:r>
        <w:t xml:space="preserve"> </w:t>
      </w:r>
      <w:r>
        <w:t xml:space="preserve">of biomass in a significant number of the simulations. This was something that</w:t>
      </w:r>
      <w:r>
        <w:t xml:space="preserve"> </w:t>
      </w:r>
      <w:r>
        <w:t xml:space="preserve">required further investigation and resolution in collaboration with the developer (Iago).</w:t>
      </w:r>
    </w:p>
    <w:bookmarkEnd w:id="54"/>
    <w:bookmarkStart w:id="55" w:name="medium-term-tasks"/>
    <w:p>
      <w:pPr>
        <w:pStyle w:val="Heading3"/>
      </w:pPr>
      <w:r>
        <w:t xml:space="preserve">Medium term tasks</w:t>
      </w:r>
    </w:p>
    <w:p>
      <w:pPr>
        <w:pStyle w:val="FirstParagraph"/>
      </w:pPr>
      <w:r>
        <w:t xml:space="preserve">The group agreed to continue working on the MSE framework, with a focus</w:t>
      </w:r>
      <w:r>
        <w:t xml:space="preserve"> </w:t>
      </w:r>
      <w:r>
        <w:t xml:space="preserve">on the following tasks: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Consider how reference set of OMs could be</w:t>
      </w:r>
      <w:r>
        <w:rPr>
          <w:b/>
          <w:bCs/>
        </w:rPr>
        <w:t xml:space="preserve"> </w:t>
      </w:r>
      <w:r>
        <w:rPr>
          <w:b/>
          <w:bCs/>
        </w:rPr>
        <w:t xml:space="preserve">regenerated</w:t>
      </w:r>
      <w:r>
        <w:t xml:space="preserve"> </w:t>
      </w:r>
      <w:r>
        <w:t xml:space="preserve">conditioned to historical data using MCMC methods.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Implement robustness tests</w:t>
      </w:r>
      <w:r>
        <w:t xml:space="preserve"> </w:t>
      </w:r>
      <w:r>
        <w:t xml:space="preserve">to evaluate how MPs perform under a range</w:t>
      </w:r>
      <w:r>
        <w:t xml:space="preserve"> </w:t>
      </w:r>
      <w:r>
        <w:t xml:space="preserve">of plausible yet uncertain scenarios.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Refine MP candidates</w:t>
      </w:r>
      <w:r>
        <w:t xml:space="preserve"> </w:t>
      </w:r>
      <w:r>
        <w:t xml:space="preserve">using the jmMSE software package, ensuring they are scientifically sound and</w:t>
      </w:r>
      <w:r>
        <w:t xml:space="preserve"> </w:t>
      </w:r>
      <w:r>
        <w:t xml:space="preserve">technically robust and transparent.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Document and share</w:t>
      </w:r>
      <w:r>
        <w:t xml:space="preserve"> </w:t>
      </w:r>
      <w:r>
        <w:t xml:space="preserve">the MSE framework,</w:t>
      </w:r>
      <w:r>
        <w:t xml:space="preserve"> </w:t>
      </w:r>
      <w:r>
        <w:t xml:space="preserve">including model assumptions, data sources, and MP structure.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Explore additional diagnostics</w:t>
      </w:r>
      <w:r>
        <w:t xml:space="preserve"> </w:t>
      </w:r>
      <w:r>
        <w:t xml:space="preserve">and refinements, including new performance</w:t>
      </w:r>
      <w:r>
        <w:t xml:space="preserve"> </w:t>
      </w:r>
      <w:r>
        <w:t xml:space="preserve">metrics that reflect stock status and trends in the final projection</w:t>
      </w:r>
      <w:r>
        <w:t xml:space="preserve"> </w:t>
      </w:r>
      <w:r>
        <w:t xml:space="preserve">years.</w:t>
      </w:r>
    </w:p>
    <w:bookmarkEnd w:id="55"/>
    <w:bookmarkStart w:id="59" w:name="further-recommendations-to-consider"/>
    <w:p>
      <w:pPr>
        <w:pStyle w:val="Heading2"/>
      </w:pPr>
      <w:r>
        <w:t xml:space="preserve">Further recommendations to consider</w:t>
      </w:r>
    </w:p>
    <w:bookmarkStart w:id="56" w:name="for-the-sc"/>
    <w:p>
      <w:pPr>
        <w:pStyle w:val="Heading3"/>
      </w:pPr>
      <w:r>
        <w:t xml:space="preserve">For the SC:</w:t>
      </w:r>
    </w:p>
    <w:p>
      <w:pPr>
        <w:numPr>
          <w:ilvl w:val="0"/>
          <w:numId w:val="1014"/>
        </w:numPr>
      </w:pPr>
      <w:r>
        <w:t xml:space="preserve">Adopt the current proposal structure with flexibility for future</w:t>
      </w:r>
      <w:r>
        <w:t xml:space="preserve"> </w:t>
      </w:r>
      <w:r>
        <w:t xml:space="preserve">adjustment.</w:t>
      </w:r>
    </w:p>
    <w:p>
      <w:pPr>
        <w:numPr>
          <w:ilvl w:val="0"/>
          <w:numId w:val="1014"/>
        </w:numPr>
      </w:pPr>
      <w:r>
        <w:t xml:space="preserve">Recommend a shortlist of MP options to simplify the selection</w:t>
      </w:r>
      <w:r>
        <w:t xml:space="preserve"> </w:t>
      </w:r>
      <w:r>
        <w:t xml:space="preserve">process at the Commission level.</w:t>
      </w:r>
    </w:p>
    <w:p>
      <w:pPr>
        <w:numPr>
          <w:ilvl w:val="0"/>
          <w:numId w:val="1014"/>
        </w:numPr>
      </w:pPr>
      <w:r>
        <w:t xml:space="preserve">Consider a placeholder method for calculating the 2026 TAC if MSE</w:t>
      </w:r>
      <w:r>
        <w:t xml:space="preserve"> </w:t>
      </w:r>
      <w:r>
        <w:t xml:space="preserve">work is not yet finalized.</w:t>
      </w:r>
    </w:p>
    <w:bookmarkEnd w:id="56"/>
    <w:bookmarkStart w:id="57" w:name="for-members"/>
    <w:p>
      <w:pPr>
        <w:pStyle w:val="Heading3"/>
      </w:pPr>
      <w:r>
        <w:t xml:space="preserve">For Members:</w:t>
      </w:r>
    </w:p>
    <w:p>
      <w:pPr>
        <w:numPr>
          <w:ilvl w:val="0"/>
          <w:numId w:val="1015"/>
        </w:numPr>
      </w:pPr>
      <w:r>
        <w:t xml:space="preserve">Commit to a shared MSE software base (FLR or openMSE).</w:t>
      </w:r>
    </w:p>
    <w:p>
      <w:pPr>
        <w:numPr>
          <w:ilvl w:val="0"/>
          <w:numId w:val="1015"/>
        </w:numPr>
      </w:pPr>
      <w:r>
        <w:t xml:space="preserve">Engage in pre-SC online meetings to broaden participation in MSE</w:t>
      </w:r>
      <w:r>
        <w:t xml:space="preserve"> </w:t>
      </w:r>
      <w:r>
        <w:t xml:space="preserve">discussions.</w:t>
      </w:r>
    </w:p>
    <w:bookmarkEnd w:id="57"/>
    <w:bookmarkStart w:id="58" w:name="for-analyst-iago"/>
    <w:p>
      <w:pPr>
        <w:pStyle w:val="Heading3"/>
      </w:pPr>
      <w:r>
        <w:t xml:space="preserve">For Analyst (Iago):</w:t>
      </w:r>
    </w:p>
    <w:p>
      <w:pPr>
        <w:numPr>
          <w:ilvl w:val="0"/>
          <w:numId w:val="1016"/>
        </w:numPr>
      </w:pPr>
      <w:r>
        <w:t xml:space="preserve">Prioritize enhancements discussed during the workshop:</w:t>
      </w:r>
    </w:p>
    <w:p>
      <w:pPr>
        <w:numPr>
          <w:ilvl w:val="1"/>
          <w:numId w:val="1017"/>
        </w:numPr>
      </w:pPr>
      <w:r>
        <w:t xml:space="preserve">Code clarity and naming conventions</w:t>
      </w:r>
    </w:p>
    <w:p>
      <w:pPr>
        <w:numPr>
          <w:ilvl w:val="1"/>
          <w:numId w:val="1017"/>
        </w:numPr>
      </w:pPr>
      <w:r>
        <w:t xml:space="preserve">Logical parameter usage across MPs</w:t>
      </w:r>
    </w:p>
    <w:p>
      <w:pPr>
        <w:numPr>
          <w:ilvl w:val="1"/>
          <w:numId w:val="1017"/>
        </w:numPr>
      </w:pPr>
      <w:r>
        <w:t xml:space="preserve">Refinement of FLR-to-dataframe functions</w:t>
      </w:r>
    </w:p>
    <w:p>
      <w:pPr>
        <w:numPr>
          <w:ilvl w:val="0"/>
          <w:numId w:val="1016"/>
        </w:numPr>
      </w:pPr>
      <w:r>
        <w:t xml:space="preserve">Identify successor strategy after contract ends in 2025.</w:t>
      </w:r>
    </w:p>
    <w:bookmarkEnd w:id="58"/>
    <w:bookmarkEnd w:id="59"/>
    <w:bookmarkEnd w:id="60"/>
    <w:bookmarkStart w:id="76" w:name="references"/>
    <w:p>
      <w:pPr>
        <w:pStyle w:val="Heading1"/>
      </w:pPr>
      <w:r>
        <w:t xml:space="preserve">References</w:t>
      </w:r>
    </w:p>
    <w:bookmarkStart w:id="75" w:name="refs"/>
    <w:bookmarkStart w:id="62" w:name="ref-slick2024"/>
    <w:p>
      <w:pPr>
        <w:pStyle w:val="Bibliography"/>
      </w:pPr>
      <w:r>
        <w:t xml:space="preserve">Blue Matter Science. 2024.</w:t>
      </w:r>
      <w:r>
        <w:t xml:space="preserve"> </w:t>
      </w:r>
      <w:r>
        <w:t xml:space="preserve">“Slick: Interactive Visualization of</w:t>
      </w:r>
      <w:r>
        <w:t xml:space="preserve"> </w:t>
      </w:r>
      <w:r>
        <w:t xml:space="preserve">MSE</w:t>
      </w:r>
      <w:r>
        <w:t xml:space="preserve"> </w:t>
      </w:r>
      <w:r>
        <w:t xml:space="preserve">Results.”</w:t>
      </w:r>
      <w:r>
        <w:t xml:space="preserve"> </w:t>
      </w:r>
      <w:r>
        <w:t xml:space="preserve">Blue Matter Science.</w:t>
      </w:r>
      <w:r>
        <w:t xml:space="preserve"> </w:t>
      </w:r>
      <w:hyperlink r:id="rId61">
        <w:r>
          <w:rPr>
            <w:rStyle w:val="Hyperlink"/>
          </w:rPr>
          <w:t xml:space="preserve">https://slick.bluematterscience.com/index.html</w:t>
        </w:r>
      </w:hyperlink>
      <w:r>
        <w:t xml:space="preserve">.</w:t>
      </w:r>
    </w:p>
    <w:bookmarkEnd w:id="62"/>
    <w:bookmarkStart w:id="64" w:name="ref-Carruthers2023"/>
    <w:p>
      <w:pPr>
        <w:pStyle w:val="Bibliography"/>
      </w:pPr>
      <w:r>
        <w:t xml:space="preserve">Carruthers, Thomas R., Quang C. Huynh, Adrian R. Hordyk, David Newman, Anthony D. M. Smith, Keith J. Sainsbury, Kevin Stokes, et al. 2023.</w:t>
      </w:r>
      <w:r>
        <w:t xml:space="preserve"> </w:t>
      </w:r>
      <w:r>
        <w:t xml:space="preserve">“Method Evaluation and Risk Assessment: A Framework for Evaluating Management Strategies for Data-Limited Fisheries.”</w:t>
      </w:r>
      <w:r>
        <w:t xml:space="preserve"> </w:t>
      </w:r>
      <w:r>
        <w:rPr>
          <w:i/>
          <w:iCs/>
        </w:rPr>
        <w:t xml:space="preserve">Fish and Fisheries</w:t>
      </w:r>
      <w:r>
        <w:t xml:space="preserve"> </w:t>
      </w:r>
      <w:r>
        <w:t xml:space="preserve">24 (6): 1335–50.</w:t>
      </w:r>
      <w:r>
        <w:t xml:space="preserve"> </w:t>
      </w:r>
      <w:hyperlink r:id="rId63">
        <w:r>
          <w:rPr>
            <w:rStyle w:val="Hyperlink"/>
          </w:rPr>
          <w:t xml:space="preserve">https://doi.org/10.1111/faf.12726</w:t>
        </w:r>
      </w:hyperlink>
      <w:r>
        <w:t xml:space="preserve">.</w:t>
      </w:r>
    </w:p>
    <w:bookmarkEnd w:id="64"/>
    <w:bookmarkStart w:id="66" w:name="ref-Hillary2023FLR"/>
    <w:p>
      <w:pPr>
        <w:pStyle w:val="Bibliography"/>
      </w:pPr>
      <w:r>
        <w:t xml:space="preserve">Hillary, Richard M., José M. Castro, James T. Thorson, Sean C. Anderson, and Laurence T. Kell. 2023.</w:t>
      </w:r>
      <w:r>
        <w:t xml:space="preserve"> </w:t>
      </w:r>
      <w:r>
        <w:t xml:space="preserve">“The FLR Software Framework for Building Management Strategy Evaluation Systems: Recent Advances and Application to Data-Rich and Data-Limited Fisheries.”</w:t>
      </w:r>
      <w:r>
        <w:t xml:space="preserve"> </w:t>
      </w:r>
      <w:r>
        <w:rPr>
          <w:i/>
          <w:iCs/>
        </w:rPr>
        <w:t xml:space="preserve">Fisheries Research</w:t>
      </w:r>
      <w:r>
        <w:t xml:space="preserve"> </w:t>
      </w:r>
      <w:r>
        <w:t xml:space="preserve">263: 106585.</w:t>
      </w:r>
      <w:r>
        <w:t xml:space="preserve"> </w:t>
      </w:r>
      <w:hyperlink r:id="rId65">
        <w:r>
          <w:rPr>
            <w:rStyle w:val="Hyperlink"/>
          </w:rPr>
          <w:t xml:space="preserve">https://doi.org/10.1016/j.fishres.2023.106585</w:t>
        </w:r>
      </w:hyperlink>
      <w:r>
        <w:t xml:space="preserve">.</w:t>
      </w:r>
    </w:p>
    <w:bookmarkEnd w:id="66"/>
    <w:bookmarkStart w:id="68" w:name="ref-Kell2007FLR"/>
    <w:p>
      <w:pPr>
        <w:pStyle w:val="Bibliography"/>
      </w:pPr>
      <w:r>
        <w:t xml:space="preserve">Kell, Laurence T., Iago Mosqueira, Paul Grosjean, Jean-Marc Fromentin, Dorleta Garcia, Richard Hillary, Ernesto Jardim Simon Mardle, et al. 2007.</w:t>
      </w:r>
      <w:r>
        <w:t xml:space="preserve"> </w:t>
      </w:r>
      <w:r>
        <w:t xml:space="preserve">“FLR: An Open-Source Framework for the Evaluation and Development of Management Strategies.”</w:t>
      </w:r>
      <w:r>
        <w:t xml:space="preserve"> </w:t>
      </w:r>
      <w:r>
        <w:rPr>
          <w:i/>
          <w:iCs/>
        </w:rPr>
        <w:t xml:space="preserve">ICES Journal of Marine Science</w:t>
      </w:r>
      <w:r>
        <w:t xml:space="preserve"> </w:t>
      </w:r>
      <w:r>
        <w:t xml:space="preserve">64 (4): 640–46.</w:t>
      </w:r>
      <w:r>
        <w:t xml:space="preserve"> </w:t>
      </w:r>
      <w:hyperlink r:id="rId67">
        <w:r>
          <w:rPr>
            <w:rStyle w:val="Hyperlink"/>
          </w:rPr>
          <w:t xml:space="preserve">https://doi.org/10.1093/icesjms/fsm012</w:t>
        </w:r>
      </w:hyperlink>
      <w:r>
        <w:t xml:space="preserve">.</w:t>
      </w:r>
    </w:p>
    <w:bookmarkEnd w:id="68"/>
    <w:bookmarkStart w:id="70" w:name="ref-mseviz2022"/>
    <w:p>
      <w:pPr>
        <w:pStyle w:val="Bibliography"/>
      </w:pPr>
      <w:r>
        <w:t xml:space="preserve">Mosqueira, Iago. 2022.</w:t>
      </w:r>
      <w:r>
        <w:t xml:space="preserve"> </w:t>
      </w:r>
      <w:r>
        <w:t xml:space="preserve">“Mseviz: Plots and Tools for Visualizing</w:t>
      </w:r>
      <w:r>
        <w:t xml:space="preserve"> </w:t>
      </w:r>
      <w:r>
        <w:t xml:space="preserve">MSE</w:t>
      </w:r>
      <w:r>
        <w:t xml:space="preserve"> </w:t>
      </w:r>
      <w:r>
        <w:t xml:space="preserve">Outputs.”</w:t>
      </w:r>
      <w:r>
        <w:t xml:space="preserve"> </w:t>
      </w:r>
      <w:r>
        <w:t xml:space="preserve">FLR Project;</w:t>
      </w:r>
      <w:r>
        <w:t xml:space="preserve"> </w:t>
      </w:r>
      <w:hyperlink r:id="rId69">
        <w:r>
          <w:rPr>
            <w:rStyle w:val="Hyperlink"/>
          </w:rPr>
          <w:t xml:space="preserve">https://github.com/flr/mseviz</w:t>
        </w:r>
      </w:hyperlink>
      <w:r>
        <w:t xml:space="preserve">.</w:t>
      </w:r>
      <w:r>
        <w:t xml:space="preserve"> </w:t>
      </w:r>
      <w:hyperlink r:id="rId69">
        <w:r>
          <w:rPr>
            <w:rStyle w:val="Hyperlink"/>
          </w:rPr>
          <w:t xml:space="preserve">https://github.com/flr/mseviz</w:t>
        </w:r>
      </w:hyperlink>
      <w:r>
        <w:t xml:space="preserve">.</w:t>
      </w:r>
    </w:p>
    <w:bookmarkEnd w:id="70"/>
    <w:bookmarkStart w:id="72" w:name="ref-sprfmo2024annex7"/>
    <w:p>
      <w:pPr>
        <w:pStyle w:val="Bibliography"/>
      </w:pPr>
      <w:r>
        <w:t xml:space="preserve">South Pacific Regional Fisheries Management Organisation. 2024.</w:t>
      </w:r>
      <w:r>
        <w:t xml:space="preserve"> </w:t>
      </w:r>
      <w:r>
        <w:t xml:space="preserve">“</w:t>
      </w:r>
      <w:r>
        <w:t xml:space="preserve">SC12 Report Annex 07: Jack Mackerel Technical Annex</w:t>
      </w:r>
      <w:r>
        <w:t xml:space="preserve">.”</w:t>
      </w:r>
      <w:r>
        <w:t xml:space="preserve"> </w:t>
      </w:r>
      <w:r>
        <w:t xml:space="preserve">SPRFMO</w:t>
      </w:r>
      <w:r>
        <w:t xml:space="preserve">;</w:t>
      </w:r>
      <w:r>
        <w:t xml:space="preserve"> </w:t>
      </w:r>
      <w:hyperlink r:id="rId71">
        <w:r>
          <w:rPr>
            <w:rStyle w:val="Hyperlink"/>
          </w:rPr>
          <w:t xml:space="preserve">https://sprfmo.int/assets/Meetings/02-SC/12th-SC-2024/SC12-Report-Annex-07-JM-Technical-Annex.pdf</w:t>
        </w:r>
      </w:hyperlink>
      <w:r>
        <w:t xml:space="preserve">.</w:t>
      </w:r>
    </w:p>
    <w:bookmarkEnd w:id="72"/>
    <w:bookmarkStart w:id="74" w:name="ref-sprfmo2025jmwgmse"/>
    <w:p>
      <w:pPr>
        <w:pStyle w:val="Bibliography"/>
      </w:pPr>
      <w:r>
        <w:t xml:space="preserve">SPRFMO Jack Mackerel Working Group. 2025.</w:t>
      </w:r>
      <w:r>
        <w:t xml:space="preserve"> </w:t>
      </w:r>
      <w:r>
        <w:t xml:space="preserve">“</w:t>
      </w:r>
      <w:r>
        <w:t xml:space="preserve">2025-07-03 JMWG MSE Science and Managers Session</w:t>
      </w:r>
      <w:r>
        <w:t xml:space="preserve">.”</w:t>
      </w:r>
      <w:r>
        <w:t xml:space="preserve"> </w:t>
      </w:r>
      <w:r>
        <w:t xml:space="preserve">South Pacific Regional Fisheries Management Organisation (SPRFMO);</w:t>
      </w:r>
      <w:r>
        <w:t xml:space="preserve"> </w:t>
      </w:r>
      <w:hyperlink r:id="rId73">
        <w:r>
          <w:rPr>
            <w:rStyle w:val="Hyperlink"/>
          </w:rPr>
          <w:t xml:space="preserve">https://southpacificrfmo.sharepoint.com/sites/SPRFMOSCJackMackerelWorkingGroup/Shared%20Documents/MSE/2025%20Work/2025_07_03%20JMWG%20MSE%20Science%20and%20Managers%20Session</w:t>
        </w:r>
      </w:hyperlink>
      <w:r>
        <w:t xml:space="preserve">.</w:t>
      </w:r>
    </w:p>
    <w:bookmarkEnd w:id="74"/>
    <w:bookmarkEnd w:id="75"/>
    <w:bookmarkEnd w:id="76"/>
    <w:bookmarkStart w:id="120" w:name="sec-shortcut"/>
    <w:p>
      <w:pPr>
        <w:pStyle w:val="Heading1"/>
      </w:pPr>
      <w:r>
        <w:t xml:space="preserve">Examples of Shortcut MPs</w:t>
      </w:r>
    </w:p>
    <w:p>
      <w:pPr>
        <w:pStyle w:val="FirstParagraph"/>
      </w:pPr>
      <w:r>
        <w:t xml:space="preserve">This section was compiled by Ignacio Payá and colleagues from Chile. It</w:t>
      </w:r>
      <w:r>
        <w:t xml:space="preserve"> </w:t>
      </w:r>
      <w:r>
        <w:t xml:space="preserve">summarizes an example implementation of</w:t>
      </w:r>
      <w:r>
        <w:t xml:space="preserve"> </w:t>
      </w:r>
      <w:r>
        <w:t xml:space="preserve">“shortcut”</w:t>
      </w:r>
      <w:r>
        <w:t xml:space="preserve"> </w:t>
      </w:r>
      <w:r>
        <w:t xml:space="preserve">management procedures</w:t>
      </w:r>
      <w:r>
        <w:t xml:space="preserve"> </w:t>
      </w:r>
      <w:r>
        <w:t xml:space="preserve">(MPs) that simplify the estimation and harvest control rule (HCR) steps</w:t>
      </w:r>
      <w:r>
        <w:t xml:space="preserve"> </w:t>
      </w:r>
      <w:r>
        <w:t xml:space="preserve">using buffered depletion-based control. It also illustrates how</w:t>
      </w:r>
      <w:r>
        <w:t xml:space="preserve"> </w:t>
      </w:r>
      <w:r>
        <w:t xml:space="preserve">FLR-based tools can be used to define control logic, evaluate HCR</w:t>
      </w:r>
      <w:r>
        <w:t xml:space="preserve"> </w:t>
      </w:r>
      <w:r>
        <w:t xml:space="preserve">targets, and visualize results 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(</w:t>
      </w:r>
      <w:r>
        <w:t xml:space="preserve">Blue Matter Science (2024)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mseviz</w:t>
      </w:r>
      <w:r>
        <w:t xml:space="preserve"> </w:t>
      </w:r>
      <w:r>
        <w:t xml:space="preserve">(</w:t>
      </w:r>
      <w:r>
        <w:t xml:space="preserve">Mosqueira (2022)</w:t>
      </w:r>
      <w:r>
        <w:t xml:space="preserve">) R packages. for performance evaluation. Each</w:t>
      </w:r>
      <w:r>
        <w:t xml:space="preserve"> </w:t>
      </w:r>
      <w:r>
        <w:t xml:space="preserve">section below includes code, explanation, and figures that demonstrate</w:t>
      </w:r>
      <w:r>
        <w:t xml:space="preserve"> </w:t>
      </w:r>
      <w:r>
        <w:t xml:space="preserve">specific aspects of the approach.</w:t>
      </w:r>
    </w:p>
    <w:bookmarkStart w:id="119" w:name="sec-def"/>
    <w:p>
      <w:pPr>
        <w:pStyle w:val="Heading2"/>
      </w:pPr>
      <w:r>
        <w:t xml:space="preserve">Shortcut MP Definition</w:t>
      </w:r>
    </w:p>
    <w:p>
      <w:pPr>
        <w:pStyle w:val="FirstParagraph"/>
      </w:pPr>
      <w:r>
        <w:t xml:space="preserve">This section defines the MP structure using</w:t>
      </w:r>
      <w:r>
        <w:t xml:space="preserve"> </w:t>
      </w:r>
      <w:r>
        <w:rPr>
          <w:rStyle w:val="VerbatimChar"/>
        </w:rPr>
        <w:t xml:space="preserve">mpCtrl()</w:t>
      </w:r>
      <w:r>
        <w:t xml:space="preserve"> </w:t>
      </w:r>
      <w:r>
        <w:t xml:space="preserve">with shortcut</w:t>
      </w:r>
      <w:r>
        <w:t xml:space="preserve"> </w:t>
      </w:r>
      <w:r>
        <w:t xml:space="preserve">estimation (</w:t>
      </w:r>
      <w:r>
        <w:rPr>
          <w:rStyle w:val="VerbatimChar"/>
        </w:rPr>
        <w:t xml:space="preserve">shortcut.sa</w:t>
      </w:r>
      <w:r>
        <w:t xml:space="preserve">), a buffer-based HCR, and a split</w:t>
      </w:r>
      <w:r>
        <w:t xml:space="preserve"> </w:t>
      </w:r>
      <w:r>
        <w:t xml:space="preserve">implementation system (ISYS). Deviations are defined using a lognormal</w:t>
      </w:r>
      <w:r>
        <w:t xml:space="preserve"> </w:t>
      </w:r>
      <w:r>
        <w:t xml:space="preserve">AR(1) process.</w:t>
      </w:r>
    </w:p>
    <w:bookmarkStart w:id="88" w:name="sec-hcr"/>
    <w:p>
      <w:pPr>
        <w:pStyle w:val="Heading3"/>
      </w:pPr>
      <w:r>
        <w:t xml:space="preserve">HCR Target Exploration</w:t>
      </w:r>
    </w:p>
    <w:p>
      <w:pPr>
        <w:pStyle w:val="FirstParagraph"/>
      </w:pPr>
      <w:r>
        <w:t xml:space="preserve">To evaluate MP performance under various Total Allowable Catch (TAC)</w:t>
      </w:r>
      <w:r>
        <w:t xml:space="preserve"> </w:t>
      </w:r>
      <w:r>
        <w:t xml:space="preserve">values, the control object from</w:t>
      </w:r>
      <w:r>
        <w:t xml:space="preserve"> </w:t>
      </w:r>
      <w:hyperlink w:anchor="sec-def">
        <w:r>
          <w:rPr>
            <w:rStyle w:val="Hyperlink"/>
          </w:rPr>
          <w:t xml:space="preserve">Section 8.1</w:t>
        </w:r>
      </w:hyperlink>
      <w:r>
        <w:t xml:space="preserve"> </w:t>
      </w:r>
      <w:r>
        <w:t xml:space="preserve">is tested across a</w:t>
      </w:r>
      <w:r>
        <w:t xml:space="preserve"> </w:t>
      </w:r>
      <w:r>
        <w:t xml:space="preserve">set of TAC multipliers. The target range brackets the 2025 CMM level.</w:t>
      </w:r>
      <w:r>
        <w:t xml:space="preserve"> </w:t>
      </w:r>
      <w:r>
        <w:t xml:space="preserve">This produces comparative projection plots for four candidate TAC levels</w:t>
      </w:r>
      <w:r>
        <w:t xml:space="preserve"> </w:t>
      </w:r>
      <w:r>
        <w:t xml:space="preserve">(</w:t>
      </w:r>
      <w:hyperlink w:anchor="fig-tac-proj">
        <w:r>
          <w:rPr>
            <w:rStyle w:val="Hyperlink"/>
          </w:rPr>
          <w:t xml:space="preserve">Figure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0" w:name="fig-tac-proj"/>
          <w:p>
            <w:pPr>
              <w:pStyle w:val="Compact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78" name="Picture"/>
                  <a:graphic>
                    <a:graphicData uri="http://schemas.openxmlformats.org/drawingml/2006/picture">
                      <pic:pic>
                        <pic:nvPicPr>
                          <pic:cNvPr descr="images/Projections_Sc_har_Around_TAC2025.png" id="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Projections for TAC 2025 scenarios using buffer</w:t>
            </w:r>
            <w:r>
              <w:t xml:space="preserve"> </w:t>
            </w:r>
            <w:r>
              <w:t xml:space="preserve">HCR.</w:t>
            </w:r>
          </w:p>
          <w:bookmarkEnd w:id="80"/>
        </w:tc>
      </w:tr>
    </w:tbl>
    <w:p>
      <w:pPr>
        <w:pStyle w:val="BodyText"/>
      </w:pPr>
      <w:r>
        <w:t xml:space="preserve">Now we test this with a simple limit on the annual change in TAC, which</w:t>
      </w:r>
      <w:r>
        <w:t xml:space="preserve"> </w:t>
      </w:r>
      <w:r>
        <w:t xml:space="preserve">is a common requirement in many fisheries management systems. These</w:t>
      </w:r>
      <w:r>
        <w:t xml:space="preserve"> </w:t>
      </w:r>
      <w:r>
        <w:t xml:space="preserve">results compare similarly to those without any TAC constraint</w:t>
      </w:r>
      <w:r>
        <w:t xml:space="preserve"> </w:t>
      </w:r>
      <w:r>
        <w:t xml:space="preserve">(</w:t>
      </w:r>
      <w:hyperlink w:anchor="fig-targets_lim">
        <w:r>
          <w:rPr>
            <w:rStyle w:val="Hyperlink"/>
          </w:rPr>
          <w:t xml:space="preserve">Figure 5</w:t>
        </w:r>
      </w:hyperlink>
      <w:r>
        <w:t xml:space="preserve">). A clearer evaluation of these two sets is shown in</w:t>
      </w:r>
      <w:r>
        <w:t xml:space="preserve"> </w:t>
      </w:r>
      <w:r>
        <w:t xml:space="preserve">the next section 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package.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4" w:name="fig-targets_lim"/>
          <w:p>
            <w:pPr>
              <w:pStyle w:val="Compact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82" name="Picture"/>
                  <a:graphic>
                    <a:graphicData uri="http://schemas.openxmlformats.org/drawingml/2006/picture">
                      <pic:pic>
                        <pic:nvPicPr>
                          <pic:cNvPr descr="images/Projections_Sc_har_Around_TAC2025_lim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Projections for TAC 2025 scenarios using buffer HCR with TAC change</w:t>
            </w:r>
            <w:r>
              <w:t xml:space="preserve"> </w:t>
            </w:r>
            <w:r>
              <w:t xml:space="preserve">limit at 15</w:t>
            </w:r>
            <w:r>
              <w:t xml:space="preserve"> </w:t>
            </w:r>
            <w:r>
              <w:t xml:space="preserve">percent.</w:t>
            </w:r>
          </w:p>
          <w:bookmarkEnd w:id="84"/>
        </w:tc>
      </w:tr>
    </w:tbl>
    <w:p>
      <w:pPr>
        <w:pStyle w:val="CaptionedFigure"/>
      </w:pPr>
      <w:r>
        <w:drawing>
          <wp:inline>
            <wp:extent cx="5334000" cy="3000375"/>
            <wp:effectExtent b="0" l="0" r="0" t="0"/>
            <wp:docPr descr="Projections for TAC 2025 scenarios using buffer HCR with TAC change limit at 25% (downward) and 15% increases." title="" id="86" name="Picture"/>
            <a:graphic>
              <a:graphicData uri="http://schemas.openxmlformats.org/drawingml/2006/picture">
                <pic:pic>
                  <pic:nvPicPr>
                    <pic:cNvPr descr="images/Projections_Sc_har_Around_TAC2025_lim25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Projections for TAC 2025 scenarios using buffer HCR with TAC change</w:t>
      </w:r>
      <w:r>
        <w:t xml:space="preserve"> </w:t>
      </w:r>
      <w:r>
        <w:t xml:space="preserve">limit at 25% (downward) and 15%</w:t>
      </w:r>
      <w:r>
        <w:t xml:space="preserve"> </w:t>
      </w:r>
      <w:r>
        <w:t xml:space="preserve">increases.</w:t>
      </w:r>
    </w:p>
    <w:p>
      <w:pPr>
        <w:pStyle w:val="SourceCode"/>
      </w:pPr>
      <w:r>
        <w:rPr>
          <w:rStyle w:val="FunctionTok"/>
        </w:rPr>
        <w:t xml:space="preserve">args</w:t>
      </w:r>
      <w:r>
        <w:rPr>
          <w:rStyle w:val="NormalTok"/>
        </w:rPr>
        <w:t xml:space="preserve">(ctrl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hcr)[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"dupp"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targets_lim15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mps</w:t>
      </w:r>
      <w:r>
        <w:rPr>
          <w:rStyle w:val="NormalTok"/>
        </w:rPr>
        <w:t xml:space="preserve">(om, oem, </w:t>
      </w:r>
      <w:r>
        <w:rPr>
          <w:rStyle w:val="AttributeTok"/>
        </w:rPr>
        <w:t xml:space="preserve">ctrl=</w:t>
      </w:r>
      <w:r>
        <w:rPr>
          <w:rStyle w:val="NormalTok"/>
        </w:rPr>
        <w:t xml:space="preserve">ctrl, </w:t>
      </w:r>
      <w:r>
        <w:rPr>
          <w:rStyle w:val="AttributeTok"/>
        </w:rPr>
        <w:t xml:space="preserve">args=</w:t>
      </w:r>
      <w:r>
        <w:rPr>
          <w:rStyle w:val="NormalTok"/>
        </w:rPr>
        <w:t xml:space="preserve">mseargs,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hcr=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TAC2025,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"images/Projections_Sc_har_Around_TAC2025_lim.png"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(om, targets_lim15)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##--Now with 25% change down, 15% uupper </w:t>
      </w:r>
      <w:r>
        <w:br/>
      </w:r>
      <w:r>
        <w:rPr>
          <w:rStyle w:val="FunctionTok"/>
        </w:rPr>
        <w:t xml:space="preserve">args</w:t>
      </w:r>
      <w:r>
        <w:rPr>
          <w:rStyle w:val="NormalTok"/>
        </w:rPr>
        <w:t xml:space="preserve">(ctrl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hcr)[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"dupp"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targets_lim2515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mps</w:t>
      </w:r>
      <w:r>
        <w:rPr>
          <w:rStyle w:val="NormalTok"/>
        </w:rPr>
        <w:t xml:space="preserve">(om, oem, </w:t>
      </w:r>
      <w:r>
        <w:rPr>
          <w:rStyle w:val="AttributeTok"/>
        </w:rPr>
        <w:t xml:space="preserve">ctrl=</w:t>
      </w:r>
      <w:r>
        <w:rPr>
          <w:rStyle w:val="NormalTok"/>
        </w:rPr>
        <w:t xml:space="preserve">ctrl, </w:t>
      </w:r>
      <w:r>
        <w:rPr>
          <w:rStyle w:val="AttributeTok"/>
        </w:rPr>
        <w:t xml:space="preserve">args=</w:t>
      </w:r>
      <w:r>
        <w:rPr>
          <w:rStyle w:val="NormalTok"/>
        </w:rPr>
        <w:t xml:space="preserve">mseargs,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hcr=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TAC2025,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"images/Projections_Sc_har_Around_TAC2025_lim2515.png"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(om, targets_lim2515)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##--Now with 25% change down, 15% uupper </w:t>
      </w:r>
    </w:p>
    <w:bookmarkEnd w:id="88"/>
    <w:bookmarkStart w:id="93" w:name="sec-slick"/>
    <w:p>
      <w:pPr>
        <w:pStyle w:val="Heading3"/>
      </w:pPr>
      <w:r>
        <w:t xml:space="preserve">Using openMSE’s Slick Output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package (</w:t>
      </w:r>
      <w:r>
        <w:t xml:space="preserve">Blue Matter Science (2024)</w:t>
      </w:r>
      <w:r>
        <w:t xml:space="preserve">), performance metrics such as</w:t>
      </w:r>
      <w:r>
        <w:t xml:space="preserve"> </w:t>
      </w:r>
      <w:r>
        <w:t xml:space="preserve">catch, fishing mortality, and spawning biomass can be summarized across</w:t>
      </w:r>
      <w:r>
        <w:t xml:space="preserve"> </w:t>
      </w:r>
      <w:r>
        <w:t xml:space="preserve">operating models and MPs. As one illustration of the application, we</w:t>
      </w:r>
      <w:r>
        <w:t xml:space="preserve"> </w:t>
      </w:r>
      <w:r>
        <w:t xml:space="preserve">presents a Kobe-style status time series from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. We compare three</w:t>
      </w:r>
      <w:r>
        <w:t xml:space="preserve"> </w:t>
      </w:r>
      <w:r>
        <w:t xml:space="preserve">shortcut management procedures (MPs) all tuned to the 2025 TAC level</w:t>
      </w:r>
      <w:r>
        <w:t xml:space="preserve"> </w:t>
      </w:r>
      <w:r>
        <w:t xml:space="preserve">(1.55 million t) but differing in constraints on interannual TAC changes</w:t>
      </w:r>
      <w:r>
        <w:t xml:space="preserve"> </w:t>
      </w:r>
      <w:r>
        <w:t xml:space="preserve">(</w:t>
      </w:r>
      <w:hyperlink w:anchor="fig-slick_kobe_time">
        <w:r>
          <w:rPr>
            <w:rStyle w:val="Hyperlink"/>
          </w:rPr>
          <w:t xml:space="preserve">Figure 6</w:t>
        </w:r>
      </w:hyperlink>
      <w:r>
        <w:t xml:space="preserve">). The panels from left to right represent: (1) no</w:t>
      </w:r>
      <w:r>
        <w:t xml:space="preserve"> </w:t>
      </w:r>
      <w:r>
        <w:t xml:space="preserve">constraint (1.0), (2) symmetric ±15% TAC change limit (1.0_d15), and (3)</w:t>
      </w:r>
      <w:r>
        <w:t xml:space="preserve"> </w:t>
      </w:r>
      <w:r>
        <w:t xml:space="preserve">asymmetric −25%/+15% limit (1.0_d2515). Each panel shows the proportion</w:t>
      </w:r>
      <w:r>
        <w:t xml:space="preserve"> </w:t>
      </w:r>
      <w:r>
        <w:t xml:space="preserve">of simulations over time falling into the green (safe), yellow</w:t>
      </w:r>
      <w:r>
        <w:t xml:space="preserve"> </w:t>
      </w:r>
      <w:r>
        <w:t xml:space="preserve">(overfished or overfishing), and red (overfished and overfishing) zones.</w:t>
      </w:r>
      <w:r>
        <w:t xml:space="preserve"> </w:t>
      </w:r>
      <w:r>
        <w:t xml:space="preserve">While all three MPs maintain a majority of simulations in the green</w:t>
      </w:r>
      <w:r>
        <w:t xml:space="preserve"> </w:t>
      </w:r>
      <w:r>
        <w:t xml:space="preserve">zone, applying TAC constraints leads to a slight increase in the</w:t>
      </w:r>
      <w:r>
        <w:t xml:space="preserve"> </w:t>
      </w:r>
      <w:r>
        <w:t xml:space="preserve">proportion of years falling into the red zone—particularly under the</w:t>
      </w:r>
      <w:r>
        <w:t xml:space="preserve"> </w:t>
      </w:r>
      <w:r>
        <w:t xml:space="preserve">asymmetric constraint. This reflects the trade-off where increased catch</w:t>
      </w:r>
      <w:r>
        <w:t xml:space="preserve"> </w:t>
      </w:r>
      <w:r>
        <w:t xml:space="preserve">stability may slightly elevate biological risk under certain scenarios.</w:t>
      </w:r>
      <w:r>
        <w:t xml:space="preserve"> </w:t>
      </w:r>
      <w:r>
        <w:t xml:space="preserve">We provide a copy of the slick file on the repository under MS Teams at</w:t>
      </w:r>
      <w:r>
        <w:t xml:space="preserve"> </w:t>
      </w:r>
      <w:r>
        <w:t xml:space="preserve">[tbd].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2" w:name="fig-slick_kobe_time"/>
          <w:p>
            <w:pPr>
              <w:pStyle w:val="Compact"/>
              <w:jc w:val="center"/>
            </w:pPr>
            <w:r>
              <w:drawing>
                <wp:inline>
                  <wp:extent cx="5334000" cy="2842979"/>
                  <wp:effectExtent b="0" l="0" r="0" t="0"/>
                  <wp:docPr descr="" title="" id="90" name="Picture"/>
                  <a:graphic>
                    <a:graphicData uri="http://schemas.openxmlformats.org/drawingml/2006/picture">
                      <pic:pic>
                        <pic:nvPicPr>
                          <pic:cNvPr descr="images/slick_kobe_time.png" id="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842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6: Shortcut application tuned to the 2025 TAC (1,552,500 t) but with</w:t>
            </w:r>
            <w:r>
              <w:t xml:space="preserve"> </w:t>
            </w:r>
            <w:r>
              <w:t xml:space="preserve">different constraints on TAC changes. Left most is no constraint, middle</w:t>
            </w:r>
            <w:r>
              <w:t xml:space="preserve"> </w:t>
            </w:r>
            <w:r>
              <w:t xml:space="preserve">is 15% increase and decrease, right-most is 25% decrease and 15%</w:t>
            </w:r>
            <w:r>
              <w:t xml:space="preserve"> </w:t>
            </w:r>
            <w:r>
              <w:t xml:space="preserve">increase.</w:t>
            </w:r>
          </w:p>
          <w:bookmarkEnd w:id="92"/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(Slick)</w:t>
      </w:r>
      <w:r>
        <w:br/>
      </w:r>
      <w:r>
        <w:rPr>
          <w:rStyle w:val="NormalTok"/>
        </w:rPr>
        <w:t xml:space="preserve">targs_lim2515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(targets_lim2515,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"scgb_d2515"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targs_lim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(targets_lim15,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(targs_lim))</w:t>
      </w:r>
      <w:r>
        <w:br/>
      </w:r>
      <w:r>
        <w:rPr>
          <w:rStyle w:val="NormalTok"/>
        </w:rPr>
        <w:t xml:space="preserve">omperf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(om,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writePerformance</w:t>
      </w:r>
      <w:r>
        <w:rPr>
          <w:rStyle w:val="NormalTok"/>
        </w:rPr>
        <w:t xml:space="preserve">(perf,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"demo/targets.dat.gz"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(perf)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(perf)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(perf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mp)</w:t>
      </w:r>
      <w:r>
        <w:br/>
      </w:r>
      <w:r>
        <w:br/>
      </w:r>
      <w:r>
        <w:rPr>
          <w:rStyle w:val="NormalTok"/>
        </w:rPr>
        <w:t xml:space="preserve">sli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getSlick</w:t>
      </w:r>
      <w:r>
        <w:rPr>
          <w:rStyle w:val="NormalTok"/>
        </w:rPr>
        <w:t xml:space="preserve">(perf, omperf, </w:t>
      </w:r>
      <w:r>
        <w:rPr>
          <w:rStyle w:val="AttributeTok"/>
        </w:rPr>
        <w:t xml:space="preserve">kobeyrs=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"0.85_d15"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"1.25_d15"</w:t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FunctionTok"/>
        </w:rPr>
        <w:t xml:space="preserve">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slick =</w:t>
      </w:r>
      <w:r>
        <w:rPr>
          <w:rStyle w:val="NormalTok"/>
        </w:rPr>
        <w:t xml:space="preserve"> sli)</w:t>
      </w:r>
      <w:r>
        <w:br/>
      </w:r>
      <w:r>
        <w:br/>
      </w:r>
      <w:r>
        <w:rPr>
          <w:rStyle w:val="CommentTok"/>
        </w:rPr>
        <w:t xml:space="preserve">#--Now show contrasts for current TAC limit (1,552,500 t)</w:t>
      </w:r>
      <w:r>
        <w:br/>
      </w:r>
      <w:r>
        <w:br/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(targs_lim2515)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(targs_lim2515))</w:t>
      </w:r>
      <w:r>
        <w:br/>
      </w:r>
      <w:r>
        <w:rPr>
          <w:rStyle w:val="CommentTok"/>
        </w:rPr>
        <w:t xml:space="preserve"># ptmp &lt;- perf |&gt; filter(str_detect(mp, "1552.5")) </w:t>
      </w:r>
      <w:r>
        <w:br/>
      </w:r>
      <w:r>
        <w:rPr>
          <w:rStyle w:val="CommentTok"/>
        </w:rPr>
        <w:t xml:space="preserve"># unique(ptmp$mp)</w:t>
      </w:r>
      <w:r>
        <w:br/>
      </w:r>
      <w:r>
        <w:rPr>
          <w:rStyle w:val="NormalTok"/>
        </w:rPr>
        <w:t xml:space="preserve">sli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getSlick</w:t>
      </w:r>
      <w:r>
        <w:rPr>
          <w:rStyle w:val="NormalTok"/>
        </w:rPr>
        <w:t xml:space="preserve">(perf, omperf, </w:t>
      </w:r>
      <w:r>
        <w:rPr>
          <w:rStyle w:val="AttributeTok"/>
        </w:rPr>
        <w:t xml:space="preserve">kobeyrs=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"0.85_d15"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"0.85_d2515"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"1.25_d2515"</w:t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FunctionTok"/>
        </w:rPr>
        <w:t xml:space="preserve">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slick =</w:t>
      </w:r>
      <w:r>
        <w:rPr>
          <w:rStyle w:val="NormalTok"/>
        </w:rPr>
        <w:t xml:space="preserve"> sli)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(sli,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"demo/PayaShortCuts_2.slick"</w:t>
      </w:r>
      <w:r>
        <w:rPr>
          <w:rStyle w:val="NormalTok"/>
        </w:rPr>
        <w:t xml:space="preserve">)</w:t>
      </w:r>
    </w:p>
    <w:bookmarkEnd w:id="93"/>
    <w:bookmarkStart w:id="118" w:name="sec-flr"/>
    <w:p>
      <w:pPr>
        <w:pStyle w:val="Heading3"/>
      </w:pPr>
      <w:r>
        <w:t xml:space="preserve">Other tools for viewing performance indicators</w:t>
      </w:r>
    </w:p>
    <w:p>
      <w:pPr>
        <w:pStyle w:val="FirstParagraph"/>
      </w:pPr>
      <w:r>
        <w:t xml:space="preserve">This section summarizes performance using FLR tools from the</w:t>
      </w:r>
      <w:r>
        <w:t xml:space="preserve"> </w:t>
      </w:r>
      <w:r>
        <w:rPr>
          <w:rStyle w:val="VerbatimChar"/>
        </w:rPr>
        <w:t xml:space="preserve">mseviz</w:t>
      </w:r>
      <w:r>
        <w:t xml:space="preserve"> </w:t>
      </w:r>
      <w:r>
        <w:t xml:space="preserve">package (</w:t>
      </w:r>
      <w:r>
        <w:t xml:space="preserve">Mosqueira (2022)</w:t>
      </w:r>
      <w:r>
        <w:t xml:space="preserve">). Average values are computed for specified periods</w:t>
      </w:r>
      <w:r>
        <w:t xml:space="preserve"> </w:t>
      </w:r>
      <w:r>
        <w:t xml:space="preserve">and used in BRP (Biological Reference Point) and tradeoff plots.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(mseviz)</w:t>
      </w:r>
      <w:r>
        <w:br/>
      </w:r>
      <w:r>
        <w:rPr>
          <w:rStyle w:val="FunctionTok"/>
        </w:rPr>
        <w:t xml:space="preserve">writePerformance</w:t>
      </w:r>
      <w:r>
        <w:rPr>
          <w:rStyle w:val="NormalTok"/>
        </w:rPr>
        <w:t xml:space="preserve">(perf,</w:t>
      </w:r>
      <w:r>
        <w:rPr>
          <w:rStyle w:val="StringTok"/>
        </w:rPr>
        <w:t xml:space="preserve">"demo/performance.dat.gz"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periods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short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long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readPerformance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"demo/performance.dat.gz"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((statistic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,data))</w:t>
      </w:r>
      <w:r>
        <w:br/>
      </w:r>
      <w:r>
        <w:rPr>
          <w:rStyle w:val="CommentTok"/>
        </w:rPr>
        <w:t xml:space="preserve">#unique(perf$statistic)</w:t>
      </w:r>
      <w:r>
        <w:br/>
      </w:r>
      <w:r>
        <w:rPr>
          <w:rStyle w:val="NormalTok"/>
        </w:rPr>
        <w:t xml:space="preserve">perf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perf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the part after "_d" and before "_hcr"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d_part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(mp, </w:t>
      </w:r>
      <w:r>
        <w:rPr>
          <w:rStyle w:val="StringTok"/>
        </w:rPr>
        <w:t xml:space="preserve">"(?&lt;=_d)[^_]+"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the trailing number after the last "_"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(mp, </w:t>
      </w:r>
      <w:r>
        <w:rPr>
          <w:rStyle w:val="StringTok"/>
        </w:rPr>
        <w:t xml:space="preserve">"[0-9.]+$"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short name by combining them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mp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d_part,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1319.62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1552.5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1785.37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periodsPerformance</w:t>
      </w:r>
      <w:r>
        <w:rPr>
          <w:rStyle w:val="NormalTok"/>
        </w:rPr>
        <w:t xml:space="preserve">(perf, periods) </w:t>
      </w:r>
      <w:r>
        <w:br/>
      </w:r>
      <w:r>
        <w:rPr>
          <w:rStyle w:val="CommentTok"/>
        </w:rPr>
        <w:t xml:space="preserve"># perf |&gt; filter(period=='tuning', statistic %in% c("SB","C", "IACC"),  mp %in% c("d00_1.0", "d15_1.0", "d2515_1.0")) |&gt;</w:t>
      </w:r>
      <w:r>
        <w:br/>
      </w:r>
      <w:r>
        <w:rPr>
          <w:rStyle w:val="CommentTok"/>
        </w:rPr>
        <w:t xml:space="preserve">#   ggplot(aes(x=as.factor(mp),y=data,fill=mp)) + geom_boxplot(outlier.shape=NA) + ggthemes::theme_few() +</w:t>
      </w:r>
      <w:r>
        <w:br/>
      </w:r>
      <w:r>
        <w:rPr>
          <w:rStyle w:val="CommentTok"/>
        </w:rPr>
        <w:t xml:space="preserve">#   facet_wrap(.~statistic, scales="free_y") 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"images/sc_delta_TAC.png"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plotBPs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'tuning'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statistics=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Tuning Period (2034–2045)"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"images/sc_targ_TAC.png"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plotBPs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'tuning'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statistics=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Tuning Period (2034–2045)"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performance of shortcut management procedures (MPs) over the tuning</w:t>
      </w:r>
      <w:r>
        <w:t xml:space="preserve"> </w:t>
      </w:r>
      <w:r>
        <w:t xml:space="preserve">period (2034–2045) were contrasted as an example. Here, each MP was run</w:t>
      </w:r>
      <w:r>
        <w:t xml:space="preserve"> </w:t>
      </w:r>
      <w:r>
        <w:t xml:space="preserve">with catch</w:t>
      </w:r>
      <w:r>
        <w:t xml:space="preserve"> </w:t>
      </w:r>
      <w:r>
        <w:t xml:space="preserve">“targets”</w:t>
      </w:r>
      <w:r>
        <w:t xml:space="preserve"> </w:t>
      </w:r>
      <w:r>
        <w:t xml:space="preserve">at different level relative to the 2025 TAC (1.5525</w:t>
      </w:r>
      <w:r>
        <w:t xml:space="preserve"> </w:t>
      </w:r>
      <w:r>
        <w:t xml:space="preserve">million t). They ranged from 85% (d00_0.85) to 125% (d00_1.25), with no</w:t>
      </w:r>
      <w:r>
        <w:t xml:space="preserve"> </w:t>
      </w:r>
      <w:r>
        <w:t xml:space="preserve">constraints on interannual TAC changes. As expected, higher catch</w:t>
      </w:r>
      <w:r>
        <w:t xml:space="preserve"> </w:t>
      </w:r>
      <w:r>
        <w:t xml:space="preserve">targets result in greater average catches (mean(C)), but also increased</w:t>
      </w:r>
      <w:r>
        <w:t xml:space="preserve"> </w:t>
      </w:r>
      <w:r>
        <w:t xml:space="preserve">interannual variability (IAC(C)), as well as higher fishing mortality</w:t>
      </w:r>
      <w:r>
        <w:t xml:space="preserve"> </w:t>
      </w:r>
      <w:r>
        <w:t xml:space="preserve">(F) (</w:t>
      </w:r>
      <w:hyperlink w:anchor="fig-targ_TAC">
        <w:r>
          <w:rPr>
            <w:rStyle w:val="Hyperlink"/>
          </w:rPr>
          <w:t xml:space="preserve">Figure 7</w:t>
        </w:r>
      </w:hyperlink>
      <w:r>
        <w:t xml:space="preserve">). Conversely, spawning biomass (SB) declines with</w:t>
      </w:r>
      <w:r>
        <w:t xml:space="preserve"> </w:t>
      </w:r>
      <w:r>
        <w:t xml:space="preserve">increasing catch target, suggesting a clear trade-off between yield and</w:t>
      </w:r>
      <w:r>
        <w:t xml:space="preserve"> </w:t>
      </w:r>
      <w:r>
        <w:t xml:space="preserve">stock conservation. While d00_1.0 balances moderate catch with more</w:t>
      </w:r>
      <w:r>
        <w:t xml:space="preserve"> </w:t>
      </w:r>
      <w:r>
        <w:t xml:space="preserve">stable biomass and fishing pressure, higher targets (d00_1.15 and</w:t>
      </w:r>
      <w:r>
        <w:t xml:space="preserve"> </w:t>
      </w:r>
      <w:r>
        <w:t xml:space="preserve">d00_1.25) achieve larger catches at the cost of reduced SB and greater</w:t>
      </w:r>
      <w:r>
        <w:t xml:space="preserve"> </w:t>
      </w:r>
      <w:r>
        <w:t xml:space="preserve">volatility—highlighting the importance of considering both yield and</w:t>
      </w:r>
      <w:r>
        <w:t xml:space="preserve"> </w:t>
      </w:r>
      <w:r>
        <w:t xml:space="preserve">stability objectives when selecting candidate MPs.</w:t>
      </w:r>
    </w:p>
    <w:p>
      <w:pPr>
        <w:pStyle w:val="BodyText"/>
      </w:pPr>
      <w:r>
        <w:t xml:space="preserve">We then compared performance of shortcut MPs all tuned to the 2025 TAC</w:t>
      </w:r>
      <w:r>
        <w:t xml:space="preserve"> </w:t>
      </w:r>
      <w:r>
        <w:t xml:space="preserve">target (1.5525 million t), but with different constraints on interannual</w:t>
      </w:r>
      <w:r>
        <w:t xml:space="preserve"> </w:t>
      </w:r>
      <w:r>
        <w:t xml:space="preserve">changes in TAC. These included (as in the previous figure) no constraint</w:t>
      </w:r>
      <w:r>
        <w:t xml:space="preserve"> </w:t>
      </w:r>
      <w:r>
        <w:t xml:space="preserve">on TAC changes (d00), a symmetric ±15% constraint (d15), and an</w:t>
      </w:r>
      <w:r>
        <w:t xml:space="preserve"> </w:t>
      </w:r>
      <w:r>
        <w:t xml:space="preserve">asymmetric −25%/+15% constraint (d2515). While mean catch (mean(C)) is</w:t>
      </w:r>
      <w:r>
        <w:t xml:space="preserve"> </w:t>
      </w:r>
      <w:r>
        <w:t xml:space="preserve">similar across all three MPs, the application of TAC constraints notably</w:t>
      </w:r>
      <w:r>
        <w:t xml:space="preserve"> </w:t>
      </w:r>
      <w:r>
        <w:t xml:space="preserve">reduces interannual variability (IAC(C)) compared to the unconstrained</w:t>
      </w:r>
      <w:r>
        <w:t xml:space="preserve"> </w:t>
      </w:r>
      <w:r>
        <w:t xml:space="preserve">case (</w:t>
      </w:r>
      <w:hyperlink w:anchor="fig-deltaTAC">
        <w:r>
          <w:rPr>
            <w:rStyle w:val="Hyperlink"/>
          </w:rPr>
          <w:t xml:space="preserve">Figure 8</w:t>
        </w:r>
      </w:hyperlink>
      <w:r>
        <w:t xml:space="preserve">). This stability comes with trade-offs—particularly</w:t>
      </w:r>
      <w:r>
        <w:t xml:space="preserve"> </w:t>
      </w:r>
      <w:r>
        <w:t xml:space="preserve">a modest increase in the probability of hitting a predefined TAC floor</w:t>
      </w:r>
      <w:r>
        <w:t xml:space="preserve"> </w:t>
      </w:r>
      <w:r>
        <w:t xml:space="preserve">(P(TAClimit)) for d15 and d2515. Spawning biomass (SB) and fishing</w:t>
      </w:r>
      <w:r>
        <w:t xml:space="preserve"> </w:t>
      </w:r>
      <w:r>
        <w:t xml:space="preserve">mortality (F) remain broadly similar across scenarios, suggesting that</w:t>
      </w:r>
      <w:r>
        <w:t xml:space="preserve"> </w:t>
      </w:r>
      <w:r>
        <w:t xml:space="preserve">moderate TAC constraints can improve catch stability without severely</w:t>
      </w:r>
      <w:r>
        <w:t xml:space="preserve"> </w:t>
      </w:r>
      <w:r>
        <w:t xml:space="preserve">compromising stock status. Overall, the results highlight the</w:t>
      </w:r>
      <w:r>
        <w:t xml:space="preserve"> </w:t>
      </w:r>
      <w:r>
        <w:t xml:space="preserve">stabilizing benefit of delta-TAC constraints, with d15 offering the most</w:t>
      </w:r>
      <w:r>
        <w:t xml:space="preserve"> </w:t>
      </w:r>
      <w:r>
        <w:t xml:space="preserve">consistent balance of catch, stability, and conservation performance.</w:t>
      </w:r>
    </w:p>
    <w:p>
      <w:pPr>
        <w:pStyle w:val="BodyText"/>
      </w:pPr>
      <w:r>
        <w:t xml:space="preserve">As an alternative, we show figures that highlight short-term (2025–2027)</w:t>
      </w:r>
      <w:r>
        <w:t xml:space="preserve"> </w:t>
      </w:r>
      <w:r>
        <w:t xml:space="preserve">trade-offs among shortcut MPs based on either different TAC targets</w:t>
      </w:r>
      <w:r>
        <w:t xml:space="preserve"> </w:t>
      </w:r>
      <w:r>
        <w:t xml:space="preserve">(</w:t>
      </w:r>
      <w:hyperlink w:anchor="fig-targsTO">
        <w:r>
          <w:rPr>
            <w:rStyle w:val="Hyperlink"/>
          </w:rPr>
          <w:t xml:space="preserve">Figure 9</w:t>
        </w:r>
      </w:hyperlink>
      <w:r>
        <w:t xml:space="preserve">) or different TAC change constraints (</w:t>
      </w:r>
      <w:hyperlink w:anchor="fig-deltaTO">
        <w:r>
          <w:rPr>
            <w:rStyle w:val="Hyperlink"/>
          </w:rPr>
          <w:t xml:space="preserve">Figure 10</w:t>
        </w:r>
      </w:hyperlink>
      <w:r>
        <w:t xml:space="preserve">).</w:t>
      </w:r>
      <w:r>
        <w:t xml:space="preserve"> </w:t>
      </w:r>
      <w:r>
        <w:t xml:space="preserve">Increasing the TAC target from 85% to 125% of the 2025 TAC results in</w:t>
      </w:r>
      <w:r>
        <w:t xml:space="preserve"> </w:t>
      </w:r>
      <w:r>
        <w:t xml:space="preserve">expected increases in catch, but also in fishing mortality (F) and</w:t>
      </w:r>
      <w:r>
        <w:t xml:space="preserve"> </w:t>
      </w:r>
      <w:r>
        <w:t xml:space="preserve">interannual catch variability (IAC(C)), with slight declines in spawning</w:t>
      </w:r>
      <w:r>
        <w:t xml:space="preserve"> </w:t>
      </w:r>
      <w:r>
        <w:t xml:space="preserve">biomass (SB). All options show negligible probability of hitting the TAC</w:t>
      </w:r>
      <w:r>
        <w:t xml:space="preserve"> </w:t>
      </w:r>
      <w:r>
        <w:t xml:space="preserve">floor (P(TAClimit)). In contrast, comparing MPs with the same TAC target</w:t>
      </w:r>
      <w:r>
        <w:t xml:space="preserve"> </w:t>
      </w:r>
      <w:r>
        <w:t xml:space="preserve">(2025 level) but different delta-TAC constraints (</w:t>
      </w:r>
      <w:hyperlink w:anchor="fig-deltaTO">
        <w:r>
          <w:rPr>
            <w:rStyle w:val="Hyperlink"/>
          </w:rPr>
          <w:t xml:space="preserve">Figure 10</w:t>
        </w:r>
      </w:hyperlink>
      <w:r>
        <w:t xml:space="preserve">). While</w:t>
      </w:r>
      <w:r>
        <w:t xml:space="preserve"> </w:t>
      </w:r>
      <w:r>
        <w:t xml:space="preserve">d00_1.0 provides slightly higher short-term catch, it exhibits greater</w:t>
      </w:r>
      <w:r>
        <w:t xml:space="preserve"> </w:t>
      </w:r>
      <w:r>
        <w:t xml:space="preserve">catch variability and a marginally higher risk of triggering the TAC</w:t>
      </w:r>
      <w:r>
        <w:t xml:space="preserve"> </w:t>
      </w:r>
      <w:r>
        <w:t xml:space="preserve">limit compared to d15_1.0 and d2515_1.0. These results suggest that in</w:t>
      </w:r>
      <w:r>
        <w:t xml:space="preserve"> </w:t>
      </w:r>
      <w:r>
        <w:t xml:space="preserve">the short term, applying TAC constraints can enhance stability and</w:t>
      </w:r>
      <w:r>
        <w:t xml:space="preserve"> </w:t>
      </w:r>
      <w:r>
        <w:t xml:space="preserve">reduce the risk of severe TAC cuts, albeit in catch—highlighting a</w:t>
      </w:r>
      <w:r>
        <w:t xml:space="preserve"> </w:t>
      </w:r>
      <w:r>
        <w:t xml:space="preserve">management choice between maximizing short-term yield and reducing</w:t>
      </w:r>
      <w:r>
        <w:t xml:space="preserve"> </w:t>
      </w:r>
      <w:r>
        <w:t xml:space="preserve">volatility.</w:t>
      </w:r>
    </w:p>
    <w:p>
      <w:pPr>
        <w:pStyle w:val="BodyText"/>
      </w:pPr>
      <w:r>
        <w:t xml:space="preserve">While the general patterns observed in the short-term persist, the</w:t>
      </w:r>
      <w:r>
        <w:t xml:space="preserve"> </w:t>
      </w:r>
      <w:r>
        <w:t xml:space="preserve">medium-term results show reduced separation across MPs in all</w:t>
      </w:r>
      <w:r>
        <w:t xml:space="preserve"> </w:t>
      </w:r>
      <w:r>
        <w:t xml:space="preserve">performance metrics. For instance, in the TAC target comparison (top</w:t>
      </w:r>
      <w:r>
        <w:t xml:space="preserve"> </w:t>
      </w:r>
      <w:r>
        <w:t xml:space="preserve">panel), differences in fishing mortality (F), interannual catch</w:t>
      </w:r>
      <w:r>
        <w:t xml:space="preserve"> </w:t>
      </w:r>
      <w:r>
        <w:t xml:space="preserve">variability (IAC(C)), and spawning biomass (SB) across catch targets</w:t>
      </w:r>
      <w:r>
        <w:t xml:space="preserve"> </w:t>
      </w:r>
      <w:r>
        <w:t xml:space="preserve">narrow considerably. This suggests that the system has begun to</w:t>
      </w:r>
      <w:r>
        <w:t xml:space="preserve"> </w:t>
      </w:r>
      <w:r>
        <w:t xml:space="preserve">stabilize, with stock status and catch performance converging even under</w:t>
      </w:r>
      <w:r>
        <w:t xml:space="preserve"> </w:t>
      </w:r>
      <w:r>
        <w:t xml:space="preserve">different TAC target levels (</w:t>
      </w:r>
      <w:hyperlink w:anchor="fig-targsTOmed">
        <w:r>
          <w:rPr>
            <w:rStyle w:val="Hyperlink"/>
          </w:rPr>
          <w:t xml:space="preserve">Figure 11</w:t>
        </w:r>
      </w:hyperlink>
      <w:r>
        <w:t xml:space="preserve">). Similarly, in the</w:t>
      </w:r>
      <w:r>
        <w:t xml:space="preserve"> </w:t>
      </w:r>
      <w:r>
        <w:t xml:space="preserve">delta-TAC constraint comparison (</w:t>
      </w:r>
      <w:hyperlink w:anchor="fig-deltaTOmed">
        <w:r>
          <w:rPr>
            <w:rStyle w:val="Hyperlink"/>
          </w:rPr>
          <w:t xml:space="preserve">Figure 12</w:t>
        </w:r>
      </w:hyperlink>
      <w:r>
        <w:t xml:space="preserve">), the three strategies</w:t>
      </w:r>
      <w:r>
        <w:t xml:space="preserve"> </w:t>
      </w:r>
      <w:r>
        <w:t xml:space="preserve">(d00, d15, d2515) yield almost indistinguishable outcomes across all</w:t>
      </w:r>
      <w:r>
        <w:t xml:space="preserve"> </w:t>
      </w:r>
      <w:r>
        <w:t xml:space="preserve">metrics, aside from slightly higher uncertainty in the risk of hitting</w:t>
      </w:r>
      <w:r>
        <w:t xml:space="preserve"> </w:t>
      </w:r>
      <w:r>
        <w:t xml:space="preserve">the TAC limit for d15_1.0. This convergence indicates that the influence</w:t>
      </w:r>
      <w:r>
        <w:t xml:space="preserve"> </w:t>
      </w:r>
      <w:r>
        <w:t xml:space="preserve">of TAC constraints diminishes as the system settles, implying that</w:t>
      </w:r>
      <w:r>
        <w:t xml:space="preserve"> </w:t>
      </w:r>
      <w:r>
        <w:t xml:space="preserve">short-term trade-offs in volatility and yield may be more relevant than</w:t>
      </w:r>
      <w:r>
        <w:t xml:space="preserve"> </w:t>
      </w:r>
      <w:r>
        <w:t xml:space="preserve">medium-term differences when selecting among MPs.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7" w:name="fig-targ_TAC"/>
          <w:p>
            <w:pPr>
              <w:pStyle w:val="Compact"/>
              <w:jc w:val="center"/>
            </w:pPr>
            <w:r>
              <w:drawing>
                <wp:inline>
                  <wp:extent cx="5334000" cy="4741333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images/sc_targ_TAC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4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7: Boxplots for shortcut MP with target catches set to different</w:t>
            </w:r>
            <w:r>
              <w:t xml:space="preserve"> </w:t>
            </w:r>
            <w:r>
              <w:t xml:space="preserve">multipliers of the 2025 TAC (e.g., 0.85 is 85% of the 2025 TAC (1.5525</w:t>
            </w:r>
            <w:r>
              <w:t xml:space="preserve"> </w:t>
            </w:r>
            <w:r>
              <w:t xml:space="preserve">million t).</w:t>
            </w:r>
          </w:p>
          <w:bookmarkEnd w:id="9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1" w:name="fig-deltaTAC"/>
          <w:p>
            <w:pPr>
              <w:pStyle w:val="Compact"/>
              <w:jc w:val="center"/>
            </w:pPr>
            <w:r>
              <w:drawing>
                <wp:inline>
                  <wp:extent cx="5334000" cy="4741333"/>
                  <wp:effectExtent b="0" l="0" r="0" t="0"/>
                  <wp:docPr descr="" title="" id="99" name="Picture"/>
                  <a:graphic>
                    <a:graphicData uri="http://schemas.openxmlformats.org/drawingml/2006/picture">
                      <pic:pic>
                        <pic:nvPicPr>
                          <pic:cNvPr descr="images/sc_delta_TAC.png" id="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4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8: Boxplots for shortcut MP with target catches set to the 2025 TAC</w:t>
            </w:r>
            <w:r>
              <w:t xml:space="preserve"> </w:t>
            </w:r>
            <w:r>
              <w:t xml:space="preserve">(1.5525 million t) and with different constraints on annual TAC</w:t>
            </w:r>
            <w:r>
              <w:t xml:space="preserve"> </w:t>
            </w:r>
            <w:r>
              <w:t xml:space="preserve">changes.</w:t>
            </w:r>
          </w:p>
          <w:bookmarkEnd w:id="10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5" w:name="fig-targsTO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images/sc_targs_TO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9: “Trade-off plots for short term results from the shortcut method and</w:t>
            </w:r>
            <w:r>
              <w:t xml:space="preserve"> </w:t>
            </w:r>
            <w:r>
              <w:t xml:space="preserve">different targets relative to the 2025 TAC (1.5525 million</w:t>
            </w:r>
            <w:r>
              <w:t xml:space="preserve"> </w:t>
            </w:r>
            <w:r>
              <w:t xml:space="preserve">t).</w:t>
            </w:r>
          </w:p>
          <w:bookmarkEnd w:id="105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9" w:name="fig-deltaTO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07" name="Picture"/>
                  <a:graphic>
                    <a:graphicData uri="http://schemas.openxmlformats.org/drawingml/2006/picture">
                      <pic:pic>
                        <pic:nvPicPr>
                          <pic:cNvPr descr="images/sc_delta_TO.png" id="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10: “Trade-off plots for short term results from the shortcut method and</w:t>
            </w:r>
            <w:r>
              <w:t xml:space="preserve"> </w:t>
            </w:r>
            <w:r>
              <w:t xml:space="preserve">different constraints on annual TAC</w:t>
            </w:r>
            <w:r>
              <w:t xml:space="preserve"> </w:t>
            </w:r>
            <w:r>
              <w:t xml:space="preserve">changes).</w:t>
            </w:r>
          </w:p>
          <w:bookmarkEnd w:id="109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3" w:name="fig-targsTOmed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11" name="Picture"/>
                  <a:graphic>
                    <a:graphicData uri="http://schemas.openxmlformats.org/drawingml/2006/picture">
                      <pic:pic>
                        <pic:nvPicPr>
                          <pic:cNvPr descr="images/sc_targs_TO_med.png" id="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11: “Trade-off plots for medium term results from the shortcut method and</w:t>
            </w:r>
            <w:r>
              <w:t xml:space="preserve"> </w:t>
            </w:r>
            <w:r>
              <w:t xml:space="preserve">different targets relative to the 2025 TAC (1.5525 million</w:t>
            </w:r>
            <w:r>
              <w:t xml:space="preserve"> </w:t>
            </w:r>
            <w:r>
              <w:t xml:space="preserve">t).</w:t>
            </w:r>
          </w:p>
          <w:bookmarkEnd w:id="113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7" w:name="fig-deltaTOmed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15" name="Picture"/>
                  <a:graphic>
                    <a:graphicData uri="http://schemas.openxmlformats.org/drawingml/2006/picture">
                      <pic:pic>
                        <pic:nvPicPr>
                          <pic:cNvPr descr="images/sc_delta_TO_med.png" id="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12: “Trade-off plots for medium term results from the shortcut method and</w:t>
            </w:r>
            <w:r>
              <w:t xml:space="preserve"> </w:t>
            </w:r>
            <w:r>
              <w:t xml:space="preserve">different constraints on annual TAC</w:t>
            </w:r>
            <w:r>
              <w:t xml:space="preserve"> </w:t>
            </w:r>
            <w:r>
              <w:t xml:space="preserve">changes).</w:t>
            </w:r>
          </w:p>
          <w:bookmarkEnd w:id="117"/>
        </w:tc>
      </w:tr>
    </w:tbl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'short'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Short-Term Period (2025–2027)"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"images/sc_targs_TO_med.png"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Medium-Term Period (2027–2032)"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"images/sc_delta_TO_med.png"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Medium-Term Period (2027–2032)"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"images/sc_targs_TO.png"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'short'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Short-Term Period (2025–2027)"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These diagnostics provide visual summaries of CMP performance across</w:t>
      </w:r>
      <w:r>
        <w:t xml:space="preserve"> </w:t>
      </w:r>
      <w:r>
        <w:t xml:space="preserve">time horizons.</w:t>
      </w:r>
      <w:r>
        <w:t xml:space="preserve"> </w:t>
      </w:r>
      <w:r>
        <w:t xml:space="preserve">This addendum presents a full example of how shortcut methods can be</w:t>
      </w:r>
      <w:r>
        <w:t xml:space="preserve"> </w:t>
      </w:r>
      <w:r>
        <w:t xml:space="preserve">configured and evaluated in the jmMSE framework. The use of buffered</w:t>
      </w:r>
      <w:r>
        <w:t xml:space="preserve"> </w:t>
      </w:r>
      <w:r>
        <w:t xml:space="preserve">harvest control, lognormal deviations, and simplified estimation methods</w:t>
      </w:r>
      <w:r>
        <w:t xml:space="preserve"> </w:t>
      </w:r>
      <w:r>
        <w:t xml:space="preserve">make these examples especially useful for scoping and tuning phases of</w:t>
      </w:r>
      <w:r>
        <w:t xml:space="preserve"> </w:t>
      </w:r>
      <w:r>
        <w:t xml:space="preserve">MSE development. Future iterations could generalize the estimation block</w:t>
      </w:r>
      <w:r>
        <w:t xml:space="preserve"> </w:t>
      </w:r>
      <w:r>
        <w:t xml:space="preserve">or integrate OpenMSE for better interoperability.</w:t>
      </w:r>
    </w:p>
    <w:bookmarkEnd w:id="118"/>
    <w:bookmarkEnd w:id="119"/>
    <w:bookmarkEnd w:id="1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COMM13-Prop01 and COMM13-Prop01_rev5 (Annex 10d)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COMM3-Annex C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SPRFMO Convention, Article 4.3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SC12 Report, Paragraph 136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COMM3-Annex C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SC12 Report, Paragraph 137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SC12 Report, Table 37 of Annex 7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SPRFMO Convention, Article 20(5)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31" Target="media/rId31.png" /><Relationship Type="http://schemas.openxmlformats.org/officeDocument/2006/relationships/image" Id="rId47" Target="media/rId47.png" /><Relationship Type="http://schemas.openxmlformats.org/officeDocument/2006/relationships/image" Id="rId98" Target="media/rId98.png" /><Relationship Type="http://schemas.openxmlformats.org/officeDocument/2006/relationships/image" Id="rId106" Target="media/rId106.png" /><Relationship Type="http://schemas.openxmlformats.org/officeDocument/2006/relationships/image" Id="rId114" Target="media/rId114.png" /><Relationship Type="http://schemas.openxmlformats.org/officeDocument/2006/relationships/image" Id="rId94" Target="media/rId94.png" /><Relationship Type="http://schemas.openxmlformats.org/officeDocument/2006/relationships/image" Id="rId102" Target="media/rId102.png" /><Relationship Type="http://schemas.openxmlformats.org/officeDocument/2006/relationships/image" Id="rId110" Target="media/rId110.png" /><Relationship Type="http://schemas.openxmlformats.org/officeDocument/2006/relationships/image" Id="rId89" Target="media/rId89.png" /><Relationship Type="http://schemas.openxmlformats.org/officeDocument/2006/relationships/hyperlink" Id="rId35" Target="doc/App_A.qmd" TargetMode="External" /><Relationship Type="http://schemas.openxmlformats.org/officeDocument/2006/relationships/hyperlink" Id="rId36" Target="doc/App_B.qmd" TargetMode="External" /><Relationship Type="http://schemas.openxmlformats.org/officeDocument/2006/relationships/hyperlink" Id="rId37" Target="doc/App_C.qmd" TargetMode="External" /><Relationship Type="http://schemas.openxmlformats.org/officeDocument/2006/relationships/hyperlink" Id="rId38" Target="doc/App_D.qmd" TargetMode="External" /><Relationship Type="http://schemas.openxmlformats.org/officeDocument/2006/relationships/hyperlink" Id="rId65" Target="https://doi.org/10.1016/j.fishres.2023.106585" TargetMode="External" /><Relationship Type="http://schemas.openxmlformats.org/officeDocument/2006/relationships/hyperlink" Id="rId67" Target="https://doi.org/10.1093/icesjms/fsm012" TargetMode="External" /><Relationship Type="http://schemas.openxmlformats.org/officeDocument/2006/relationships/hyperlink" Id="rId63" Target="https://doi.org/10.1111/faf.12726" TargetMode="External" /><Relationship Type="http://schemas.openxmlformats.org/officeDocument/2006/relationships/hyperlink" Id="rId69" Target="https://github.com/flr/mseviz" TargetMode="External" /><Relationship Type="http://schemas.openxmlformats.org/officeDocument/2006/relationships/hyperlink" Id="rId61" Target="https://slick.bluematterscience.com/index.html" TargetMode="External" /><Relationship Type="http://schemas.openxmlformats.org/officeDocument/2006/relationships/hyperlink" Id="rId73" Target="https://southpacificrfmo.sharepoint.com/sites/SPRFMOSCJackMackerelWorkingGroup/Shared%20Documents/MSE/2025%20Work/2025_07_03%20JMWG%20MSE%20Science%20and%20Managers%20Session" TargetMode="External" /><Relationship Type="http://schemas.openxmlformats.org/officeDocument/2006/relationships/hyperlink" Id="rId71" Target="https://sprfmo.int/assets/Meetings/02-SC/12th-SC-2024/SC12-Report-Annex-07-JM-Technical-Ann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doc/App_A.qmd" TargetMode="External" /><Relationship Type="http://schemas.openxmlformats.org/officeDocument/2006/relationships/hyperlink" Id="rId36" Target="doc/App_B.qmd" TargetMode="External" /><Relationship Type="http://schemas.openxmlformats.org/officeDocument/2006/relationships/hyperlink" Id="rId37" Target="doc/App_C.qmd" TargetMode="External" /><Relationship Type="http://schemas.openxmlformats.org/officeDocument/2006/relationships/hyperlink" Id="rId38" Target="doc/App_D.qmd" TargetMode="External" /><Relationship Type="http://schemas.openxmlformats.org/officeDocument/2006/relationships/hyperlink" Id="rId65" Target="https://doi.org/10.1016/j.fishres.2023.106585" TargetMode="External" /><Relationship Type="http://schemas.openxmlformats.org/officeDocument/2006/relationships/hyperlink" Id="rId67" Target="https://doi.org/10.1093/icesjms/fsm012" TargetMode="External" /><Relationship Type="http://schemas.openxmlformats.org/officeDocument/2006/relationships/hyperlink" Id="rId63" Target="https://doi.org/10.1111/faf.12726" TargetMode="External" /><Relationship Type="http://schemas.openxmlformats.org/officeDocument/2006/relationships/hyperlink" Id="rId69" Target="https://github.com/flr/mseviz" TargetMode="External" /><Relationship Type="http://schemas.openxmlformats.org/officeDocument/2006/relationships/hyperlink" Id="rId61" Target="https://slick.bluematterscience.com/index.html" TargetMode="External" /><Relationship Type="http://schemas.openxmlformats.org/officeDocument/2006/relationships/hyperlink" Id="rId73" Target="https://southpacificrfmo.sharepoint.com/sites/SPRFMOSCJackMackerelWorkingGroup/Shared%20Documents/MSE/2025%20Work/2025_07_03%20JMWG%20MSE%20Science%20and%20Managers%20Session" TargetMode="External" /><Relationship Type="http://schemas.openxmlformats.org/officeDocument/2006/relationships/hyperlink" Id="rId71" Target="https://sprfmo.int/assets/Meetings/02-SC/12th-SC-2024/SC12-Report-Annex-07-JM-Technical-Ann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the Management Strategy Evaluation (MSE) workshop, July 14-18, 2025</dc:title>
  <dc:creator/>
  <cp:keywords/>
  <dcterms:created xsi:type="dcterms:W3CDTF">2025-08-12T14:18:30Z</dcterms:created>
  <dcterms:modified xsi:type="dcterms:W3CDTF">2025-08-12T14:18:30Z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date">
    <vt:lpwstr>2025-08-12</vt:lpwstr>
  </property>
  <property fmtid="{D5CDD505-2E9C-101B-9397-08002B2CF9AE}" pid="5" name="date-format">
    <vt:lpwstr>YYYY-MM-DD</vt:lpwstr>
  </property>
  <property fmtid="{D5CDD505-2E9C-101B-9397-08002B2CF9AE}" pid="6" name="editor">
    <vt:lpwstr/>
  </property>
  <property fmtid="{D5CDD505-2E9C-101B-9397-08002B2CF9AE}" pid="7" name="editor_option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template.docx</vt:lpwstr>
  </property>
  <property fmtid="{D5CDD505-2E9C-101B-9397-08002B2CF9AE}" pid="13" name="toc-title">
    <vt:lpwstr>Table of contents</vt:lpwstr>
  </property>
</Properties>
</file>