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2.png" ContentType="image/png"/>
  <Override PartName="/word/media/rId31.png" ContentType="image/png"/>
  <Override PartName="/word/media/rId89.png" ContentType="image/png"/>
  <Override PartName="/word/media/rId97.png" ContentType="image/png"/>
  <Override PartName="/word/media/rId105.png" ContentType="image/png"/>
  <Override PartName="/word/media/rId85.png" ContentType="image/png"/>
  <Override PartName="/word/media/rId93.png" ContentType="image/png"/>
  <Override PartName="/word/media/rId101.png" ContentType="image/png"/>
  <Override PartName="/word/media/rId8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 of the Management Strategy Evaluation (MSE) workshop, July 14-18, 2025</w:t>
      </w:r>
    </w:p>
    <w:p>
      <w:pPr>
        <w:pStyle w:val="Date"/>
      </w:pPr>
      <w:r>
        <w:t xml:space="preserve">2025-08-13</w:t>
      </w:r>
    </w:p>
    <w:bookmarkStart w:id="21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The Jack Mackerel Management Strategy Evaluation (MSE) Technical</w:t>
      </w:r>
      <w:r>
        <w:t xml:space="preserve"> </w:t>
      </w:r>
      <w:r>
        <w:t xml:space="preserve">Workshop brought together scientists, technical experts, and external</w:t>
      </w:r>
      <w:r>
        <w:t xml:space="preserve"> </w:t>
      </w:r>
      <w:r>
        <w:t xml:space="preserve">reviewers to assess recent progress and refine the MSE framework being</w:t>
      </w:r>
      <w:r>
        <w:t xml:space="preserve"> </w:t>
      </w:r>
      <w:r>
        <w:t xml:space="preserve">developed under South Pacific Regional Fisheries Management Organisation (SPRFMO). The primary goal of the workshop was to ensure that the modeling framework and management procedures (Management Procedures (MPs)) are</w:t>
      </w:r>
      <w:r>
        <w:t xml:space="preserve"> </w:t>
      </w:r>
      <w:r>
        <w:t xml:space="preserve">scientifically sound, technically robust and transparent, and aligned with</w:t>
      </w:r>
      <w:r>
        <w:t xml:space="preserve"> </w:t>
      </w:r>
      <w:r>
        <w:t xml:space="preserve">management priorities as outlined by the Commission (e.g.,</w:t>
      </w:r>
      <w:r>
        <w:t xml:space="preserve"> </w:t>
      </w:r>
      <w:r>
        <w:t xml:space="preserve">SPRFMO Jack Mackerel Working Group (2025)</w:t>
      </w:r>
      <w:r>
        <w:t xml:space="preserve">. The workshop was successful in testing the framework,</w:t>
      </w:r>
      <w:r>
        <w:t xml:space="preserve"> </w:t>
      </w:r>
      <w:r>
        <w:t xml:space="preserve">it resulted in improved understanding of scientists in its</w:t>
      </w:r>
      <w:r>
        <w:t xml:space="preserve"> </w:t>
      </w:r>
      <w:r>
        <w:t xml:space="preserve">functioning and ability to test alternative MPs. Discussions during</w:t>
      </w:r>
      <w:r>
        <w:t xml:space="preserve"> </w:t>
      </w:r>
      <w:r>
        <w:t xml:space="preserve">the workshop contributed to small changes made in the conditioning</w:t>
      </w:r>
      <w:r>
        <w:t xml:space="preserve"> </w:t>
      </w:r>
      <w:r>
        <w:t xml:space="preserve">of the Operating Models (OMs) to improve the robustness of the results.</w:t>
      </w:r>
      <w:r>
        <w:t xml:space="preserve"> </w:t>
      </w:r>
      <w:r>
        <w:t xml:space="preserve">Finally, the framework and preliminary results were accepted by the group as</w:t>
      </w:r>
      <w:r>
        <w:t xml:space="preserve"> </w:t>
      </w:r>
      <w:r>
        <w:t xml:space="preserve">the basis for recommendations to the Science Committee.</w:t>
      </w:r>
    </w:p>
    <w:bookmarkStart w:id="20" w:name="key-outcomes-and-advancements"/>
    <w:p>
      <w:pPr>
        <w:pStyle w:val="Heading3"/>
      </w:pPr>
      <w:r>
        <w:t xml:space="preserve">Key Outcomes and Advancements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Framework Consolidation</w:t>
      </w:r>
      <w:r>
        <w:br/>
      </w:r>
      <w:r>
        <w:t xml:space="preserve">Participants reviewed the jmMSE software package, confirming that it</w:t>
      </w:r>
      <w:r>
        <w:t xml:space="preserve"> </w:t>
      </w:r>
      <w:r>
        <w:t xml:space="preserve">provides a robust and flexible platform for conducting MSEs. The</w:t>
      </w:r>
      <w:r>
        <w:t xml:space="preserve"> </w:t>
      </w:r>
      <w:r>
        <w:t xml:space="preserve">package includes a reference set of operating models conditioned to</w:t>
      </w:r>
      <w:r>
        <w:t xml:space="preserve"> </w:t>
      </w:r>
      <w:r>
        <w:t xml:space="preserve">historical data using MCMC, an efficient MP tuning algorithm, and</w:t>
      </w:r>
      <w:r>
        <w:t xml:space="preserve"> </w:t>
      </w:r>
      <w:r>
        <w:t xml:space="preserve">tools for visualizing and comparing results.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MSE and OM fine-tuning</w:t>
      </w:r>
      <w:r>
        <w:br/>
      </w:r>
      <w:r>
        <w:t xml:space="preserve">The workshop focused on refining the operating models (OMs) to</w:t>
      </w:r>
      <w:r>
        <w:t xml:space="preserve"> </w:t>
      </w:r>
      <w:r>
        <w:t xml:space="preserve">ensure they accurately represent the jack mackerel stock dynamics and</w:t>
      </w:r>
      <w:r>
        <w:t xml:space="preserve"> </w:t>
      </w:r>
      <w:r>
        <w:t xml:space="preserve">future behaviour. Participants discussed and implemented changes to the OM structure,</w:t>
      </w:r>
      <w:r>
        <w:t xml:space="preserve"> </w:t>
      </w:r>
      <w:r>
        <w:t xml:space="preserve">including adjustments to transitions to recruitment dynamics, and</w:t>
      </w:r>
      <w:r>
        <w:t xml:space="preserve"> </w:t>
      </w:r>
      <w:r>
        <w:t xml:space="preserve">selectivity patterns, These refinements were aimed at improving the</w:t>
      </w:r>
      <w:r>
        <w:t xml:space="preserve"> </w:t>
      </w:r>
      <w:r>
        <w:t xml:space="preserve">realism of the OMs and their ability to simulate plausible future</w:t>
      </w:r>
      <w:r>
        <w:t xml:space="preserve"> </w:t>
      </w:r>
      <w:r>
        <w:t xml:space="preserve">scenarios.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Robustness Testing</w:t>
      </w:r>
      <w:r>
        <w:br/>
      </w:r>
      <w:r>
        <w:t xml:space="preserve">The workshop clarified the role and scope of robustness tests. These</w:t>
      </w:r>
      <w:r>
        <w:t xml:space="preserve"> </w:t>
      </w:r>
      <w:r>
        <w:t xml:space="preserve">tests are intended to explore how candidate MPs perform under a range of</w:t>
      </w:r>
      <w:r>
        <w:t xml:space="preserve"> </w:t>
      </w:r>
      <w:r>
        <w:t xml:space="preserve">plausible yet uncertain scenarios rather than represent definitive</w:t>
      </w:r>
      <w:r>
        <w:t xml:space="preserve"> </w:t>
      </w:r>
      <w:r>
        <w:t xml:space="preserve">alternative models. Scenarios reflecting changes in recruitment,</w:t>
      </w:r>
      <w:r>
        <w:t xml:space="preserve"> </w:t>
      </w:r>
      <w:r>
        <w:t xml:space="preserve">spatial availability, environmental regime shifts (e.g., El Niño),</w:t>
      </w:r>
      <w:r>
        <w:t xml:space="preserve"> </w:t>
      </w:r>
      <w:r>
        <w:t xml:space="preserve">and stock structure were reviewed and refined for implementation.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Indicator-Driven MPs and HCR logic</w:t>
      </w:r>
      <w:r>
        <w:br/>
      </w:r>
      <w:r>
        <w:t xml:space="preserve">Empirical MPs based on one or more indicators were evaluated, with</w:t>
      </w:r>
      <w:r>
        <w:t xml:space="preserve"> </w:t>
      </w:r>
      <w:r>
        <w:t xml:space="preserve">focus on two formulations:</w:t>
      </w:r>
    </w:p>
    <w:p>
      <w:pPr>
        <w:pStyle w:val="Compact"/>
        <w:numPr>
          <w:ilvl w:val="1"/>
          <w:numId w:val="1002"/>
        </w:numPr>
      </w:pPr>
      <w:r>
        <w:t xml:space="preserve">TAC as a product of a target and a multiplier from an index (index (e.g. a commercial CPUE).</w:t>
      </w:r>
    </w:p>
    <w:p>
      <w:pPr>
        <w:pStyle w:val="Compact"/>
        <w:numPr>
          <w:ilvl w:val="1"/>
          <w:numId w:val="1002"/>
        </w:numPr>
      </w:pPr>
      <w:r>
        <w:t xml:space="preserve">TAC adjusted incrementally from the previous year based on index</w:t>
      </w:r>
      <w:r>
        <w:t xml:space="preserve"> </w:t>
      </w:r>
      <w:r>
        <w:t xml:space="preserve">signals.</w:t>
      </w:r>
    </w:p>
    <w:p>
      <w:pPr>
        <w:pStyle w:val="FirstParagraph"/>
      </w:pPr>
      <w:r>
        <w:t xml:space="preserve">We noted that the high current stock status (well within the Commission-defined</w:t>
      </w:r>
      <w:r>
        <w:t xml:space="preserve"> </w:t>
      </w:r>
      <w:r>
        <w:t xml:space="preserve">“green zone”</w:t>
      </w:r>
      <w:r>
        <w:t xml:space="preserve"> </w:t>
      </w:r>
      <w:r>
        <w:t xml:space="preserve">(indicating stock levels at or above target biomass)) tended to increase catch levels when tuning to achieve a desired probability to remain in the green zone (this probability is set to 60% by the Commission). This can result in declining stock trends later in the projection period, even when the short-term performance criteria are met, since current probability that the stock is in the green zone is well above this 60% target.</w:t>
      </w:r>
    </w:p>
    <w:p>
      <w:pPr>
        <w:pStyle w:val="BodyText"/>
      </w:pPr>
      <w:r>
        <w:t xml:space="preserve">MPs using short-cut assessment methods, mimicking the behaviour of the jjm model as used by the JMWG for advisory purposes, were used to tune MPs as well. These short-cut approaches considered observations with relatively low uncertainty, high uncertainty and uncertainty with autocorrelation incorporated. Results using these short-cuts showed …..</w:t>
      </w:r>
    </w:p>
    <w:p>
      <w:pPr>
        <w:pStyle w:val="BodyText"/>
      </w:pPr>
      <w:r>
        <w:t xml:space="preserve">HCR evaluation included limitation on year-to-year TAC changes as well as the option to bank / borrow quota from one year to the next. Results showed that ….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Recommendations and Refinements</w:t>
      </w:r>
      <w:r>
        <w:br/>
      </w:r>
      <w:r>
        <w:t xml:space="preserve">The participants recommended additional diagnostics and refinements,</w:t>
      </w:r>
      <w:r>
        <w:t xml:space="preserve"> </w:t>
      </w:r>
      <w:r>
        <w:t xml:space="preserve">including:</w:t>
      </w:r>
    </w:p>
    <w:p>
      <w:pPr>
        <w:pStyle w:val="Compact"/>
        <w:numPr>
          <w:ilvl w:val="1"/>
          <w:numId w:val="1004"/>
        </w:numPr>
      </w:pPr>
      <w:r>
        <w:t xml:space="preserve">Adding plots of how index trajectories relate to TACs.</w:t>
      </w:r>
    </w:p>
    <w:p>
      <w:pPr>
        <w:pStyle w:val="Compact"/>
        <w:numPr>
          <w:ilvl w:val="1"/>
          <w:numId w:val="1004"/>
        </w:numPr>
      </w:pPr>
      <w:r>
        <w:t xml:space="preserve">Including new performance metrics that reflect stock status and</w:t>
      </w:r>
      <w:r>
        <w:t xml:space="preserve"> </w:t>
      </w:r>
      <w:r>
        <w:t xml:space="preserve">trends in the final projection years.</w:t>
      </w:r>
    </w:p>
    <w:p>
      <w:pPr>
        <w:pStyle w:val="Compact"/>
        <w:numPr>
          <w:ilvl w:val="1"/>
          <w:numId w:val="1004"/>
        </w:numPr>
      </w:pPr>
      <w:r>
        <w:t xml:space="preserve">Ensuring consistent treatment of selectivity, weights-at-age,</w:t>
      </w:r>
      <w:r>
        <w:t xml:space="preserve"> </w:t>
      </w:r>
      <w:r>
        <w:t xml:space="preserve">and catch splits in both projections and reference point</w:t>
      </w:r>
      <w:r>
        <w:t xml:space="preserve"> </w:t>
      </w:r>
      <w:r>
        <w:t xml:space="preserve">calculations.</w:t>
      </w:r>
    </w:p>
    <w:p>
      <w:pPr>
        <w:pStyle w:val="Compact"/>
        <w:numPr>
          <w:ilvl w:val="1"/>
          <w:numId w:val="1004"/>
        </w:numPr>
      </w:pPr>
      <w:r>
        <w:t xml:space="preserve">Exploring robustness scenarios that account for variability in</w:t>
      </w:r>
      <w:r>
        <w:t xml:space="preserve"> </w:t>
      </w:r>
      <w:r>
        <w:t xml:space="preserve">fleet selectivity and biological assumptions, particularly where</w:t>
      </w:r>
      <w:r>
        <w:t xml:space="preserve"> </w:t>
      </w:r>
      <w:r>
        <w:t xml:space="preserve">CPUE is used as an input.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Documentation and Transparency</w:t>
      </w:r>
      <w:r>
        <w:br/>
      </w:r>
      <w:r>
        <w:t xml:space="preserve">The participants emphasized the importance of transparency in documenting</w:t>
      </w:r>
      <w:r>
        <w:t xml:space="preserve"> </w:t>
      </w:r>
      <w:r>
        <w:t xml:space="preserve">model assumptions, data sources, and MP structure. The group agreed</w:t>
      </w:r>
      <w:r>
        <w:t xml:space="preserve"> </w:t>
      </w:r>
      <w:r>
        <w:t xml:space="preserve">on priorities for improving documentation and sharing annotated</w:t>
      </w:r>
      <w:r>
        <w:t xml:space="preserve"> </w:t>
      </w:r>
      <w:r>
        <w:t xml:space="preserve">examples of MP behavior.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Next Steps and Implementation</w:t>
      </w:r>
      <w:r>
        <w:br/>
      </w:r>
      <w:r>
        <w:t xml:space="preserve">The next phase of work will focus on finalizing the candidate MPs,</w:t>
      </w:r>
      <w:r>
        <w:t xml:space="preserve"> </w:t>
      </w:r>
      <w:r>
        <w:t xml:space="preserve">running the robustness tests, and summarizing trade-offs across key</w:t>
      </w:r>
      <w:r>
        <w:t xml:space="preserve"> </w:t>
      </w:r>
      <w:r>
        <w:t xml:space="preserve">performance indicators. In discussions we also identified future</w:t>
      </w:r>
      <w:r>
        <w:t xml:space="preserve"> </w:t>
      </w:r>
      <w:r>
        <w:t xml:space="preserve">reporting needs, including summary tables and figures for managers,</w:t>
      </w:r>
      <w:r>
        <w:t xml:space="preserve"> </w:t>
      </w:r>
      <w:r>
        <w:t xml:space="preserve">and exploration of reference points and evaluation criteria beyond</w:t>
      </w:r>
      <w:r>
        <w:t xml:space="preserve"> </w:t>
      </w:r>
      <w:r>
        <w:t xml:space="preserve">the green zone probability.</w:t>
      </w:r>
    </w:p>
    <w:p>
      <w:pPr>
        <w:pStyle w:val="FirstParagraph"/>
      </w:pPr>
      <w:r>
        <w:t xml:space="preserve">–&gt;</w:t>
      </w:r>
    </w:p>
    <w:p>
      <w:pPr>
        <w:pStyle w:val="BodyText"/>
      </w:pPr>
      <w:r>
        <w:t xml:space="preserve">–&gt;</w:t>
      </w:r>
    </w:p>
    <w:bookmarkEnd w:id="20"/>
    <w:bookmarkEnd w:id="21"/>
    <w:bookmarkStart w:id="30" w:name="workshop-introduction"/>
    <w:p>
      <w:pPr>
        <w:pStyle w:val="Heading1"/>
      </w:pPr>
      <w:r>
        <w:t xml:space="preserve">Workshop introduction</w:t>
      </w:r>
    </w:p>
    <w:p>
      <w:pPr>
        <w:pStyle w:val="FirstParagraph"/>
      </w:pPr>
      <w:r>
        <w:t xml:space="preserve">Management Strategy Evaluation (MSE) has emerged as a critical tool for</w:t>
      </w:r>
      <w:r>
        <w:t xml:space="preserve"> </w:t>
      </w:r>
      <w:r>
        <w:t xml:space="preserve">fisheries management, especially in contexts where data are limited or</w:t>
      </w:r>
      <w:r>
        <w:t xml:space="preserve"> </w:t>
      </w:r>
      <w:r>
        <w:t xml:space="preserve">uncertainty is high. Foundational software frameworks like FLR were</w:t>
      </w:r>
      <w:r>
        <w:t xml:space="preserve"> </w:t>
      </w:r>
      <w:r>
        <w:t xml:space="preserve">developed to facilitate reproducible, cross-disciplinary evaluation of</w:t>
      </w:r>
      <w:r>
        <w:t xml:space="preserve"> </w:t>
      </w:r>
      <w:r>
        <w:t xml:space="preserve">management strategies through simulation and decision analysis</w:t>
      </w:r>
      <w:r>
        <w:t xml:space="preserve"> </w:t>
      </w:r>
      <w:r>
        <w:t xml:space="preserve">(Kell et al. 2007)</w:t>
      </w:r>
      <w:r>
        <w:t xml:space="preserve">. Building on this foundation, recent advances have</w:t>
      </w:r>
      <w:r>
        <w:t xml:space="preserve"> </w:t>
      </w:r>
      <w:r>
        <w:t xml:space="preserve">expanded FLR’s capacity for data-rich and data-limited systems alike,</w:t>
      </w:r>
      <w:r>
        <w:t xml:space="preserve"> </w:t>
      </w:r>
      <w:r>
        <w:t xml:space="preserve">improving accessibility and integration with other tools</w:t>
      </w:r>
      <w:r>
        <w:t xml:space="preserve"> </w:t>
      </w:r>
      <w:r>
        <w:t xml:space="preserve">(Hillary et al. 2023)</w:t>
      </w:r>
      <w:r>
        <w:t xml:space="preserve">. Complementing these developments, a structured</w:t>
      </w:r>
      <w:r>
        <w:t xml:space="preserve"> </w:t>
      </w:r>
      <w:r>
        <w:t xml:space="preserve">framework for evaluating methods and risk in data-limited fisheries has</w:t>
      </w:r>
      <w:r>
        <w:t xml:space="preserve"> </w:t>
      </w:r>
      <w:r>
        <w:t xml:space="preserve">been proposed, providing practical guidance on the application of MSE in</w:t>
      </w:r>
      <w:r>
        <w:t xml:space="preserve"> </w:t>
      </w:r>
      <w:r>
        <w:t xml:space="preserve">real-world settings</w:t>
      </w:r>
      <w:r>
        <w:t xml:space="preserve"> </w:t>
      </w:r>
      <w:r>
        <w:t xml:space="preserve">(Carruthers et al. 2023)</w:t>
      </w:r>
      <w:r>
        <w:t xml:space="preserve">.</w:t>
      </w:r>
    </w:p>
    <w:p>
      <w:pPr>
        <w:pStyle w:val="BodyText"/>
      </w:pPr>
      <w:r>
        <w:t xml:space="preserve">The SCW15 Jack Mackerel MSE Technical Workshop was convened in response</w:t>
      </w:r>
      <w:r>
        <w:t xml:space="preserve"> </w:t>
      </w:r>
      <w:r>
        <w:t xml:space="preserve">to the Scientific Committee’s request for progress on developing and</w:t>
      </w:r>
      <w:r>
        <w:t xml:space="preserve"> </w:t>
      </w:r>
      <w:r>
        <w:t xml:space="preserve">evaluating management procedures (MPs) for jack mackerel under the</w:t>
      </w:r>
      <w:r>
        <w:t xml:space="preserve"> </w:t>
      </w:r>
      <w:r>
        <w:t xml:space="preserve">SPRFMO framework. The meeting was held over five days (14–18 July 2025)</w:t>
      </w:r>
      <w:r>
        <w:t xml:space="preserve"> </w:t>
      </w:r>
      <w:r>
        <w:t xml:space="preserve">and hosted in a hybrid format, with active participation from in-person</w:t>
      </w:r>
      <w:r>
        <w:t xml:space="preserve"> </w:t>
      </w:r>
      <w:r>
        <w:t xml:space="preserve">attendees in Seattle and remote collaborators from SPRFMO Member States</w:t>
      </w:r>
      <w:r>
        <w:t xml:space="preserve"> </w:t>
      </w:r>
      <w:r>
        <w:t xml:space="preserve">and invited experts. This event followed on previous technical work,</w:t>
      </w:r>
      <w:r>
        <w:t xml:space="preserve"> </w:t>
      </w:r>
      <w:r>
        <w:t xml:space="preserve">including the SCW14 benchmark, and focused on finalizing the reference</w:t>
      </w:r>
      <w:r>
        <w:t xml:space="preserve"> </w:t>
      </w:r>
      <w:r>
        <w:t xml:space="preserve">set of operating models (OMs), implementing robustness tests, and</w:t>
      </w:r>
      <w:r>
        <w:t xml:space="preserve"> </w:t>
      </w:r>
      <w:r>
        <w:t xml:space="preserve">refining MP candidates using the jmMSE software package.</w:t>
      </w:r>
    </w:p>
    <w:p>
      <w:pPr>
        <w:pStyle w:val="BodyText"/>
      </w:pPr>
      <w:r>
        <w:t xml:space="preserve">Throughout the week, participants engaged in live coding sessions,</w:t>
      </w:r>
      <w:r>
        <w:t xml:space="preserve"> </w:t>
      </w:r>
      <w:r>
        <w:t xml:space="preserve">software validation, model tuning, and scenario refinement. The agenda</w:t>
      </w:r>
      <w:r>
        <w:t xml:space="preserve"> </w:t>
      </w:r>
      <w:r>
        <w:t xml:space="preserve">was intentionally flexible, allowing the group to respond dynamically to</w:t>
      </w:r>
      <w:r>
        <w:t xml:space="preserve"> </w:t>
      </w:r>
      <w:r>
        <w:t xml:space="preserve">technical challenges—such as issues with index generation, selectivity</w:t>
      </w:r>
      <w:r>
        <w:t xml:space="preserve"> </w:t>
      </w:r>
      <w:r>
        <w:t xml:space="preserve">artifacts, and catch variability under different MP formulations. The</w:t>
      </w:r>
      <w:r>
        <w:t xml:space="preserve"> </w:t>
      </w:r>
      <w:r>
        <w:t xml:space="preserve">workshop emphasized transparency, reproducibility, and documentation,</w:t>
      </w:r>
      <w:r>
        <w:t xml:space="preserve"> </w:t>
      </w:r>
      <w:r>
        <w:t xml:space="preserve">with clear objectives to improve the utility and credibility of the MSE</w:t>
      </w:r>
      <w:r>
        <w:t xml:space="preserve"> </w:t>
      </w:r>
      <w:r>
        <w:t xml:space="preserve">outputs ahead of Scientific Committee and Commission review.</w:t>
      </w:r>
    </w:p>
    <w:p>
      <w:pPr>
        <w:pStyle w:val="BodyText"/>
      </w:pPr>
      <w:r>
        <w:t xml:space="preserve">By way of review, we provide a general outline for the workflow for</w:t>
      </w:r>
      <w:r>
        <w:t xml:space="preserve"> </w:t>
      </w:r>
      <w:r>
        <w:t xml:space="preserve">defining and evaluating Management Procedures (MPs). We divided the</w:t>
      </w:r>
      <w:r>
        <w:t xml:space="preserve"> </w:t>
      </w:r>
      <w:r>
        <w:t xml:space="preserve">process into three main stages noting that in stage 1, a</w:t>
      </w:r>
      <w:r>
        <w:t xml:space="preserve"> </w:t>
      </w:r>
      <w:r>
        <w:t xml:space="preserve">key activity is to</w:t>
      </w:r>
      <w:r>
        <w:t xml:space="preserve"> </w:t>
      </w:r>
      <w:r>
        <w:t xml:space="preserve">“tune”</w:t>
      </w:r>
      <w:r>
        <w:t xml:space="preserve"> </w:t>
      </w:r>
      <w:r>
        <w:t xml:space="preserve">MPs towards a common goal (</w:t>
      </w:r>
      <w:hyperlink w:anchor="fig-mp_flow">
        <w:r>
          <w:rPr>
            <w:rStyle w:val="Hyperlink"/>
          </w:rPr>
          <w:t xml:space="preserve">Figure 1</w:t>
        </w:r>
      </w:hyperlink>
      <w:r>
        <w:t xml:space="preserve">). Here</w:t>
      </w:r>
      <w:r>
        <w:t xml:space="preserve"> </w:t>
      </w:r>
      <w:r>
        <w:t xml:space="preserve">that goal (based on the questionaire distributed to members durin COMM13) was to</w:t>
      </w:r>
      <w:r>
        <w:t xml:space="preserve"> </w:t>
      </w:r>
      <w:r>
        <w:t xml:space="preserve">achieve a 60% probability of remaining in the</w:t>
      </w:r>
      <w:r>
        <w:t xml:space="preserve"> </w:t>
      </w:r>
      <w:r>
        <w:t xml:space="preserve">“green zone”</w:t>
      </w:r>
      <w:r>
        <w:t xml:space="preserve"> </w:t>
      </w:r>
      <w:r>
        <w:t xml:space="preserve">(i.e., above the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reference point) in the final years of the projection period.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mp_flow"/>
          <w:p>
            <w:pPr>
              <w:pStyle w:val="Compact"/>
              <w:jc w:val="center"/>
            </w:pPr>
            <w:r>
              <w:drawing>
                <wp:inline>
                  <wp:extent cx="3594100" cy="7162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mp_flow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716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Workflow for evaluating and selecting candidate management procedures</w:t>
            </w:r>
            <w:r>
              <w:t xml:space="preserve"> </w:t>
            </w:r>
            <w:r>
              <w:t xml:space="preserve">(MPs).</w:t>
            </w:r>
          </w:p>
          <w:bookmarkEnd w:id="25"/>
        </w:tc>
      </w:tr>
    </w:tbl>
    <w:p>
      <w:pPr>
        <w:pStyle w:val="BodyText"/>
      </w:pPr>
      <w:r>
        <w:t xml:space="preserve">The workshop participants recognized that all of the pieces for this</w:t>
      </w:r>
      <w:r>
        <w:t xml:space="preserve"> </w:t>
      </w:r>
      <w:r>
        <w:t xml:space="preserve">exercise were available and implemented. However, the group encountered</w:t>
      </w:r>
      <w:r>
        <w:t xml:space="preserve"> </w:t>
      </w:r>
      <w:r>
        <w:t xml:space="preserve">difficulties ascertaining how the TACs related to the empirical MPs that</w:t>
      </w:r>
      <w:r>
        <w:t xml:space="preserve"> </w:t>
      </w:r>
      <w:r>
        <w:t xml:space="preserve">were being tested.</w:t>
      </w:r>
    </w:p>
    <w:p>
      <w:pPr>
        <w:pStyle w:val="BodyText"/>
      </w:pPr>
      <w:r>
        <w:t xml:space="preserve">The appendices provide the</w:t>
      </w:r>
      <w:r>
        <w:t xml:space="preserve"> </w:t>
      </w:r>
      <w:hyperlink r:id="rId26">
        <w:r>
          <w:rPr>
            <w:rStyle w:val="Hyperlink"/>
          </w:rPr>
          <w:t xml:space="preserve">participants</w:t>
        </w:r>
      </w:hyperlink>
      <w:r>
        <w:t xml:space="preserve">, the</w:t>
      </w:r>
      <w:r>
        <w:t xml:space="preserve"> </w:t>
      </w:r>
      <w:hyperlink r:id="rId27">
        <w:r>
          <w:rPr>
            <w:rStyle w:val="Hyperlink"/>
          </w:rPr>
          <w:t xml:space="preserve">agenda</w:t>
        </w:r>
      </w:hyperlink>
      <w:r>
        <w:t xml:space="preserve">, and the daily summary activities in the</w:t>
      </w:r>
      <w:r>
        <w:t xml:space="preserve"> </w:t>
      </w:r>
      <w:r>
        <w:t xml:space="preserve">workshop</w:t>
      </w:r>
      <w:r>
        <w:t xml:space="preserve"> </w:t>
      </w:r>
      <w:hyperlink r:id="rId28">
        <w:r>
          <w:rPr>
            <w:rStyle w:val="Hyperlink"/>
          </w:rPr>
          <w:t xml:space="preserve">minutes</w:t>
        </w:r>
      </w:hyperlink>
      <w:r>
        <w:t xml:space="preserve">. A summary review written by the</w:t>
      </w:r>
      <w:r>
        <w:t xml:space="preserve"> </w:t>
      </w:r>
      <w:r>
        <w:t xml:space="preserve">external experts is also</w:t>
      </w:r>
      <w:r>
        <w:t xml:space="preserve"> </w:t>
      </w:r>
      <w:hyperlink r:id="rId29">
        <w:r>
          <w:rPr>
            <w:rStyle w:val="Hyperlink"/>
          </w:rPr>
          <w:t xml:space="preserve">provided here</w:t>
        </w:r>
      </w:hyperlink>
      <w:r>
        <w:t xml:space="preserve">.</w:t>
      </w:r>
    </w:p>
    <w:p>
      <w:pPr>
        <w:pStyle w:val="BodyText"/>
      </w:pPr>
      <w:r>
        <w:t xml:space="preserve">The following sections first review the OM and some results from applying existing</w:t>
      </w:r>
      <w:r>
        <w:t xml:space="preserve"> </w:t>
      </w:r>
      <w:r>
        <w:t xml:space="preserve">and refined MPs. We follow this with</w:t>
      </w:r>
      <w:r>
        <w:t xml:space="preserve"> </w:t>
      </w:r>
      <w:r>
        <w:t xml:space="preserve">the discussion on how best to incorporate</w:t>
      </w:r>
      <w:r>
        <w:t xml:space="preserve"> </w:t>
      </w:r>
      <w:r>
        <w:t xml:space="preserve">some environmental effects for projecting from the operating model.</w:t>
      </w:r>
      <w:r>
        <w:t xml:space="preserve"> </w:t>
      </w:r>
      <w:r>
        <w:t xml:space="preserve">Specifically, we considered how to account for the effects of El Niño on</w:t>
      </w:r>
      <w:r>
        <w:t xml:space="preserve"> </w:t>
      </w:r>
      <w:r>
        <w:t xml:space="preserve">recruitment and catchability/availability.</w:t>
      </w:r>
      <w:r>
        <w:t xml:space="preserve"> </w:t>
      </w:r>
      <w:r>
        <w:t xml:space="preserve">We conclude with a set of recommendations for the SC to consider.</w:t>
      </w:r>
    </w:p>
    <w:bookmarkEnd w:id="30"/>
    <w:bookmarkStart w:id="35" w:name="X652a87fe3a4923516c5a511ce37381408532a4f"/>
    <w:p>
      <w:pPr>
        <w:pStyle w:val="Heading1"/>
      </w:pPr>
      <w:r>
        <w:t xml:space="preserve">Review of the Operating Model specifications</w:t>
      </w:r>
    </w:p>
    <w:p>
      <w:pPr>
        <w:pStyle w:val="FirstParagraph"/>
      </w:pPr>
      <w:r>
        <w:t xml:space="preserve">The workshop reviewed the current specifications of the OMs. In</w:t>
      </w:r>
      <w:r>
        <w:t xml:space="preserve"> </w:t>
      </w:r>
      <w:r>
        <w:t xml:space="preserve">particular, the assumptions for the reference point calculations were</w:t>
      </w:r>
      <w:r>
        <w:t xml:space="preserve"> </w:t>
      </w:r>
      <w:r>
        <w:t xml:space="preserve">discusssed and contrasted with the 2024 assessment results and reports</w:t>
      </w:r>
      <w:r>
        <w:t xml:space="preserve"> </w:t>
      </w:r>
      <w:r>
        <w:t xml:space="preserve">(</w:t>
      </w:r>
      <w:r>
        <w:t xml:space="preserve">South Pacific Regional Fisheries Management Organisation (2024)</w:t>
      </w:r>
      <w:r>
        <w:t xml:space="preserve">). Due to the terminal (2024) estimates of fisheries</w:t>
      </w:r>
      <w:r>
        <w:t xml:space="preserve"> </w:t>
      </w:r>
      <w:r>
        <w:t xml:space="preserve">selectivities, the assessment report had anomalously high values for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</w:p>
    <w:p>
      <w:pPr>
        <w:pStyle w:val="BodyText"/>
      </w:pPr>
      <w:r>
        <w:t xml:space="preserve">While the 2024 stock assessment produced high estimates of potential</w:t>
      </w:r>
      <w:r>
        <w:t xml:space="preserve"> </w:t>
      </w:r>
      <w:r>
        <w:t xml:space="preserve">catch under the third tier of the harvest control rule—exceeding 4,900</w:t>
      </w:r>
      <w:r>
        <w:t xml:space="preserve"> </w:t>
      </w:r>
      <w:r>
        <w:t xml:space="preserve">kt based on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—this result was considered unrealistic due to</w:t>
      </w:r>
      <w:r>
        <w:t xml:space="preserve"> </w:t>
      </w:r>
      <w:r>
        <w:t xml:space="preserve">likely upward bias in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estimates caused by strong selection</w:t>
      </w:r>
      <w:r>
        <w:t xml:space="preserve"> </w:t>
      </w:r>
      <w:r>
        <w:t xml:space="preserve">on older fish. As a result, the Scientific Committee recommended</w:t>
      </w:r>
      <w:r>
        <w:t xml:space="preserve"> </w:t>
      </w:r>
      <w:r>
        <w:t xml:space="preserve">constraining the 2025 TAC to be at or below 1,428 kt, representing only</w:t>
      </w:r>
      <w:r>
        <w:t xml:space="preserve"> </w:t>
      </w:r>
      <w:r>
        <w:t xml:space="preserve">a 15% increase from 2024 levels and aligned with the Commission’s</w:t>
      </w:r>
      <w:r>
        <w:t xml:space="preserve"> </w:t>
      </w:r>
      <w:r>
        <w:t xml:space="preserve">guidance. In developing the OM, reference points such as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were instead based on longer-term averages in fishery selectivity</w:t>
      </w:r>
      <w:r>
        <w:t xml:space="preserve"> </w:t>
      </w:r>
      <w:r>
        <w:t xml:space="preserve">estimates to avoid the influence of</w:t>
      </w:r>
      <w:r>
        <w:t xml:space="preserve"> </w:t>
      </w:r>
      <w:r>
        <w:t xml:space="preserve">short-term variability or cohort effects, ensuring more stable and</w:t>
      </w:r>
      <w:r>
        <w:t xml:space="preserve"> </w:t>
      </w:r>
      <w:r>
        <w:t xml:space="preserve">precautionary management advice consistent with the MSE framework</w:t>
      </w:r>
      <w:r>
        <w:t xml:space="preserve"> </w:t>
      </w:r>
      <w:r>
        <w:t xml:space="preserve">(</w:t>
      </w:r>
      <w:hyperlink w:anchor="fig-ref_pts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ref_pts"/>
          <w:p>
            <w:pPr>
              <w:pStyle w:val="Compact"/>
              <w:jc w:val="center"/>
            </w:pPr>
            <w:r>
              <w:drawing>
                <wp:inline>
                  <wp:extent cx="5334000" cy="4604564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s/ref_pts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04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Distribution of reference points from the operating model accepted by</w:t>
            </w:r>
            <w:r>
              <w:t xml:space="preserve"> </w:t>
            </w:r>
            <w:r>
              <w:t xml:space="preserve">the workshop.</w:t>
            </w:r>
          </w:p>
          <w:bookmarkEnd w:id="34"/>
        </w:tc>
      </w:tr>
    </w:tbl>
    <w:p>
      <w:pPr>
        <w:pStyle w:val="BodyText"/>
      </w:pPr>
      <w:r>
        <w:t xml:space="preserve">Several issues were identified with the current stock assessment that</w:t>
      </w:r>
      <w:r>
        <w:t xml:space="preserve"> </w:t>
      </w:r>
      <w:r>
        <w:t xml:space="preserve">warrant further attention ahead of the next benchmark. Key among them</w:t>
      </w:r>
      <w:r>
        <w:t xml:space="preserve"> </w:t>
      </w:r>
      <w:r>
        <w:t xml:space="preserve">are uncertainties in catch-at-age data stemming from differences in age</w:t>
      </w:r>
      <w:r>
        <w:t xml:space="preserve"> </w:t>
      </w:r>
      <w:r>
        <w:t xml:space="preserve">determination methods across laboratories, as well as assumptions about</w:t>
      </w:r>
      <w:r>
        <w:t xml:space="preserve"> </w:t>
      </w:r>
      <w:r>
        <w:t xml:space="preserve">mean body weight at age. The Scientific Committee emphasized the need</w:t>
      </w:r>
      <w:r>
        <w:t xml:space="preserve"> </w:t>
      </w:r>
      <w:r>
        <w:t xml:space="preserve">for standardizing CPUE indices and improving data collection protocols,</w:t>
      </w:r>
      <w:r>
        <w:t xml:space="preserve"> </w:t>
      </w:r>
      <w:r>
        <w:t xml:space="preserve">particularly regarding fleet-specific efficiency changes. Sensitivities</w:t>
      </w:r>
      <w:r>
        <w:t xml:space="preserve"> </w:t>
      </w:r>
      <w:r>
        <w:t xml:space="preserve">to early age composition data—especially from the pre-1990 period—remain</w:t>
      </w:r>
      <w:r>
        <w:t xml:space="preserve"> </w:t>
      </w:r>
      <w:r>
        <w:t xml:space="preserve">unresolved, with residual patterns noted for the North Chilean fleet. In</w:t>
      </w:r>
      <w:r>
        <w:t xml:space="preserve"> </w:t>
      </w:r>
      <w:r>
        <w:t xml:space="preserve">addition, assumptions underlying selectivity and recruitment regimes</w:t>
      </w:r>
      <w:r>
        <w:t xml:space="preserve"> </w:t>
      </w:r>
      <w:r>
        <w:t xml:space="preserve">were highlighted as critical sources of uncertainty, with substantial</w:t>
      </w:r>
      <w:r>
        <w:t xml:space="preserve"> </w:t>
      </w:r>
      <w:r>
        <w:t xml:space="preserve">influence on reference points and management advice. Finally, the</w:t>
      </w:r>
      <w:r>
        <w:t xml:space="preserve"> </w:t>
      </w:r>
      <w:r>
        <w:t xml:space="preserve">participants underscored the importance of continued evaluation of</w:t>
      </w:r>
      <w:r>
        <w:t xml:space="preserve"> </w:t>
      </w:r>
      <w:r>
        <w:t xml:space="preserve">single-stock versus two-stock model structures using simulation and MSE</w:t>
      </w:r>
      <w:r>
        <w:t xml:space="preserve"> </w:t>
      </w:r>
      <w:r>
        <w:t xml:space="preserve">tools.</w:t>
      </w:r>
    </w:p>
    <w:bookmarkEnd w:id="35"/>
    <w:bookmarkStart w:id="42" w:name="Xfc559e43e478dc395964a0636ac1ce6188ed1ec"/>
    <w:p>
      <w:pPr>
        <w:pStyle w:val="Heading1"/>
      </w:pPr>
      <w:r>
        <w:t xml:space="preserve">Simulating El Niño effects in the Operating Model</w:t>
      </w:r>
    </w:p>
    <w:p>
      <w:pPr>
        <w:pStyle w:val="FirstParagraph"/>
      </w:pPr>
      <w:r>
        <w:t xml:space="preserve">To incorporate climate-driven variability into the Operating Model (OM)</w:t>
      </w:r>
      <w:r>
        <w:t xml:space="preserve"> </w:t>
      </w:r>
      <w:r>
        <w:t xml:space="preserve">projections, we defined a scenario simulating El Niño–like events every</w:t>
      </w:r>
      <w:r>
        <w:t xml:space="preserve"> </w:t>
      </w:r>
      <w:r>
        <w:t xml:space="preserve">five years beginning in 2030. These events affect primarily recruitment</w:t>
      </w:r>
      <w:r>
        <w:t xml:space="preserve"> </w:t>
      </w:r>
      <w:r>
        <w:t xml:space="preserve">and distribution options. Based on the work of Iago and available</w:t>
      </w:r>
      <w:r>
        <w:t xml:space="preserve"> </w:t>
      </w:r>
      <w:r>
        <w:t xml:space="preserve">literature, we proposed an initial set of biological and fishery processes that most</w:t>
      </w:r>
      <w:r>
        <w:t xml:space="preserve"> </w:t>
      </w:r>
      <w:r>
        <w:t xml:space="preserve">likely relate</w:t>
      </w:r>
      <w:r>
        <w:t xml:space="preserve"> </w:t>
      </w:r>
      <w:r>
        <w:t xml:space="preserve">to El Niño conditions. The group discussed these and noted that others may be</w:t>
      </w:r>
      <w:r>
        <w:t xml:space="preserve"> </w:t>
      </w:r>
      <w:r>
        <w:t xml:space="preserve">best considered in the next round of stock assessment benchmark and</w:t>
      </w:r>
      <w:r>
        <w:t xml:space="preserve"> </w:t>
      </w:r>
      <w:r>
        <w:t xml:space="preserve">for future MSE work.</w:t>
      </w:r>
    </w:p>
    <w:p>
      <w:pPr>
        <w:pStyle w:val="BodyText"/>
      </w:pPr>
      <w:r>
        <w:t xml:space="preserve">The table below summarizes the proposed effects of simulated El Niño</w:t>
      </w:r>
      <w:r>
        <w:t xml:space="preserve"> </w:t>
      </w:r>
      <w:r>
        <w:t xml:space="preserve">conditions on the OM, categorizing them by their expected direction,</w:t>
      </w:r>
      <w:r>
        <w:t xml:space="preserve"> </w:t>
      </w:r>
      <w:r>
        <w:t xml:space="preserve">biological or fishery-based justification, and evaluation priority. The</w:t>
      </w:r>
      <w:r>
        <w:t xml:space="preserve"> </w:t>
      </w:r>
      <w:r>
        <w:t xml:space="preserve">table is divided into two sections: effects that are prioritized for</w:t>
      </w:r>
      <w:r>
        <w:t xml:space="preserve"> </w:t>
      </w:r>
      <w:r>
        <w:t xml:space="preserve">immediate evaluation and those deferred for further study.</w:t>
      </w:r>
    </w:p>
    <w:p>
      <w:pPr>
        <w:pStyle w:val="BodyText"/>
      </w:pPr>
      <w:r>
        <w:t xml:space="preserve">The first items highlights two key El Niño-driven effects: A 30%</w:t>
      </w:r>
      <w:r>
        <w:t xml:space="preserve"> </w:t>
      </w:r>
      <w:r>
        <w:t xml:space="preserve">increase in recruitment with a one-year lag, linked to ENSO-related</w:t>
      </w:r>
      <w:r>
        <w:t xml:space="preserve"> </w:t>
      </w:r>
      <w:r>
        <w:t xml:space="preserve">early life stage survival (</w:t>
      </w:r>
      <w:hyperlink w:anchor="fig-enso-recruitment">
        <w:r>
          <w:rPr>
            <w:rStyle w:val="Hyperlink"/>
          </w:rPr>
          <w:t xml:space="preserve">Figure 3</w:t>
        </w:r>
      </w:hyperlink>
      <w:r>
        <w:t xml:space="preserve">). Shifts in</w:t>
      </w:r>
      <w:r>
        <w:t xml:space="preserve"> </w:t>
      </w:r>
      <w:r>
        <w:t xml:space="preserve">catchability, with coastal regions experiencing increased availability</w:t>
      </w:r>
      <w:r>
        <w:t xml:space="preserve"> </w:t>
      </w:r>
      <w:r>
        <w:t xml:space="preserve">and offshore regions seeing declines, reflecting observed onshore</w:t>
      </w:r>
      <w:r>
        <w:t xml:space="preserve"> </w:t>
      </w:r>
      <w:r>
        <w:t xml:space="preserve">movement of fish during warm anomalies. This is also high-priority, with</w:t>
      </w:r>
      <w:r>
        <w:t xml:space="preserve"> </w:t>
      </w:r>
      <w:r>
        <w:t xml:space="preserve">a focus on quantifying impacts on fishery removals.</w:t>
      </w:r>
    </w:p>
    <w:p>
      <w:pPr>
        <w:pStyle w:val="BodyText"/>
      </w:pPr>
      <w:r>
        <w:t xml:space="preserve">The deferred effects were discussed and included the potential for</w:t>
      </w:r>
      <w:r>
        <w:t xml:space="preserve"> </w:t>
      </w:r>
      <w:r>
        <w:t xml:space="preserve">reduced weight-at-age (potentially due to prey scarcity), earlier</w:t>
      </w:r>
      <w:r>
        <w:t xml:space="preserve"> </w:t>
      </w:r>
      <w:r>
        <w:t xml:space="preserve">maturity (a stress response observed in small pelagics), and increased</w:t>
      </w:r>
      <w:r>
        <w:t xml:space="preserve"> </w:t>
      </w:r>
      <w:r>
        <w:t xml:space="preserve">natural mortality (from predation or environmental stress). These are</w:t>
      </w:r>
      <w:r>
        <w:t xml:space="preserve"> </w:t>
      </w:r>
      <w:r>
        <w:t xml:space="preserve">flagged for future study, pending historical data checks or further</w:t>
      </w:r>
      <w:r>
        <w:t xml:space="preserve"> </w:t>
      </w:r>
      <w:r>
        <w:t xml:space="preserve">evidence. The table succinctly organizes hypotheses while clarifying</w:t>
      </w:r>
      <w:r>
        <w:t xml:space="preserve"> </w:t>
      </w:r>
      <w:r>
        <w:t xml:space="preserve">immediate next steps for the OM framework.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enso-recruitment"/>
          <w:p>
            <w:pPr>
              <w:pStyle w:val="Compact"/>
              <w:jc w:val="center"/>
            </w:pPr>
            <w:r>
              <w:drawing>
                <wp:inline>
                  <wp:extent cx="5334000" cy="3375492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s/ENSO_R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75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Recruitment estimates and mean values (horizontal lines) used to</w:t>
            </w:r>
            <w:r>
              <w:t xml:space="preserve"> </w:t>
            </w:r>
            <w:r>
              <w:t xml:space="preserve">estimate the impact of ENSO</w:t>
            </w:r>
            <w:r>
              <w:t xml:space="preserve"> </w:t>
            </w:r>
            <w:r>
              <w:t xml:space="preserve">effects.</w:t>
            </w:r>
          </w:p>
          <w:bookmarkEnd w:id="39"/>
        </w:tc>
      </w:tr>
    </w:tbl>
    <w:p>
      <w:pPr>
        <w:pStyle w:val="BodyText"/>
      </w:pPr>
      <w:r>
        <w:t xml:space="preserve">The following tables summarizes the key effects, their expected</w:t>
      </w:r>
      <w:r>
        <w:t xml:space="preserve"> </w:t>
      </w:r>
      <w:r>
        <w:t xml:space="preserve">directions, and justification.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Recruitment ↑20%</w:t>
            </w:r>
          </w:p>
        </w:tc>
        <w:tc>
          <w:tcPr/>
          <w:p>
            <w:pPr>
              <w:pStyle w:val="Compact"/>
            </w:pPr>
            <w:r>
              <w:t xml:space="preserve">↑ 1-year lag</w:t>
            </w:r>
          </w:p>
        </w:tc>
        <w:tc>
          <w:tcPr/>
          <w:p>
            <w:pPr>
              <w:pStyle w:val="Compact"/>
            </w:pPr>
            <w:r>
              <w:t xml:space="preserve">ENSO-linked early life stage effects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availability</w:t>
            </w:r>
          </w:p>
        </w:tc>
        <w:tc>
          <w:tcPr/>
          <w:p>
            <w:pPr>
              <w:pStyle w:val="Compact"/>
            </w:pPr>
            <w:r>
              <w:t xml:space="preserve">Coast catchability ↑ and offshore ↓</w:t>
            </w:r>
          </w:p>
        </w:tc>
        <w:tc>
          <w:tcPr/>
          <w:p>
            <w:pPr>
              <w:pStyle w:val="Compact"/>
            </w:pPr>
            <w:r>
              <w:t xml:space="preserve">Onshore shift during warm anomalies</w:t>
            </w:r>
          </w:p>
        </w:tc>
      </w:tr>
    </w:tbl>
    <w:p>
      <w:pPr>
        <w:pStyle w:val="BodyText"/>
      </w:pPr>
      <w:r>
        <w:t xml:space="preserve">Discussed but deferred for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Effect</w:t>
            </w:r>
          </w:p>
        </w:tc>
        <w:tc>
          <w:tcPr/>
          <w:p>
            <w:pPr>
              <w:pStyle w:val="Compact"/>
            </w:pPr>
            <w:r>
              <w:t xml:space="preserve">Direction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Weight-at-age</w:t>
            </w:r>
          </w:p>
        </w:tc>
        <w:tc>
          <w:tcPr/>
          <w:p>
            <w:pPr>
              <w:pStyle w:val="Compact"/>
            </w:pPr>
            <w:r>
              <w:t xml:space="preserve">↓Productivity</w:t>
            </w:r>
          </w:p>
        </w:tc>
        <w:tc>
          <w:tcPr/>
          <w:p>
            <w:pPr>
              <w:pStyle w:val="Compact"/>
            </w:pPr>
            <w:r>
              <w:t xml:space="preserve">Lower prey density and observed condition declines</w:t>
            </w:r>
          </w:p>
        </w:tc>
        <w:tc>
          <w:tcPr/>
          <w:p>
            <w:pPr>
              <w:pStyle w:val="Compact"/>
            </w:pPr>
            <w:r>
              <w:t xml:space="preserve">Check historical WAA anomalies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Age-1 maturity</w:t>
            </w:r>
          </w:p>
        </w:tc>
        <w:tc>
          <w:tcPr/>
          <w:p>
            <w:pPr>
              <w:pStyle w:val="Compact"/>
            </w:pPr>
            <w:r>
              <w:t xml:space="preserve">Earlier maturity</w:t>
            </w:r>
          </w:p>
        </w:tc>
        <w:tc>
          <w:tcPr/>
          <w:p>
            <w:pPr>
              <w:pStyle w:val="Compact"/>
            </w:pPr>
            <w:r>
              <w:t xml:space="preserve">Stress response seen in small pelagics</w:t>
            </w:r>
          </w:p>
        </w:tc>
        <w:tc>
          <w:tcPr/>
          <w:p>
            <w:pPr>
              <w:pStyle w:val="Compact"/>
            </w:pPr>
            <w:r>
              <w:t xml:space="preserve">similar impact on Recruitment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Coastal selectivity</w:t>
            </w:r>
          </w:p>
        </w:tc>
        <w:tc>
          <w:tcPr/>
          <w:p>
            <w:pPr>
              <w:pStyle w:val="Compact"/>
            </w:pPr>
            <w:r>
              <w:t xml:space="preserve">Age 1–2 sel ↑</w:t>
            </w:r>
          </w:p>
        </w:tc>
        <w:tc>
          <w:tcPr/>
          <w:p>
            <w:pPr>
              <w:pStyle w:val="Compact"/>
            </w:pPr>
            <w:r>
              <w:t xml:space="preserve">Spatial contraction, availability change</w:t>
            </w:r>
          </w:p>
        </w:tc>
        <w:tc>
          <w:tcPr/>
          <w:p>
            <w:pPr>
              <w:pStyle w:val="Compact"/>
            </w:pPr>
            <w:r>
              <w:t xml:space="preserve">Confirm from CPUE by age?</w:t>
            </w:r>
          </w:p>
        </w:tc>
      </w:tr>
      <w:tr>
        <w:tc>
          <w:tcPr/>
          <w:p>
            <w:pPr>
              <w:pStyle w:val="Compact"/>
            </w:pPr>
            <w:r>
              <w:t xml:space="preserve">M ↑30%/20%</w:t>
            </w:r>
          </w:p>
        </w:tc>
        <w:tc>
          <w:tcPr/>
          <w:p>
            <w:pPr>
              <w:pStyle w:val="Compact"/>
            </w:pPr>
            <w:r>
              <w:t xml:space="preserve">↓ Survival</w:t>
            </w:r>
          </w:p>
        </w:tc>
        <w:tc>
          <w:tcPr/>
          <w:p>
            <w:pPr>
              <w:pStyle w:val="Compact"/>
            </w:pPr>
            <w:r>
              <w:t xml:space="preserve">Stress-induced mortality, predation</w:t>
            </w:r>
          </w:p>
        </w:tc>
        <w:tc>
          <w:tcPr/>
          <w:p>
            <w:pPr>
              <w:pStyle w:val="Compact"/>
            </w:pPr>
          </w:p>
        </w:tc>
      </w:tr>
    </w:tbl>
    <w:bookmarkStart w:id="41" w:name="Xa81f5bbac8307b08d68fdf806a77578ed825c22"/>
    <w:p>
      <w:pPr>
        <w:pStyle w:val="Heading2"/>
      </w:pPr>
      <w:r>
        <w:t xml:space="preserve">Estimating Relative Availability from Catch Proportions</w:t>
      </w:r>
    </w:p>
    <w:p>
      <w:pPr>
        <w:pStyle w:val="FirstParagraph"/>
      </w:pPr>
      <w:r>
        <w:t xml:space="preserve">To estimate the relative availability of jack mackerel to different</w:t>
      </w:r>
      <w:r>
        <w:t xml:space="preserve"> </w:t>
      </w:r>
      <w:r>
        <w:t xml:space="preserve">fleets, we analyzed catch data from 2004 to 2024. These data were</w:t>
      </w:r>
      <w:r>
        <w:t xml:space="preserve"> </w:t>
      </w:r>
      <w:r>
        <w:t xml:space="preserve">smoothed using a 5-year moving average to reduce annual variability.</w:t>
      </w:r>
      <w:r>
        <w:t xml:space="preserve"> </w:t>
      </w:r>
      <w:r>
        <w:t xml:space="preserve">The goal was to have some basis for defining changes in availability to</w:t>
      </w:r>
      <w:r>
        <w:t xml:space="preserve"> </w:t>
      </w:r>
      <w:r>
        <w:t xml:space="preserve">coastal and offshore areas in a way that could roughly</w:t>
      </w:r>
      <w:r>
        <w:t xml:space="preserve"> </w:t>
      </w:r>
      <w:r>
        <w:t xml:space="preserve">approximate the effective catchability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(which includes both true</w:t>
      </w:r>
      <w:r>
        <w:t xml:space="preserve"> </w:t>
      </w:r>
      <w:r>
        <w:t xml:space="preserve">catchability and availability) of the fishery, i.e.: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Catch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  <m:r>
            <m:rPr>
              <m:sty m:val="p"/>
            </m:rPr>
            <m:t>∝</m:t>
          </m:r>
          <m:sSub>
            <m:e>
              <m:r>
                <m:t>q</m:t>
              </m:r>
            </m:e>
            <m:sub>
              <m:r>
                <m:rPr>
                  <m:nor/>
                  <m:sty m:val="p"/>
                </m:rPr>
                <m:t>fleet</m:t>
              </m:r>
            </m:sub>
          </m:sSub>
        </m:oMath>
      </m:oMathPara>
    </w:p>
    <w:p>
      <w:pPr>
        <w:pStyle w:val="FirstParagraph"/>
      </w:pPr>
      <w:r>
        <w:t xml:space="preserve">Thus, observed catch proportions can serve as a proxy for relative</w:t>
      </w:r>
      <w:r>
        <w:t xml:space="preserve"> </w:t>
      </w:r>
      <w:r>
        <w:t xml:space="preserve">availability.</w:t>
      </w:r>
    </w:p>
    <w:p>
      <w:pPr>
        <w:pStyle w:val="TableCaption"/>
      </w:pPr>
      <w:r>
        <w:rPr>
          <w:b/>
          <w:bCs/>
        </w:rPr>
        <w:t xml:space="preserve">5-year moving averages of the proportion of the catch occurring in</w:t>
      </w:r>
      <w:r>
        <w:rPr>
          <w:b/>
          <w:bCs/>
        </w:rPr>
        <w:t xml:space="preserve"> </w:t>
      </w:r>
      <w:r>
        <w:rPr>
          <w:b/>
          <w:bCs/>
        </w:rPr>
        <w:t xml:space="preserve">the</w:t>
      </w:r>
      <w:r>
        <w:rPr>
          <w:b/>
          <w:bCs/>
        </w:rPr>
        <w:t xml:space="preserve"> </w:t>
      </w:r>
      <w:r>
        <w:rPr>
          <w:b/>
          <w:bCs/>
        </w:rPr>
        <w:t xml:space="preserve">“coastal”</w:t>
      </w:r>
      <w:r>
        <w:rPr>
          <w:b/>
          <w:bCs/>
        </w:rPr>
        <w:t xml:space="preserve"> </w:t>
      </w:r>
      <w:r>
        <w:rPr>
          <w:b/>
          <w:bCs/>
        </w:rPr>
        <w:t xml:space="preserve">areas compared to the offshore fleet.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5-year moving averages of the proportion of the catch occurring in the “coastal” areas compared to the offshore flee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Year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Coastal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Offshore (%)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2004–2008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2005–2009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2006–2010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2007–2011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2008–2012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2009–2013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2011–2015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2012–2016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2013–2017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2014–2018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2015–2019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2016–2020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2018–2022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2020–2024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15</w:t>
            </w:r>
          </w:p>
        </w:tc>
      </w:tr>
    </w:tbl>
    <w:bookmarkStart w:id="40" w:name="X88d9574cbed44a2f8d5a11d09e25d736e285d10"/>
    <w:p>
      <w:pPr>
        <w:pStyle w:val="Heading3"/>
      </w:pPr>
      <w:r>
        <w:t xml:space="preserve">Range of Change in Estimated Availability</w:t>
      </w:r>
    </w:p>
    <w:p>
      <w:pPr>
        <w:pStyle w:val="FirstParagraph"/>
      </w:pPr>
      <w:r>
        <w:t xml:space="preserve">Given this pattern we can assume a relative catchability due to an</w:t>
      </w:r>
      <w:r>
        <w:t xml:space="preserve"> </w:t>
      </w:r>
      <w:r>
        <w:t xml:space="preserve">environmental effect. We note that the coastal effective catchability</w:t>
      </w:r>
      <w:r>
        <w:t xml:space="preserve"> </w:t>
      </w:r>
      <w:r>
        <w:t xml:space="preserve">increased from a low of 74% (2006–2010) to a high of 94% (2018–2024), representing</w:t>
      </w:r>
      <w:r>
        <w:t xml:space="preserve"> </w:t>
      </w:r>
      <w:r>
        <w:t xml:space="preserve">20 percentage point change.</w:t>
      </w:r>
      <w:r>
        <w:t xml:space="preserve"> </w:t>
      </w:r>
      <w:r>
        <w:t xml:space="preserve">Meanwhile, the offshore effective catchability declined from a high of 26%</w:t>
      </w:r>
      <w:r>
        <w:t xml:space="preserve"> </w:t>
      </w:r>
      <w:r>
        <w:t xml:space="preserve">(2006–2010) to a low of 6% (2018–2024), representing a 20 percentage</w:t>
      </w:r>
    </w:p>
    <w:p>
      <w:pPr>
        <w:pStyle w:val="BodyText"/>
      </w:pPr>
      <w:r>
        <w:t xml:space="preserve">As part of the robustness test, we propose that the effective availability to</w:t>
      </w:r>
      <w:r>
        <w:t xml:space="preserve"> </w:t>
      </w:r>
      <w:r>
        <w:t xml:space="preserve">the offshore fleet drops from 15% of the biomass (the mean) to gradually</w:t>
      </w:r>
      <w:r>
        <w:t xml:space="preserve"> </w:t>
      </w:r>
      <w:r>
        <w:t xml:space="preserve">to 6% during El Niño periods (a 60% decline in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). This would apply</w:t>
      </w:r>
      <w:r>
        <w:t xml:space="preserve"> </w:t>
      </w:r>
      <w:r>
        <w:t xml:space="preserve">to the data generated for offshore CPUE index in the simulations. For</w:t>
      </w:r>
      <w:r>
        <w:t xml:space="preserve"> </w:t>
      </w:r>
      <w:r>
        <w:t xml:space="preserve">the coastal zones, the effect of El Niño would correspond to an 11%</w:t>
      </w:r>
      <w:r>
        <w:t xml:space="preserve"> </w:t>
      </w:r>
      <w:r>
        <w:t xml:space="preserve">increase in the availability of fish relative to the mean (85%). These</w:t>
      </w:r>
      <w:r>
        <w:t xml:space="preserve"> </w:t>
      </w:r>
      <w:r>
        <w:t xml:space="preserve">changes would apply to the Chilean south-central CPUE index and the Peruvian CPUE</w:t>
      </w:r>
      <w:r>
        <w:t xml:space="preserve"> </w:t>
      </w:r>
      <w:r>
        <w:t xml:space="preserve">index data generation. This is one proposal among many that could be</w:t>
      </w:r>
      <w:r>
        <w:t xml:space="preserve"> </w:t>
      </w:r>
      <w:r>
        <w:t xml:space="preserve">imagined. For example, a slightly more conservative range could be based</w:t>
      </w:r>
      <w:r>
        <w:t xml:space="preserve"> </w:t>
      </w:r>
      <w:r>
        <w:t xml:space="preserve">on the 10th and 90th percentiles of estimated effective catchability</w:t>
      </w:r>
      <w:r>
        <w:t xml:space="preserve"> </w:t>
      </w:r>
      <w:r>
        <w:t xml:space="preserve">(from proportional catches):</w:t>
      </w:r>
    </w:p>
    <w:p>
      <w:pPr>
        <w:pStyle w:val="SourceCode"/>
      </w:pPr>
      <w:r>
        <w:rPr>
          <w:rStyle w:val="VerbatimChar"/>
        </w:rPr>
        <w:t xml:space="preserve">Coastal:</w:t>
      </w:r>
      <w:r>
        <w:br/>
      </w:r>
      <w:r>
        <w:rPr>
          <w:rStyle w:val="VerbatimChar"/>
        </w:rPr>
        <w:t xml:space="preserve">•   10th percentile: 77%</w:t>
      </w:r>
      <w:r>
        <w:br/>
      </w:r>
      <w:r>
        <w:rPr>
          <w:rStyle w:val="VerbatimChar"/>
        </w:rPr>
        <w:t xml:space="preserve">•   90th percentile: 94%</w:t>
      </w:r>
      <w:r>
        <w:br/>
      </w:r>
      <w:r>
        <w:rPr>
          <w:rStyle w:val="VerbatimChar"/>
        </w:rPr>
        <w:t xml:space="preserve">Offshore:</w:t>
      </w:r>
      <w:r>
        <w:br/>
      </w:r>
      <w:r>
        <w:rPr>
          <w:rStyle w:val="VerbatimChar"/>
        </w:rPr>
        <w:t xml:space="preserve">•   10th percentile: 6%</w:t>
      </w:r>
      <w:r>
        <w:br/>
      </w:r>
      <w:r>
        <w:rPr>
          <w:rStyle w:val="VerbatimChar"/>
        </w:rPr>
        <w:t xml:space="preserve">•   90th percentile: 23%</w:t>
      </w:r>
    </w:p>
    <w:p>
      <w:pPr>
        <w:pStyle w:val="FirstParagraph"/>
      </w:pPr>
      <w:r>
        <w:t xml:space="preserve">These shifts may provide some scope for showing the impact of changes in</w:t>
      </w:r>
      <w:r>
        <w:t xml:space="preserve"> </w:t>
      </w:r>
      <w:r>
        <w:t xml:space="preserve">the relative abundance indicators in index values. These reflect</w:t>
      </w:r>
      <w:r>
        <w:t xml:space="preserve"> </w:t>
      </w:r>
      <w:r>
        <w:t xml:space="preserve">patterns over the past two decades, possibly due to environmental</w:t>
      </w:r>
      <w:r>
        <w:t xml:space="preserve"> </w:t>
      </w:r>
      <w:r>
        <w:t xml:space="preserve">changes.</w:t>
      </w:r>
    </w:p>
    <w:bookmarkEnd w:id="40"/>
    <w:bookmarkEnd w:id="41"/>
    <w:bookmarkEnd w:id="42"/>
    <w:bookmarkStart w:id="51" w:name="summary-of-workshop-outcomes"/>
    <w:p>
      <w:pPr>
        <w:pStyle w:val="Heading1"/>
      </w:pPr>
      <w:r>
        <w:t xml:space="preserve">Summary of Workshop Outcomes</w:t>
      </w:r>
    </w:p>
    <w:p>
      <w:pPr>
        <w:pStyle w:val="FirstParagraph"/>
      </w:pPr>
      <w:r>
        <w:t xml:space="preserve">The SCW15 workshop provided a venue for progressing the Jack Mackerel</w:t>
      </w:r>
      <w:r>
        <w:t xml:space="preserve"> </w:t>
      </w:r>
      <w:r>
        <w:t xml:space="preserve">MSE work, resolving some technical issues, and evaluating multiple MP</w:t>
      </w:r>
      <w:r>
        <w:t xml:space="preserve"> </w:t>
      </w:r>
      <w:r>
        <w:t xml:space="preserve">configurations. A key outcome was the identification of problems in being</w:t>
      </w:r>
      <w:r>
        <w:t xml:space="preserve"> </w:t>
      </w:r>
      <w:r>
        <w:t xml:space="preserve">able to clearly show how a tested MP would perform in terms of</w:t>
      </w:r>
      <w:r>
        <w:t xml:space="preserve"> </w:t>
      </w:r>
      <w:r>
        <w:t xml:space="preserve">reaction to different signals from the indices, and how this</w:t>
      </w:r>
      <w:r>
        <w:t xml:space="preserve"> </w:t>
      </w:r>
      <w:r>
        <w:t xml:space="preserve">would translate into catch levels. The group noted that the current</w:t>
      </w:r>
      <w:r>
        <w:t xml:space="preserve"> </w:t>
      </w:r>
      <w:r>
        <w:t xml:space="preserve">jmMSE framework was capable of simulating a wide range of MPs, but</w:t>
      </w:r>
      <w:r>
        <w:t xml:space="preserve"> </w:t>
      </w:r>
      <w:r>
        <w:t xml:space="preserve">more work is needed for member scientists to effectively communicate the</w:t>
      </w:r>
      <w:r>
        <w:t xml:space="preserve"> </w:t>
      </w:r>
      <w:r>
        <w:t xml:space="preserve">tradeoffs and applicaitons of these MPs to the Commission.</w:t>
      </w:r>
      <w:r>
        <w:t xml:space="preserve"> </w:t>
      </w:r>
      <w:r>
        <w:t xml:space="preserve">The group noted that these issues can be discussed prior to the SC and</w:t>
      </w:r>
      <w:r>
        <w:t xml:space="preserve"> </w:t>
      </w:r>
      <w:r>
        <w:t xml:space="preserve">some technical communications would be encouraged.</w:t>
      </w:r>
      <w:r>
        <w:t xml:space="preserve"> </w:t>
      </w:r>
      <w:r>
        <w:t xml:space="preserve">These have focussed on narrowing MP options and refining things for presentation</w:t>
      </w:r>
      <w:r>
        <w:t xml:space="preserve"> </w:t>
      </w:r>
      <w:r>
        <w:t xml:space="preserve">to the SC. Depending on this direction, it may</w:t>
      </w:r>
      <w:r>
        <w:t xml:space="preserve"> </w:t>
      </w:r>
      <w:r>
        <w:t xml:space="preserve">mean that an additional in-person meeting should occur after February 2026 and the</w:t>
      </w:r>
      <w:r>
        <w:t xml:space="preserve"> </w:t>
      </w:r>
      <w:r>
        <w:t xml:space="preserve">Commission meeting.</w:t>
      </w:r>
    </w:p>
    <w:p>
      <w:pPr>
        <w:pStyle w:val="BodyText"/>
      </w:pPr>
      <w:r>
        <w:t xml:space="preserve">Regarding the ability and facility for member scientists to use and</w:t>
      </w:r>
      <w:r>
        <w:t xml:space="preserve"> </w:t>
      </w:r>
      <w:r>
        <w:t xml:space="preserve">evaluate the MSE framework, the group noted that the development of the</w:t>
      </w:r>
      <w:r>
        <w:t xml:space="preserve"> </w:t>
      </w:r>
      <w:r>
        <w:t xml:space="preserve">jmMSE package was exceptionally well done. We found that difficulties</w:t>
      </w:r>
      <w:r>
        <w:t xml:space="preserve"> </w:t>
      </w:r>
      <w:r>
        <w:t xml:space="preserve">inherent to the jack mackerel resource and assessment created unique</w:t>
      </w:r>
      <w:r>
        <w:t xml:space="preserve"> </w:t>
      </w:r>
      <w:r>
        <w:t xml:space="preserve">problems. Specifically, the variable resource distribution, available</w:t>
      </w:r>
      <w:r>
        <w:t xml:space="preserve"> </w:t>
      </w:r>
      <w:r>
        <w:t xml:space="preserve">data, and specifications of projection conditions (e.g., mean body</w:t>
      </w:r>
      <w:r>
        <w:t xml:space="preserve"> </w:t>
      </w:r>
      <w:r>
        <w:t xml:space="preserve">mass-at-age, fishery selectivity at age) complicated how MPs could be</w:t>
      </w:r>
      <w:r>
        <w:t xml:space="preserve"> </w:t>
      </w:r>
      <w:r>
        <w:t xml:space="preserve">evaluated. We noted that such specifications would be problematic for</w:t>
      </w:r>
      <w:r>
        <w:t xml:space="preserve"> </w:t>
      </w:r>
      <w:r>
        <w:t xml:space="preserve">any other MSE framework as well.</w:t>
      </w:r>
    </w:p>
    <w:bookmarkStart w:id="43" w:name="software-and-technical-recommendations"/>
    <w:p>
      <w:pPr>
        <w:pStyle w:val="Heading3"/>
      </w:pPr>
      <w:r>
        <w:t xml:space="preserve">Software and Technical Recommendations</w:t>
      </w:r>
    </w:p>
    <w:p>
      <w:pPr>
        <w:numPr>
          <w:ilvl w:val="0"/>
          <w:numId w:val="1005"/>
        </w:numPr>
      </w:pPr>
      <w:r>
        <w:t xml:space="preserve">Continue using</w:t>
      </w:r>
      <w:r>
        <w:t xml:space="preserve"> </w:t>
      </w:r>
      <w:r>
        <w:rPr>
          <w:b/>
          <w:bCs/>
        </w:rPr>
        <w:t xml:space="preserve">FLR</w:t>
      </w:r>
      <w:r>
        <w:t xml:space="preserve"> </w:t>
      </w:r>
      <w:r>
        <w:t xml:space="preserve">as the main MSE engine unless there is a</w:t>
      </w:r>
      <w:r>
        <w:t xml:space="preserve"> </w:t>
      </w:r>
      <w:r>
        <w:t xml:space="preserve">dedicated effort to migrate to</w:t>
      </w:r>
      <w:r>
        <w:t xml:space="preserve"> </w:t>
      </w:r>
      <w:r>
        <w:rPr>
          <w:b/>
          <w:bCs/>
        </w:rPr>
        <w:t xml:space="preserve">openMSE</w:t>
      </w:r>
      <w:r>
        <w:t xml:space="preserve"> </w:t>
      </w:r>
      <w:r>
        <w:t xml:space="preserve">or another platform.</w:t>
      </w:r>
    </w:p>
    <w:p>
      <w:pPr>
        <w:numPr>
          <w:ilvl w:val="0"/>
          <w:numId w:val="1005"/>
        </w:numPr>
      </w:pPr>
      <w:r>
        <w:t xml:space="preserve">Improve naming conventions in code to reduce ambiguity. For example:</w:t>
      </w:r>
    </w:p>
    <w:p>
      <w:pPr>
        <w:pStyle w:val="Compact"/>
        <w:numPr>
          <w:ilvl w:val="1"/>
          <w:numId w:val="1006"/>
        </w:numPr>
      </w:pPr>
      <w:r>
        <w:t xml:space="preserve">Functions like</w:t>
      </w:r>
      <w:r>
        <w:t xml:space="preserve"> </w:t>
      </w:r>
      <w:r>
        <w:rPr>
          <w:rStyle w:val="VerbatimChar"/>
        </w:rPr>
        <w:t xml:space="preserve">cpuescore2.ind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cpuescore3.ind</w:t>
      </w:r>
      <w:r>
        <w:t xml:space="preserve"> </w:t>
      </w:r>
      <w:r>
        <w:t xml:space="preserve">could</w:t>
      </w:r>
      <w:r>
        <w:t xml:space="preserve"> </w:t>
      </w:r>
      <w:r>
        <w:t xml:space="preserve">better reflect their purpose.</w:t>
      </w:r>
    </w:p>
    <w:bookmarkEnd w:id="43"/>
    <w:bookmarkStart w:id="44" w:name="Xbfa16bdf844b5eacb5d80b6029cd32153158102"/>
    <w:p>
      <w:pPr>
        <w:pStyle w:val="Heading3"/>
      </w:pPr>
      <w:r>
        <w:t xml:space="preserve">MSE Development Timeline and Deliverables</w:t>
      </w:r>
    </w:p>
    <w:p>
      <w:pPr>
        <w:pStyle w:val="FirstParagraph"/>
      </w:pPr>
      <w:r>
        <w:t xml:space="preserve">The group noted that MSE funding (in the form of providing support from</w:t>
      </w:r>
      <w:r>
        <w:t xml:space="preserve"> </w:t>
      </w:r>
      <w:r>
        <w:t xml:space="preserve">external developers) may be available but would be contingent on:</w:t>
      </w:r>
    </w:p>
    <w:p>
      <w:pPr>
        <w:numPr>
          <w:ilvl w:val="0"/>
          <w:numId w:val="1007"/>
        </w:numPr>
      </w:pPr>
      <w:r>
        <w:t xml:space="preserve">Coordination with the current analyst (Iago).</w:t>
      </w:r>
    </w:p>
    <w:p>
      <w:pPr>
        <w:numPr>
          <w:ilvl w:val="0"/>
          <w:numId w:val="1007"/>
        </w:numPr>
      </w:pPr>
      <w:r>
        <w:t xml:space="preserve">Collaboration with the technical team.</w:t>
      </w:r>
    </w:p>
    <w:p>
      <w:pPr>
        <w:numPr>
          <w:ilvl w:val="0"/>
          <w:numId w:val="1007"/>
        </w:numPr>
      </w:pPr>
      <w:r>
        <w:t xml:space="preserve">Receptiveness to using</w:t>
      </w:r>
      <w:r>
        <w:t xml:space="preserve"> </w:t>
      </w:r>
      <w:r>
        <w:rPr>
          <w:b/>
          <w:bCs/>
        </w:rPr>
        <w:t xml:space="preserve">openMSE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Clear timelines and deliverables.</w:t>
      </w:r>
    </w:p>
    <w:p>
      <w:pPr>
        <w:pStyle w:val="FirstParagraph"/>
      </w:pPr>
      <w:r>
        <w:t xml:space="preserve">An initial set of deliverables that have been completed include: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Reference OMs</w:t>
      </w:r>
      <w:r>
        <w:t xml:space="preserve"> </w:t>
      </w:r>
      <w:r>
        <w:t xml:space="preserve">(no multistock): End of July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Robustness OMs</w:t>
      </w:r>
      <w:r>
        <w:t xml:space="preserve"> </w:t>
      </w:r>
      <w:r>
        <w:t xml:space="preserve">(no multistock): End of August progress)*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Shortcut calibration</w:t>
      </w:r>
      <w:r>
        <w:t xml:space="preserve"> </w:t>
      </w:r>
      <w:r>
        <w:t xml:space="preserve">to the JJM assessment: End of August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Range of shortcut MPs</w:t>
      </w:r>
      <w:r>
        <w:t xml:space="preserve"> </w:t>
      </w:r>
      <w:r>
        <w:t xml:space="preserve">run for all reference OMs: End of July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Technical documentation and reports</w:t>
      </w:r>
      <w:r>
        <w:t xml:space="preserve">:</w:t>
      </w:r>
    </w:p>
    <w:p>
      <w:pPr>
        <w:numPr>
          <w:ilvl w:val="1"/>
          <w:numId w:val="1009"/>
        </w:numPr>
      </w:pPr>
      <w:r>
        <w:t xml:space="preserve">Draft Technical Summary Document (TSD) by end of July.</w:t>
      </w:r>
    </w:p>
    <w:p>
      <w:pPr>
        <w:numPr>
          <w:ilvl w:val="1"/>
          <w:numId w:val="1009"/>
        </w:numPr>
      </w:pPr>
      <w:r>
        <w:t xml:space="preserve">Technical working papers and presentations for:</w:t>
      </w:r>
    </w:p>
    <w:p>
      <w:pPr>
        <w:numPr>
          <w:ilvl w:val="2"/>
          <w:numId w:val="1010"/>
        </w:numPr>
      </w:pPr>
      <w:r>
        <w:t xml:space="preserve">Shortcut calibration to JJM</w:t>
      </w:r>
    </w:p>
    <w:p>
      <w:pPr>
        <w:numPr>
          <w:ilvl w:val="2"/>
          <w:numId w:val="1010"/>
        </w:numPr>
      </w:pPr>
      <w:r>
        <w:t xml:space="preserve">Reference set OM results for MP archetypes</w:t>
      </w:r>
      <w:r>
        <w:t xml:space="preserve"> </w:t>
      </w:r>
      <w:r>
        <w:rPr>
          <w:i/>
          <w:iCs/>
        </w:rPr>
        <w:t xml:space="preserve">(pending)</w:t>
      </w:r>
    </w:p>
    <w:p>
      <w:pPr>
        <w:numPr>
          <w:ilvl w:val="2"/>
          <w:numId w:val="1010"/>
        </w:numPr>
      </w:pPr>
      <w:r>
        <w:t xml:space="preserve">Robustness OM results</w:t>
      </w:r>
    </w:p>
    <w:p>
      <w:pPr>
        <w:numPr>
          <w:ilvl w:val="2"/>
          <w:numId w:val="1010"/>
        </w:numPr>
      </w:pPr>
      <w:r>
        <w:t xml:space="preserve">MP performance summaries</w:t>
      </w:r>
    </w:p>
    <w:p>
      <w:pPr>
        <w:numPr>
          <w:ilvl w:val="1"/>
          <w:numId w:val="1009"/>
        </w:numPr>
      </w:pPr>
      <w:r>
        <w:t xml:space="preserve">Slick MSE results summary.</w:t>
      </w:r>
    </w:p>
    <w:bookmarkEnd w:id="44"/>
    <w:bookmarkStart w:id="45" w:name="near-term-tasks"/>
    <w:p>
      <w:pPr>
        <w:pStyle w:val="Heading3"/>
      </w:pPr>
      <w:r>
        <w:t xml:space="preserve">Near term tasks</w:t>
      </w:r>
    </w:p>
    <w:p>
      <w:pPr>
        <w:pStyle w:val="FirstParagraph"/>
      </w:pPr>
      <w:r>
        <w:t xml:space="preserve">Participants were encouraged to document their activities during the</w:t>
      </w:r>
      <w:r>
        <w:t xml:space="preserve"> </w:t>
      </w:r>
      <w:r>
        <w:t xml:space="preserve">workshop, including the methods explored and tuning targets used. Work</w:t>
      </w:r>
      <w:r>
        <w:t xml:space="preserve"> </w:t>
      </w:r>
      <w:r>
        <w:t xml:space="preserve">tasked identified included: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All</w:t>
      </w:r>
      <w:r>
        <w:t xml:space="preserve"> </w:t>
      </w:r>
      <w:r>
        <w:t xml:space="preserve">continue to evaluate MPs to the extent practical ensuring</w:t>
      </w:r>
      <w:r>
        <w:t xml:space="preserve"> </w:t>
      </w:r>
      <w:r>
        <w:t xml:space="preserve">that they can be tuned to achieve a 60% green status and are</w:t>
      </w:r>
      <w:r>
        <w:t xml:space="preserve"> </w:t>
      </w:r>
      <w:r>
        <w:t xml:space="preserve">consistent with the available OM data stream projections.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Jim</w:t>
      </w:r>
      <w:r>
        <w:t xml:space="preserve"> </w:t>
      </w:r>
      <w:r>
        <w:t xml:space="preserve">evaluated 9 MPs (including</w:t>
      </w:r>
      <w:r>
        <w:t xml:space="preserve"> </w:t>
      </w:r>
      <w:r>
        <w:rPr>
          <w:rStyle w:val="VerbatimChar"/>
        </w:rPr>
        <w:t xml:space="preserve">bufferdelta2</w:t>
      </w:r>
      <w:r>
        <w:t xml:space="preserve">,</w:t>
      </w:r>
      <w:r>
        <w:t xml:space="preserve"> </w:t>
      </w:r>
      <w:r>
        <w:rPr>
          <w:rStyle w:val="VerbatimChar"/>
        </w:rPr>
        <w:t xml:space="preserve">cpuescore2</w:t>
      </w:r>
      <w:r>
        <w:t xml:space="preserve">,</w:t>
      </w:r>
      <w:r>
        <w:t xml:space="preserve"> </w:t>
      </w:r>
      <w:r>
        <w:t xml:space="preserve">test acoustic, and combinations of CPUE indices with different</w:t>
      </w:r>
      <w:r>
        <w:t xml:space="preserve"> </w:t>
      </w:r>
      <w:r>
        <w:rPr>
          <w:rStyle w:val="VerbatimChar"/>
        </w:rPr>
        <w:t xml:space="preserve">delta_TAC</w:t>
      </w:r>
      <w:r>
        <w:t xml:space="preserve"> </w:t>
      </w:r>
      <w:r>
        <w:t xml:space="preserve">values), all tuned to achieve 60% green status.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Chilean analysts</w:t>
      </w:r>
      <w:r>
        <w:t xml:space="preserve"> </w:t>
      </w:r>
      <w:r>
        <w:t xml:space="preserve">apply shortcut tuning methods as a</w:t>
      </w:r>
      <w:r>
        <w:t xml:space="preserve"> </w:t>
      </w:r>
      <w:r>
        <w:t xml:space="preserve">demonstration. This was completed and provided in</w:t>
      </w:r>
      <w:r>
        <w:t xml:space="preserve"> </w:t>
      </w:r>
      <w:hyperlink w:anchor="sec-shortcut">
        <w:r>
          <w:rPr>
            <w:rStyle w:val="Hyperlink"/>
          </w:rPr>
          <w:t xml:space="preserve">Section 7</w:t>
        </w:r>
      </w:hyperlink>
      <w:r>
        <w:t xml:space="preserve">.</w:t>
      </w:r>
    </w:p>
    <w:p>
      <w:pPr>
        <w:pStyle w:val="FirstParagraph"/>
      </w:pPr>
      <w:r>
        <w:t xml:space="preserve">This table illustrates how an array of MPs might be evaluated for</w:t>
      </w:r>
      <w:r>
        <w:t xml:space="preserve"> </w:t>
      </w:r>
      <w:r>
        <w:t xml:space="preserve">summarization: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Harvest Control Rule Methods Summary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Comparison of methods, tuning, and compatibility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Tuning 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 Parameters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Score 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target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bufflow, buffup, limit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cpuescore3.ind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Original pkg function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bufferdelta.hcr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depletion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sloperatio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cpuescore3.ind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Modified; not compatible with z-score metrics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bufferdelta2.hcr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zscore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sloperatio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cpuescore2.ind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New; not compatible with depletion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2024+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buffer2.hcr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zscore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target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width (affects buffer)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cpuescore2.ind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Original; adjusted for zscore (limit = -2 SD)</w:t>
            </w:r>
          </w:p>
        </w:tc>
      </w:tr>
    </w:tbl>
    <w:p>
      <w:pPr>
        <w:pStyle w:val="BodyText"/>
      </w:pPr>
      <w:r>
        <w:t xml:space="preserve">Summary of MPs evaluated during the workshop, including tuning targets and performance metrics.</w:t>
      </w:r>
    </w:p>
    <w:p>
      <w:pPr>
        <w:pStyle w:val="BodyText"/>
      </w:pPr>
      <w:r>
        <w:t xml:space="preserve">The SC Chair, Ricardo developed some enhancements to the jmMSE demo</w:t>
      </w:r>
      <w:r>
        <w:t xml:space="preserve"> </w:t>
      </w:r>
      <w:r>
        <w:t xml:space="preserve">framework after the workshop. These introduce greater flexibility</w:t>
      </w:r>
      <w:r>
        <w:t xml:space="preserve"> </w:t>
      </w:r>
      <w:r>
        <w:t xml:space="preserve">and diagnostic power through two key components: performance2() and</w:t>
      </w:r>
      <w:r>
        <w:t xml:space="preserve"> </w:t>
      </w:r>
      <w:r>
        <w:t xml:space="preserve">evaluate_mp(). The performance2() function extends standard summary outputs by</w:t>
      </w:r>
      <w:r>
        <w:t xml:space="preserve"> </w:t>
      </w:r>
      <w:r>
        <w:t xml:space="preserve">computing a richer set of indicators—such as mean relative biomass and fishing</w:t>
      </w:r>
      <w:r>
        <w:t xml:space="preserve"> </w:t>
      </w:r>
      <w:r>
        <w:t xml:space="preserve">mortality, catch, the probability of remaining in the green zone of the Kobe</w:t>
      </w:r>
      <w:r>
        <w:t xml:space="preserve"> </w:t>
      </w:r>
      <w:r>
        <w:t xml:space="preserve">plot, and the longest duration spent outside it.</w:t>
      </w:r>
      <w:r>
        <w:t xml:space="preserve"> </w:t>
      </w:r>
      <w:r>
        <w:t xml:space="preserve"> </w:t>
      </w:r>
      <w:r>
        <w:t xml:space="preserve">The evaluate_mp() function wraps the full</w:t>
      </w:r>
      <w:r>
        <w:t xml:space="preserve"> </w:t>
      </w:r>
      <w:r>
        <w:t xml:space="preserve">MP simulation while allowing multi-parameter optimization of Harvest Control</w:t>
      </w:r>
      <w:r>
        <w:t xml:space="preserve"> </w:t>
      </w:r>
      <w:r>
        <w:t xml:space="preserve">Rule (HCR) settings, and it incorporates a customizable objective function that</w:t>
      </w:r>
      <w:r>
        <w:t xml:space="preserve"> </w:t>
      </w:r>
      <w:r>
        <w:t xml:space="preserve">accounts for discounted catch, stability (via IACV), conservation thresholds</w:t>
      </w:r>
      <w:r>
        <w:t xml:space="preserve"> </w:t>
      </w:r>
      <w:r>
        <w:t xml:space="preserve">(e.g., probability of being</w:t>
      </w:r>
      <w:r>
        <w:t xml:space="preserve"> </w:t>
      </w:r>
      <w:r>
        <w:t xml:space="preserve">“green”</w:t>
      </w:r>
      <w:r>
        <w:t xml:space="preserve">), and duration outside target reference</w:t>
      </w:r>
      <w:r>
        <w:t xml:space="preserve"> </w:t>
      </w:r>
      <w:r>
        <w:t xml:space="preserve">points. This setup allows for filtering out implausible simulations, facilitates</w:t>
      </w:r>
      <w:r>
        <w:t xml:space="preserve"> </w:t>
      </w:r>
      <w:r>
        <w:t xml:space="preserve">adaptive MP tuning, and supports rapid exploration of trade-offs in management</w:t>
      </w:r>
      <w:r>
        <w:t xml:space="preserve"> </w:t>
      </w:r>
      <w:r>
        <w:t xml:space="preserve">performance. Together, these tools make the MSE evaluation process more</w:t>
      </w:r>
      <w:r>
        <w:t xml:space="preserve"> </w:t>
      </w:r>
      <w:r>
        <w:t xml:space="preserve">transparent, efficient, and tailored to decision-maker priorities.</w:t>
      </w:r>
    </w:p>
    <w:p>
      <w:pPr>
        <w:pStyle w:val="BodyText"/>
      </w:pPr>
      <w:r>
        <w:t xml:space="preserve">This and other work conducted after the workshop encountered problems with the</w:t>
      </w:r>
      <w:r>
        <w:t xml:space="preserve"> </w:t>
      </w:r>
      <w:r>
        <w:t xml:space="preserve">magnitude of recruitment variability which led to unreasonably high levels</w:t>
      </w:r>
      <w:r>
        <w:t xml:space="preserve"> </w:t>
      </w:r>
      <w:r>
        <w:t xml:space="preserve">of biomass in a significant number of the simulations. This was something that</w:t>
      </w:r>
      <w:r>
        <w:t xml:space="preserve"> </w:t>
      </w:r>
      <w:r>
        <w:t xml:space="preserve">required further investigation and resolution in collaboration with the developer (Iago).</w:t>
      </w:r>
    </w:p>
    <w:bookmarkEnd w:id="45"/>
    <w:bookmarkStart w:id="46" w:name="medium-term-tasks"/>
    <w:p>
      <w:pPr>
        <w:pStyle w:val="Heading3"/>
      </w:pPr>
      <w:r>
        <w:t xml:space="preserve">Medium term tasks</w:t>
      </w:r>
    </w:p>
    <w:p>
      <w:pPr>
        <w:pStyle w:val="FirstParagraph"/>
      </w:pPr>
      <w:r>
        <w:t xml:space="preserve">The group agreed to continue working on the MSE framework, with a focus</w:t>
      </w:r>
      <w:r>
        <w:t xml:space="preserve"> </w:t>
      </w:r>
      <w:r>
        <w:t xml:space="preserve">on the following tasks: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Consider how reference set of OMs could be</w:t>
      </w:r>
      <w:r>
        <w:rPr>
          <w:b/>
          <w:bCs/>
        </w:rPr>
        <w:t xml:space="preserve"> </w:t>
      </w:r>
      <w:r>
        <w:rPr>
          <w:b/>
          <w:bCs/>
        </w:rPr>
        <w:t xml:space="preserve">regenerated</w:t>
      </w:r>
      <w:r>
        <w:t xml:space="preserve"> </w:t>
      </w:r>
      <w:r>
        <w:t xml:space="preserve">conditioned to historical data using MCMC methods.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Implement robustness tests</w:t>
      </w:r>
      <w:r>
        <w:t xml:space="preserve"> </w:t>
      </w:r>
      <w:r>
        <w:t xml:space="preserve">to evaluate how MPs perform under a range</w:t>
      </w:r>
      <w:r>
        <w:t xml:space="preserve"> </w:t>
      </w:r>
      <w:r>
        <w:t xml:space="preserve">of plausible yet uncertain scenarios.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Refine MP candidates</w:t>
      </w:r>
      <w:r>
        <w:t xml:space="preserve"> </w:t>
      </w:r>
      <w:r>
        <w:t xml:space="preserve">using the jmMSE software package, ensuring they are scientifically sound and</w:t>
      </w:r>
      <w:r>
        <w:t xml:space="preserve"> </w:t>
      </w:r>
      <w:r>
        <w:t xml:space="preserve">technically robust and transparent.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Document and share</w:t>
      </w:r>
      <w:r>
        <w:t xml:space="preserve"> </w:t>
      </w:r>
      <w:r>
        <w:t xml:space="preserve">the MSE framework,</w:t>
      </w:r>
      <w:r>
        <w:t xml:space="preserve"> </w:t>
      </w:r>
      <w:r>
        <w:t xml:space="preserve">including model assumptions, data sources, and MP structure.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Explore additional diagnostics</w:t>
      </w:r>
      <w:r>
        <w:t xml:space="preserve"> </w:t>
      </w:r>
      <w:r>
        <w:t xml:space="preserve">and refinements, including new performance</w:t>
      </w:r>
      <w:r>
        <w:t xml:space="preserve"> </w:t>
      </w:r>
      <w:r>
        <w:t xml:space="preserve">metrics that reflect stock status and trends in the final projection</w:t>
      </w:r>
      <w:r>
        <w:t xml:space="preserve"> </w:t>
      </w:r>
      <w:r>
        <w:t xml:space="preserve">years.</w:t>
      </w:r>
    </w:p>
    <w:bookmarkEnd w:id="46"/>
    <w:bookmarkStart w:id="50" w:name="further-recommendations-to-consider"/>
    <w:p>
      <w:pPr>
        <w:pStyle w:val="Heading2"/>
      </w:pPr>
      <w:r>
        <w:t xml:space="preserve">Further recommendations to consider</w:t>
      </w:r>
    </w:p>
    <w:bookmarkStart w:id="47" w:name="for-the-sc"/>
    <w:p>
      <w:pPr>
        <w:pStyle w:val="Heading3"/>
      </w:pPr>
      <w:r>
        <w:t xml:space="preserve">For the SC:</w:t>
      </w:r>
    </w:p>
    <w:p>
      <w:pPr>
        <w:numPr>
          <w:ilvl w:val="0"/>
          <w:numId w:val="1013"/>
        </w:numPr>
      </w:pPr>
      <w:r>
        <w:t xml:space="preserve">Adopt the current proposal structure with flexibility for future</w:t>
      </w:r>
      <w:r>
        <w:t xml:space="preserve"> </w:t>
      </w:r>
      <w:r>
        <w:t xml:space="preserve">adjustment.</w:t>
      </w:r>
    </w:p>
    <w:p>
      <w:pPr>
        <w:numPr>
          <w:ilvl w:val="0"/>
          <w:numId w:val="1013"/>
        </w:numPr>
      </w:pPr>
      <w:r>
        <w:t xml:space="preserve">Recommend a shortlist of MP options to simplify the selection</w:t>
      </w:r>
      <w:r>
        <w:t xml:space="preserve"> </w:t>
      </w:r>
      <w:r>
        <w:t xml:space="preserve">process at the Commission level.</w:t>
      </w:r>
    </w:p>
    <w:p>
      <w:pPr>
        <w:numPr>
          <w:ilvl w:val="0"/>
          <w:numId w:val="1013"/>
        </w:numPr>
      </w:pPr>
      <w:r>
        <w:t xml:space="preserve">Consider a placeholder method for calculating the 2026 TAC if MSE</w:t>
      </w:r>
      <w:r>
        <w:t xml:space="preserve"> </w:t>
      </w:r>
      <w:r>
        <w:t xml:space="preserve">work is not yet finalized.</w:t>
      </w:r>
    </w:p>
    <w:bookmarkEnd w:id="47"/>
    <w:bookmarkStart w:id="48" w:name="for-members"/>
    <w:p>
      <w:pPr>
        <w:pStyle w:val="Heading3"/>
      </w:pPr>
      <w:r>
        <w:t xml:space="preserve">For Members:</w:t>
      </w:r>
    </w:p>
    <w:p>
      <w:pPr>
        <w:numPr>
          <w:ilvl w:val="0"/>
          <w:numId w:val="1014"/>
        </w:numPr>
      </w:pPr>
      <w:r>
        <w:t xml:space="preserve">Commit to a shared MSE software base (FLR or openMSE).</w:t>
      </w:r>
    </w:p>
    <w:p>
      <w:pPr>
        <w:numPr>
          <w:ilvl w:val="0"/>
          <w:numId w:val="1014"/>
        </w:numPr>
      </w:pPr>
      <w:r>
        <w:t xml:space="preserve">Engage in pre-SC online meetings to broaden participation in MSE</w:t>
      </w:r>
      <w:r>
        <w:t xml:space="preserve"> </w:t>
      </w:r>
      <w:r>
        <w:t xml:space="preserve">discussions.</w:t>
      </w:r>
    </w:p>
    <w:bookmarkEnd w:id="48"/>
    <w:bookmarkStart w:id="49" w:name="for-analyst-iago"/>
    <w:p>
      <w:pPr>
        <w:pStyle w:val="Heading3"/>
      </w:pPr>
      <w:r>
        <w:t xml:space="preserve">For Analyst (Iago):</w:t>
      </w:r>
    </w:p>
    <w:p>
      <w:pPr>
        <w:numPr>
          <w:ilvl w:val="0"/>
          <w:numId w:val="1015"/>
        </w:numPr>
      </w:pPr>
      <w:r>
        <w:t xml:space="preserve">Prioritize enhancements discussed during the workshop:</w:t>
      </w:r>
    </w:p>
    <w:p>
      <w:pPr>
        <w:numPr>
          <w:ilvl w:val="1"/>
          <w:numId w:val="1016"/>
        </w:numPr>
      </w:pPr>
      <w:r>
        <w:t xml:space="preserve">Code clarity and naming conventions</w:t>
      </w:r>
    </w:p>
    <w:p>
      <w:pPr>
        <w:numPr>
          <w:ilvl w:val="1"/>
          <w:numId w:val="1016"/>
        </w:numPr>
      </w:pPr>
      <w:r>
        <w:t xml:space="preserve">Logical parameter usage across MPs</w:t>
      </w:r>
    </w:p>
    <w:p>
      <w:pPr>
        <w:numPr>
          <w:ilvl w:val="1"/>
          <w:numId w:val="1016"/>
        </w:numPr>
      </w:pPr>
      <w:r>
        <w:t xml:space="preserve">Refinement of FLR-to-dataframe functions</w:t>
      </w:r>
    </w:p>
    <w:p>
      <w:pPr>
        <w:numPr>
          <w:ilvl w:val="0"/>
          <w:numId w:val="1015"/>
        </w:numPr>
      </w:pPr>
      <w:r>
        <w:t xml:space="preserve">Identify successor strategy after contract ends in 2025.</w:t>
      </w:r>
    </w:p>
    <w:bookmarkEnd w:id="49"/>
    <w:bookmarkEnd w:id="50"/>
    <w:bookmarkEnd w:id="51"/>
    <w:bookmarkStart w:id="67" w:name="references"/>
    <w:p>
      <w:pPr>
        <w:pStyle w:val="Heading1"/>
      </w:pPr>
      <w:r>
        <w:t xml:space="preserve">References</w:t>
      </w:r>
    </w:p>
    <w:bookmarkStart w:id="66" w:name="refs"/>
    <w:bookmarkStart w:id="53" w:name="ref-slick2024"/>
    <w:p>
      <w:pPr>
        <w:pStyle w:val="Bibliography"/>
      </w:pPr>
      <w:r>
        <w:t xml:space="preserve">Blue Matter Science. 2024.</w:t>
      </w:r>
      <w:r>
        <w:t xml:space="preserve"> </w:t>
      </w:r>
      <w:r>
        <w:t xml:space="preserve">“Slick: Interactive Visualization of</w:t>
      </w:r>
      <w:r>
        <w:t xml:space="preserve"> </w:t>
      </w:r>
      <w:r>
        <w:t xml:space="preserve">MSE</w:t>
      </w:r>
      <w:r>
        <w:t xml:space="preserve"> </w:t>
      </w:r>
      <w:r>
        <w:t xml:space="preserve">Results.”</w:t>
      </w:r>
      <w:r>
        <w:t xml:space="preserve"> </w:t>
      </w:r>
      <w:r>
        <w:t xml:space="preserve">Blue Matter Science.</w:t>
      </w:r>
      <w:r>
        <w:t xml:space="preserve"> </w:t>
      </w:r>
      <w:hyperlink r:id="rId52">
        <w:r>
          <w:rPr>
            <w:rStyle w:val="Hyperlink"/>
          </w:rPr>
          <w:t xml:space="preserve">https://slick.bluematterscience.com/index.html</w:t>
        </w:r>
      </w:hyperlink>
      <w:r>
        <w:t xml:space="preserve">.</w:t>
      </w:r>
    </w:p>
    <w:bookmarkEnd w:id="53"/>
    <w:bookmarkStart w:id="55" w:name="ref-Carruthers2023"/>
    <w:p>
      <w:pPr>
        <w:pStyle w:val="Bibliography"/>
      </w:pPr>
      <w:r>
        <w:t xml:space="preserve">Carruthers, Thomas R., Quang C. Huynh, Adrian R. Hordyk, David Newman, Anthony D. M. Smith, Keith J. Sainsbury, Kevin Stokes, et al. 2023.</w:t>
      </w:r>
      <w:r>
        <w:t xml:space="preserve"> </w:t>
      </w:r>
      <w:r>
        <w:t xml:space="preserve">“Method Evaluation and Risk Assessment: A Framework for Evaluating Management Strategies for Data-Limited Fisheries.”</w:t>
      </w:r>
      <w:r>
        <w:t xml:space="preserve"> </w:t>
      </w:r>
      <w:r>
        <w:rPr>
          <w:i/>
          <w:iCs/>
        </w:rPr>
        <w:t xml:space="preserve">Fish and Fisheries</w:t>
      </w:r>
      <w:r>
        <w:t xml:space="preserve"> </w:t>
      </w:r>
      <w:r>
        <w:t xml:space="preserve">24 (6): 1335–50.</w:t>
      </w:r>
      <w:r>
        <w:t xml:space="preserve"> </w:t>
      </w:r>
      <w:hyperlink r:id="rId54">
        <w:r>
          <w:rPr>
            <w:rStyle w:val="Hyperlink"/>
          </w:rPr>
          <w:t xml:space="preserve">https://doi.org/10.1111/faf.12726</w:t>
        </w:r>
      </w:hyperlink>
      <w:r>
        <w:t xml:space="preserve">.</w:t>
      </w:r>
    </w:p>
    <w:bookmarkEnd w:id="55"/>
    <w:bookmarkStart w:id="57" w:name="ref-Hillary2023FLR"/>
    <w:p>
      <w:pPr>
        <w:pStyle w:val="Bibliography"/>
      </w:pPr>
      <w:r>
        <w:t xml:space="preserve">Hillary, Richard M., José M. Castro, James T. Thorson, Sean C. Anderson, and Laurence T. Kell. 2023.</w:t>
      </w:r>
      <w:r>
        <w:t xml:space="preserve"> </w:t>
      </w:r>
      <w:r>
        <w:t xml:space="preserve">“The FLR Software Framework for Building Management Strategy Evaluation Systems: Recent Advances and Application to Data-Rich and Data-Limited Fisheries.”</w:t>
      </w:r>
      <w:r>
        <w:t xml:space="preserve"> </w:t>
      </w:r>
      <w:r>
        <w:rPr>
          <w:i/>
          <w:iCs/>
        </w:rPr>
        <w:t xml:space="preserve">Fisheries Research</w:t>
      </w:r>
      <w:r>
        <w:t xml:space="preserve"> </w:t>
      </w:r>
      <w:r>
        <w:t xml:space="preserve">263: 106585.</w:t>
      </w:r>
      <w:r>
        <w:t xml:space="preserve"> </w:t>
      </w:r>
      <w:hyperlink r:id="rId56">
        <w:r>
          <w:rPr>
            <w:rStyle w:val="Hyperlink"/>
          </w:rPr>
          <w:t xml:space="preserve">https://doi.org/10.1016/j.fishres.2023.106585</w:t>
        </w:r>
      </w:hyperlink>
      <w:r>
        <w:t xml:space="preserve">.</w:t>
      </w:r>
    </w:p>
    <w:bookmarkEnd w:id="57"/>
    <w:bookmarkStart w:id="59" w:name="ref-Kell2007FLR"/>
    <w:p>
      <w:pPr>
        <w:pStyle w:val="Bibliography"/>
      </w:pPr>
      <w:r>
        <w:t xml:space="preserve">Kell, Laurence T., Iago Mosqueira, Paul Grosjean, Jean-Marc Fromentin, Dorleta Garcia, Richard Hillary, Ernesto Jardim Simon Mardle, et al. 2007.</w:t>
      </w:r>
      <w:r>
        <w:t xml:space="preserve"> </w:t>
      </w:r>
      <w:r>
        <w:t xml:space="preserve">“FLR: An Open-Source Framework for the Evaluation and Development of Management Strategies.”</w:t>
      </w:r>
      <w:r>
        <w:t xml:space="preserve"> </w:t>
      </w:r>
      <w:r>
        <w:rPr>
          <w:i/>
          <w:iCs/>
        </w:rPr>
        <w:t xml:space="preserve">ICES Journal of Marine Science</w:t>
      </w:r>
      <w:r>
        <w:t xml:space="preserve"> </w:t>
      </w:r>
      <w:r>
        <w:t xml:space="preserve">64 (4): 640–46.</w:t>
      </w:r>
      <w:r>
        <w:t xml:space="preserve"> </w:t>
      </w:r>
      <w:hyperlink r:id="rId58">
        <w:r>
          <w:rPr>
            <w:rStyle w:val="Hyperlink"/>
          </w:rPr>
          <w:t xml:space="preserve">https://doi.org/10.1093/icesjms/fsm012</w:t>
        </w:r>
      </w:hyperlink>
      <w:r>
        <w:t xml:space="preserve">.</w:t>
      </w:r>
    </w:p>
    <w:bookmarkEnd w:id="59"/>
    <w:bookmarkStart w:id="61" w:name="ref-mseviz2022"/>
    <w:p>
      <w:pPr>
        <w:pStyle w:val="Bibliography"/>
      </w:pPr>
      <w:r>
        <w:t xml:space="preserve">Mosqueira, Iago. 2022.</w:t>
      </w:r>
      <w:r>
        <w:t xml:space="preserve"> </w:t>
      </w:r>
      <w:r>
        <w:t xml:space="preserve">“Mseviz: Plots and Tools for Visualizing</w:t>
      </w:r>
      <w:r>
        <w:t xml:space="preserve"> </w:t>
      </w:r>
      <w:r>
        <w:t xml:space="preserve">MSE</w:t>
      </w:r>
      <w:r>
        <w:t xml:space="preserve"> </w:t>
      </w:r>
      <w:r>
        <w:t xml:space="preserve">Outputs.”</w:t>
      </w:r>
      <w:r>
        <w:t xml:space="preserve"> </w:t>
      </w:r>
      <w:r>
        <w:t xml:space="preserve">FLR Project;</w:t>
      </w:r>
      <w:r>
        <w:t xml:space="preserve"> </w:t>
      </w:r>
      <w:hyperlink r:id="rId60">
        <w:r>
          <w:rPr>
            <w:rStyle w:val="Hyperlink"/>
          </w:rPr>
          <w:t xml:space="preserve">https://github.com/flr/mseviz</w:t>
        </w:r>
      </w:hyperlink>
      <w:r>
        <w:t xml:space="preserve">.</w:t>
      </w:r>
      <w:r>
        <w:t xml:space="preserve"> </w:t>
      </w:r>
      <w:hyperlink r:id="rId60">
        <w:r>
          <w:rPr>
            <w:rStyle w:val="Hyperlink"/>
          </w:rPr>
          <w:t xml:space="preserve">https://github.com/flr/mseviz</w:t>
        </w:r>
      </w:hyperlink>
      <w:r>
        <w:t xml:space="preserve">.</w:t>
      </w:r>
    </w:p>
    <w:bookmarkEnd w:id="61"/>
    <w:bookmarkStart w:id="63" w:name="ref-sprfmo2024annex7"/>
    <w:p>
      <w:pPr>
        <w:pStyle w:val="Bibliography"/>
      </w:pPr>
      <w:r>
        <w:t xml:space="preserve">South Pacific Regional Fisheries Management Organisation. 2024.</w:t>
      </w:r>
      <w:r>
        <w:t xml:space="preserve"> </w:t>
      </w:r>
      <w:r>
        <w:t xml:space="preserve">“</w:t>
      </w:r>
      <w:r>
        <w:t xml:space="preserve">SC12 Report Annex 07: Jack Mackerel Technical Annex</w:t>
      </w:r>
      <w:r>
        <w:t xml:space="preserve">.”</w:t>
      </w:r>
      <w:r>
        <w:t xml:space="preserve"> </w:t>
      </w:r>
      <w:r>
        <w:t xml:space="preserve">SPRFMO</w:t>
      </w:r>
      <w:r>
        <w:t xml:space="preserve">;</w:t>
      </w:r>
      <w:r>
        <w:t xml:space="preserve"> </w:t>
      </w:r>
      <w:hyperlink r:id="rId62">
        <w:r>
          <w:rPr>
            <w:rStyle w:val="Hyperlink"/>
          </w:rPr>
          <w:t xml:space="preserve">https://sprfmo.int/assets/Meetings/02-SC/12th-SC-2024/SC12-Report-Annex-07-JM-Technical-Annex.pdf</w:t>
        </w:r>
      </w:hyperlink>
      <w:r>
        <w:t xml:space="preserve">.</w:t>
      </w:r>
    </w:p>
    <w:bookmarkEnd w:id="63"/>
    <w:bookmarkStart w:id="65" w:name="ref-sprfmo2025jmwgmse"/>
    <w:p>
      <w:pPr>
        <w:pStyle w:val="Bibliography"/>
      </w:pPr>
      <w:r>
        <w:t xml:space="preserve">SPRFMO Jack Mackerel Working Group. 2025.</w:t>
      </w:r>
      <w:r>
        <w:t xml:space="preserve"> </w:t>
      </w:r>
      <w:r>
        <w:t xml:space="preserve">“</w:t>
      </w:r>
      <w:r>
        <w:t xml:space="preserve">2025-07-03 JMWG MSE Science and Managers Session</w:t>
      </w:r>
      <w:r>
        <w:t xml:space="preserve">.”</w:t>
      </w:r>
      <w:r>
        <w:t xml:space="preserve"> </w:t>
      </w:r>
      <w:r>
        <w:t xml:space="preserve">South Pacific Regional Fisheries Management Organisation (SPRFMO);</w:t>
      </w:r>
      <w:r>
        <w:t xml:space="preserve"> </w:t>
      </w:r>
      <w:hyperlink r:id="rId64">
        <w:r>
          <w:rPr>
            <w:rStyle w:val="Hyperlink"/>
          </w:rPr>
          <w:t xml:space="preserve">https://southpacificrfmo.sharepoint.com/sites/SPRFMOSCJackMackerelWorkingGroup/Shared%20Documents/MSE/2025%20Work/2025_07_03%20JMWG%20MSE%20Science%20and%20Managers%20Session</w:t>
        </w:r>
      </w:hyperlink>
      <w:r>
        <w:t xml:space="preserve">.</w:t>
      </w:r>
    </w:p>
    <w:bookmarkEnd w:id="65"/>
    <w:bookmarkEnd w:id="66"/>
    <w:bookmarkEnd w:id="67"/>
    <w:bookmarkStart w:id="111" w:name="sec-shortcut"/>
    <w:p>
      <w:pPr>
        <w:pStyle w:val="Heading1"/>
      </w:pPr>
      <w:r>
        <w:t xml:space="preserve">Examples of Shortcut MPs</w:t>
      </w:r>
    </w:p>
    <w:p>
      <w:pPr>
        <w:pStyle w:val="FirstParagraph"/>
      </w:pPr>
      <w:r>
        <w:t xml:space="preserve">This section was compiled by Ignacio Payá and colleagues from Chile. It</w:t>
      </w:r>
      <w:r>
        <w:t xml:space="preserve"> </w:t>
      </w:r>
      <w:r>
        <w:t xml:space="preserve">summarizes an example implementation of</w:t>
      </w:r>
      <w:r>
        <w:t xml:space="preserve"> </w:t>
      </w:r>
      <w:r>
        <w:t xml:space="preserve">“shortcut”</w:t>
      </w:r>
      <w:r>
        <w:t xml:space="preserve"> </w:t>
      </w:r>
      <w:r>
        <w:t xml:space="preserve">management procedures</w:t>
      </w:r>
      <w:r>
        <w:t xml:space="preserve"> </w:t>
      </w:r>
      <w:r>
        <w:t xml:space="preserve">(MPs) that simplify the estimation and harvest control rule (HCR) steps</w:t>
      </w:r>
      <w:r>
        <w:t xml:space="preserve"> </w:t>
      </w:r>
      <w:r>
        <w:t xml:space="preserve">using buffered depletion-based control. It also illustrates how</w:t>
      </w:r>
      <w:r>
        <w:t xml:space="preserve"> </w:t>
      </w:r>
      <w:r>
        <w:t xml:space="preserve">FLR-based tools can be used to define control logic, evaluate HCR</w:t>
      </w:r>
      <w:r>
        <w:t xml:space="preserve"> </w:t>
      </w:r>
      <w:r>
        <w:t xml:space="preserve">targets, and visualize results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(</w:t>
      </w:r>
      <w:r>
        <w:t xml:space="preserve">Blue Matter Science (2024)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(</w:t>
      </w:r>
      <w:r>
        <w:t xml:space="preserve">Mosqueira (2022)</w:t>
      </w:r>
      <w:r>
        <w:t xml:space="preserve">) R packages. for performance evaluation. Each</w:t>
      </w:r>
      <w:r>
        <w:t xml:space="preserve"> </w:t>
      </w:r>
      <w:r>
        <w:t xml:space="preserve">section below includes code, explanation, and figures that demonstrate</w:t>
      </w:r>
      <w:r>
        <w:t xml:space="preserve"> </w:t>
      </w:r>
      <w:r>
        <w:t xml:space="preserve">specific aspects of the approach.</w:t>
      </w:r>
    </w:p>
    <w:bookmarkStart w:id="110" w:name="sec-def"/>
    <w:p>
      <w:pPr>
        <w:pStyle w:val="Heading2"/>
      </w:pPr>
      <w:r>
        <w:t xml:space="preserve">Shortcut MP Definition</w:t>
      </w:r>
    </w:p>
    <w:p>
      <w:pPr>
        <w:pStyle w:val="FirstParagraph"/>
      </w:pPr>
      <w:r>
        <w:t xml:space="preserve">This section defines the MP structure using</w:t>
      </w:r>
      <w:r>
        <w:t xml:space="preserve"> </w:t>
      </w:r>
      <w:r>
        <w:rPr>
          <w:rStyle w:val="VerbatimChar"/>
        </w:rPr>
        <w:t xml:space="preserve">mpCtrl()</w:t>
      </w:r>
      <w:r>
        <w:t xml:space="preserve"> </w:t>
      </w:r>
      <w:r>
        <w:t xml:space="preserve">with shortcut</w:t>
      </w:r>
      <w:r>
        <w:t xml:space="preserve"> </w:t>
      </w:r>
      <w:r>
        <w:t xml:space="preserve">estimation (</w:t>
      </w:r>
      <w:r>
        <w:rPr>
          <w:rStyle w:val="VerbatimChar"/>
        </w:rPr>
        <w:t xml:space="preserve">shortcut.sa</w:t>
      </w:r>
      <w:r>
        <w:t xml:space="preserve">), a buffer-based HCR, and a split</w:t>
      </w:r>
      <w:r>
        <w:t xml:space="preserve"> </w:t>
      </w:r>
      <w:r>
        <w:t xml:space="preserve">implementation system (ISYS). Deviations are defined using a lognormal</w:t>
      </w:r>
      <w:r>
        <w:t xml:space="preserve"> </w:t>
      </w:r>
      <w:r>
        <w:t xml:space="preserve">AR(1) process.</w:t>
      </w:r>
    </w:p>
    <w:bookmarkStart w:id="79" w:name="sec-hcr"/>
    <w:p>
      <w:pPr>
        <w:pStyle w:val="Heading3"/>
      </w:pPr>
      <w:r>
        <w:t xml:space="preserve">HCR Target Exploration</w:t>
      </w:r>
    </w:p>
    <w:p>
      <w:pPr>
        <w:pStyle w:val="FirstParagraph"/>
      </w:pPr>
      <w:r>
        <w:t xml:space="preserve">To evaluate MP performance under various Total Allowable Catch (TAC)</w:t>
      </w:r>
      <w:r>
        <w:t xml:space="preserve"> </w:t>
      </w:r>
      <w:r>
        <w:t xml:space="preserve">values, the control object from</w:t>
      </w:r>
      <w:r>
        <w:t xml:space="preserve"> </w:t>
      </w:r>
      <w:hyperlink w:anchor="sec-def">
        <w:r>
          <w:rPr>
            <w:rStyle w:val="Hyperlink"/>
          </w:rPr>
          <w:t xml:space="preserve">Section 7.1</w:t>
        </w:r>
      </w:hyperlink>
      <w:r>
        <w:t xml:space="preserve"> </w:t>
      </w:r>
      <w:r>
        <w:t xml:space="preserve">is tested across a</w:t>
      </w:r>
      <w:r>
        <w:t xml:space="preserve"> </w:t>
      </w:r>
      <w:r>
        <w:t xml:space="preserve">set of TAC multipliers. The target range brackets the 2025 CMM level.</w:t>
      </w:r>
      <w:r>
        <w:t xml:space="preserve"> </w:t>
      </w:r>
      <w:r>
        <w:t xml:space="preserve">This produces comparative projection plots for four candidate TAC levels</w:t>
      </w:r>
      <w:r>
        <w:t xml:space="preserve"> </w:t>
      </w:r>
      <w:r>
        <w:t xml:space="preserve">(</w:t>
      </w:r>
      <w:hyperlink w:anchor="fig-tac-proj">
        <w:r>
          <w:rPr>
            <w:rStyle w:val="Hyperlink"/>
          </w:rPr>
          <w:t xml:space="preserve">Figure 4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1" w:name="fig-tac-proj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Projections for TAC 2025 scenarios using buffer</w:t>
            </w:r>
            <w:r>
              <w:t xml:space="preserve"> </w:t>
            </w:r>
            <w:r>
              <w:t xml:space="preserve">HCR.</w:t>
            </w:r>
          </w:p>
          <w:bookmarkEnd w:id="71"/>
        </w:tc>
      </w:tr>
    </w:tbl>
    <w:p>
      <w:pPr>
        <w:pStyle w:val="BodyText"/>
      </w:pPr>
      <w:r>
        <w:t xml:space="preserve">Now we test this with a simple limit on the annual change in TAC, which</w:t>
      </w:r>
      <w:r>
        <w:t xml:space="preserve"> </w:t>
      </w:r>
      <w:r>
        <w:t xml:space="preserve">is a common requirement in many fisheries management systems. These</w:t>
      </w:r>
      <w:r>
        <w:t xml:space="preserve"> </w:t>
      </w:r>
      <w:r>
        <w:t xml:space="preserve">results compare similarly to those without any TAC constraint</w:t>
      </w:r>
      <w:r>
        <w:t xml:space="preserve"> </w:t>
      </w:r>
      <w:r>
        <w:t xml:space="preserve">(</w:t>
      </w:r>
      <w:hyperlink w:anchor="fig-targets_lim">
        <w:r>
          <w:rPr>
            <w:rStyle w:val="Hyperlink"/>
          </w:rPr>
          <w:t xml:space="preserve">Figure 5</w:t>
        </w:r>
      </w:hyperlink>
      <w:r>
        <w:t xml:space="preserve">). A clearer evaluation of these two sets is shown in</w:t>
      </w:r>
      <w:r>
        <w:t xml:space="preserve"> </w:t>
      </w:r>
      <w:r>
        <w:t xml:space="preserve">the next section 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5" w:name="fig-targets_lim"/>
          <w:p>
            <w:pPr>
              <w:pStyle w:val="Compact"/>
              <w:jc w:val="center"/>
            </w:pPr>
            <w:r>
              <w:drawing>
                <wp:inline>
                  <wp:extent cx="5334000" cy="3000375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images/Projections_Sc_har_Around_TAC2025_lim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5: Projections for TAC 2025 scenarios using buffer HCR with TAC change</w:t>
            </w:r>
            <w:r>
              <w:t xml:space="preserve"> </w:t>
            </w:r>
            <w:r>
              <w:t xml:space="preserve">limit at 15</w:t>
            </w:r>
            <w:r>
              <w:t xml:space="preserve"> </w:t>
            </w:r>
            <w:r>
              <w:t xml:space="preserve">percent.</w:t>
            </w:r>
          </w:p>
          <w:bookmarkEnd w:id="75"/>
        </w:tc>
      </w:tr>
    </w:tbl>
    <w:p>
      <w:pPr>
        <w:pStyle w:val="CaptionedFigure"/>
      </w:pPr>
      <w:r>
        <w:drawing>
          <wp:inline>
            <wp:extent cx="5334000" cy="3000375"/>
            <wp:effectExtent b="0" l="0" r="0" t="0"/>
            <wp:docPr descr="Projections for TAC 2025 scenarios using buffer HCR with TAC change limit at 25% (downward) and 15% increases." title="" id="77" name="Picture"/>
            <a:graphic>
              <a:graphicData uri="http://schemas.openxmlformats.org/drawingml/2006/picture">
                <pic:pic>
                  <pic:nvPicPr>
                    <pic:cNvPr descr="images/Projections_Sc_har_Around_TAC2025_lim25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Projections for TAC 2025 scenarios using buffer HCR with TAC change</w:t>
      </w:r>
      <w:r>
        <w:t xml:space="preserve"> </w:t>
      </w:r>
      <w:r>
        <w:t xml:space="preserve">limit at 25% (downward) and 15%</w:t>
      </w:r>
      <w:r>
        <w:t xml:space="preserve"> </w:t>
      </w:r>
      <w:r>
        <w:t xml:space="preserve">increases.</w:t>
      </w:r>
    </w:p>
    <w:p>
      <w:pPr>
        <w:pStyle w:val="SourceCode"/>
      </w:pP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  <w:r>
        <w:br/>
      </w:r>
      <w:r>
        <w:rPr>
          <w:rStyle w:val="FunctionTok"/>
        </w:rPr>
        <w:t xml:space="preserve">args</w:t>
      </w:r>
      <w:r>
        <w:rPr>
          <w:rStyle w:val="NormalTok"/>
        </w:rPr>
        <w:t xml:space="preserve">(ctrl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hcr)[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"dupp"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targets_lim2515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mps</w:t>
      </w:r>
      <w:r>
        <w:rPr>
          <w:rStyle w:val="NormalTok"/>
        </w:rPr>
        <w:t xml:space="preserve">(om, oem, </w:t>
      </w:r>
      <w:r>
        <w:rPr>
          <w:rStyle w:val="AttributeTok"/>
        </w:rPr>
        <w:t xml:space="preserve">ctrl=</w:t>
      </w:r>
      <w:r>
        <w:rPr>
          <w:rStyle w:val="NormalTok"/>
        </w:rPr>
        <w:t xml:space="preserve">ctrl, </w:t>
      </w:r>
      <w:r>
        <w:rPr>
          <w:rStyle w:val="AttributeTok"/>
        </w:rPr>
        <w:t xml:space="preserve">args=</w:t>
      </w:r>
      <w:r>
        <w:rPr>
          <w:rStyle w:val="NormalTok"/>
        </w:rPr>
        <w:t xml:space="preserve">mseargs,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hcr=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target=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TAC2025,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, TAC2025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"images/Projections_Sc_har_Around_TAC2025_lim2515.png"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(om, targets_lim2515)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##--Now with 25% change down, 15% uupper </w:t>
      </w:r>
    </w:p>
    <w:bookmarkEnd w:id="79"/>
    <w:bookmarkStart w:id="84" w:name="sec-slick"/>
    <w:p>
      <w:pPr>
        <w:pStyle w:val="Heading3"/>
      </w:pPr>
      <w:r>
        <w:t xml:space="preserve">Using openMSE’s Slick Output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 </w:t>
      </w:r>
      <w:r>
        <w:t xml:space="preserve">package (</w:t>
      </w:r>
      <w:r>
        <w:t xml:space="preserve">Blue Matter Science (2024)</w:t>
      </w:r>
      <w:r>
        <w:t xml:space="preserve">), performance metrics such as</w:t>
      </w:r>
      <w:r>
        <w:t xml:space="preserve"> </w:t>
      </w:r>
      <w:r>
        <w:t xml:space="preserve">catch, fishing mortality, and spawning biomass can be summarized across</w:t>
      </w:r>
      <w:r>
        <w:t xml:space="preserve"> </w:t>
      </w:r>
      <w:r>
        <w:t xml:space="preserve">operating models and MPs. As one illustration of the application, we</w:t>
      </w:r>
      <w:r>
        <w:t xml:space="preserve"> </w:t>
      </w:r>
      <w:r>
        <w:t xml:space="preserve">presents a Kobe-style status time series from</w:t>
      </w:r>
      <w:r>
        <w:t xml:space="preserve"> </w:t>
      </w:r>
      <w:r>
        <w:rPr>
          <w:rStyle w:val="VerbatimChar"/>
        </w:rPr>
        <w:t xml:space="preserve">Slick</w:t>
      </w:r>
      <w:r>
        <w:t xml:space="preserve">. We compare three</w:t>
      </w:r>
      <w:r>
        <w:t xml:space="preserve"> </w:t>
      </w:r>
      <w:r>
        <w:t xml:space="preserve">shortcut management procedures (MPs) all tuned to the 2025 TAC level</w:t>
      </w:r>
      <w:r>
        <w:t xml:space="preserve"> </w:t>
      </w:r>
      <w:r>
        <w:t xml:space="preserve">(1.55 million t) but differing in constraints on interannual TAC changes</w:t>
      </w:r>
      <w:r>
        <w:t xml:space="preserve"> </w:t>
      </w:r>
      <w:r>
        <w:t xml:space="preserve">(</w:t>
      </w:r>
      <w:hyperlink w:anchor="fig-slick_kobe_time">
        <w:r>
          <w:rPr>
            <w:rStyle w:val="Hyperlink"/>
          </w:rPr>
          <w:t xml:space="preserve">Figure 6</w:t>
        </w:r>
      </w:hyperlink>
      <w:r>
        <w:t xml:space="preserve">). The panels from left to right represent: (1) no</w:t>
      </w:r>
      <w:r>
        <w:t xml:space="preserve"> </w:t>
      </w:r>
      <w:r>
        <w:t xml:space="preserve">constraint (1.0), (2) symmetric ±15% TAC change limit (1.0_d15), and (3)</w:t>
      </w:r>
      <w:r>
        <w:t xml:space="preserve"> </w:t>
      </w:r>
      <w:r>
        <w:t xml:space="preserve">asymmetric −25%/+15% limit (1.0_d2515). Each panel shows the proportion</w:t>
      </w:r>
      <w:r>
        <w:t xml:space="preserve"> </w:t>
      </w:r>
      <w:r>
        <w:t xml:space="preserve">of simulations over time falling into the green (safe), yellow</w:t>
      </w:r>
      <w:r>
        <w:t xml:space="preserve"> </w:t>
      </w:r>
      <w:r>
        <w:t xml:space="preserve">(overfished or overfishing), and red (overfished and overfishing) zones.</w:t>
      </w:r>
      <w:r>
        <w:t xml:space="preserve"> </w:t>
      </w:r>
      <w:r>
        <w:t xml:space="preserve">While all three MPs maintain a majority of simulations in the green</w:t>
      </w:r>
      <w:r>
        <w:t xml:space="preserve"> </w:t>
      </w:r>
      <w:r>
        <w:t xml:space="preserve">zone, applying TAC constraints leads to a slight increase in the</w:t>
      </w:r>
      <w:r>
        <w:t xml:space="preserve"> </w:t>
      </w:r>
      <w:r>
        <w:t xml:space="preserve">proportion of years falling into the red zone—particularly under the</w:t>
      </w:r>
      <w:r>
        <w:t xml:space="preserve"> </w:t>
      </w:r>
      <w:r>
        <w:t xml:space="preserve">asymmetric constraint. This reflects the trade-off where increased catch</w:t>
      </w:r>
      <w:r>
        <w:t xml:space="preserve"> </w:t>
      </w:r>
      <w:r>
        <w:t xml:space="preserve">stability may slightly elevate biological risk under certain scenarios.</w:t>
      </w:r>
      <w:r>
        <w:t xml:space="preserve"> </w:t>
      </w:r>
      <w:r>
        <w:t xml:space="preserve">We provide a copy of the slick file on the repository under MS Teams at</w:t>
      </w:r>
      <w:r>
        <w:t xml:space="preserve"> </w:t>
      </w:r>
      <w:r>
        <w:t xml:space="preserve">[tbd].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slick_kobe_time"/>
          <w:p>
            <w:pPr>
              <w:pStyle w:val="Compact"/>
              <w:jc w:val="center"/>
            </w:pPr>
            <w:r>
              <w:drawing>
                <wp:inline>
                  <wp:extent cx="5334000" cy="2842979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images/slick_kobe_time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4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6: Shortcut application tuned to the 2025 TAC (1,552,500 t) but with</w:t>
            </w:r>
            <w:r>
              <w:t xml:space="preserve"> </w:t>
            </w:r>
            <w:r>
              <w:t xml:space="preserve">different constraints on TAC changes. Left most is no constraint, middle</w:t>
            </w:r>
            <w:r>
              <w:t xml:space="preserve"> </w:t>
            </w:r>
            <w:r>
              <w:t xml:space="preserve">is 15% increase and decrease, right-most is 25% decrease and 15%</w:t>
            </w:r>
            <w:r>
              <w:t xml:space="preserve"> </w:t>
            </w:r>
            <w:r>
              <w:t xml:space="preserve">increase.</w:t>
            </w:r>
          </w:p>
          <w:bookmarkEnd w:id="83"/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(Slick)</w:t>
      </w:r>
      <w:r>
        <w:br/>
      </w:r>
      <w:r>
        <w:rPr>
          <w:rStyle w:val="NormalTok"/>
        </w:rPr>
        <w:t xml:space="preserve">targs_lim2515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(targets_lim2515,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"scgb_d2515"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targs_lim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(targets_lim15,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"scgb_d15"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FLmses</w:t>
      </w:r>
      <w:r>
        <w:rPr>
          <w:rStyle w:val="NormalTok"/>
        </w:rPr>
        <w:t xml:space="preserve">(targets,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years=</w:t>
      </w:r>
      <w:r>
        <w:rPr>
          <w:rStyle w:val="DecValTok"/>
        </w:rPr>
        <w:t xml:space="preserve">2024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metrics=</w:t>
      </w:r>
      <w:r>
        <w:rPr>
          <w:rStyle w:val="NormalTok"/>
        </w:rPr>
        <w:t xml:space="preserve">mets,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"scgb_d00"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(targs_lim))</w:t>
      </w:r>
      <w:r>
        <w:br/>
      </w:r>
      <w:r>
        <w:rPr>
          <w:rStyle w:val="NormalTok"/>
        </w:rPr>
        <w:t xml:space="preserve">omperf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(om, </w:t>
      </w:r>
      <w:r>
        <w:rPr>
          <w:rStyle w:val="AttributeTok"/>
        </w:rPr>
        <w:t xml:space="preserve">statistics=</w:t>
      </w:r>
      <w:r>
        <w:rPr>
          <w:rStyle w:val="NormalTok"/>
        </w:rPr>
        <w:t xml:space="preserve">statistics[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"demo/targets.dat.gz"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(perf)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(perf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mp)</w:t>
      </w:r>
      <w:r>
        <w:br/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CommentTok"/>
        </w:rPr>
        <w:t xml:space="preserve">#--Now show contrasts for current TAC limit (1,552,500 t)</w:t>
      </w:r>
      <w:r>
        <w:br/>
      </w:r>
      <w:r>
        <w:br/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(targs_lim),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(targs_lim2515))</w:t>
      </w:r>
      <w:r>
        <w:br/>
      </w:r>
      <w:r>
        <w:rPr>
          <w:rStyle w:val="CommentTok"/>
        </w:rPr>
        <w:t xml:space="preserve"># ptmp &lt;- perf |&gt; filter(str_detect(mp, "1552.5")) </w:t>
      </w:r>
      <w:r>
        <w:br/>
      </w:r>
      <w:r>
        <w:rPr>
          <w:rStyle w:val="CommentTok"/>
        </w:rPr>
        <w:t xml:space="preserve"># unique(ptmp$mp)</w:t>
      </w:r>
      <w:r>
        <w:br/>
      </w:r>
      <w:r>
        <w:rPr>
          <w:rStyle w:val="NormalTok"/>
        </w:rPr>
        <w:t xml:space="preserve">sli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getSlick</w:t>
      </w:r>
      <w:r>
        <w:rPr>
          <w:rStyle w:val="NormalTok"/>
        </w:rPr>
        <w:t xml:space="preserve">(perf, omperf, </w:t>
      </w:r>
      <w:r>
        <w:rPr>
          <w:rStyle w:val="AttributeTok"/>
        </w:rPr>
        <w:t xml:space="preserve">kobeyrs=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"0.85_d2515"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"1.0_d2515"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"1.15_d2515"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"1.25_d2515"</w:t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sli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MPs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Label</w:t>
      </w:r>
      <w:r>
        <w:br/>
      </w:r>
      <w:r>
        <w:rPr>
          <w:rStyle w:val="FunctionTok"/>
        </w:rPr>
        <w:t xml:space="preserve">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slick =</w:t>
      </w:r>
      <w:r>
        <w:rPr>
          <w:rStyle w:val="NormalTok"/>
        </w:rPr>
        <w:t xml:space="preserve"> sli)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(sli,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"demo/PayaShortCuts_2.slick"</w:t>
      </w:r>
      <w:r>
        <w:rPr>
          <w:rStyle w:val="NormalTok"/>
        </w:rPr>
        <w:t xml:space="preserve">)</w:t>
      </w:r>
    </w:p>
    <w:bookmarkEnd w:id="84"/>
    <w:bookmarkStart w:id="109" w:name="sec-flr"/>
    <w:p>
      <w:pPr>
        <w:pStyle w:val="Heading3"/>
      </w:pPr>
      <w:r>
        <w:t xml:space="preserve">Other tools for viewing performance indicators</w:t>
      </w:r>
    </w:p>
    <w:p>
      <w:pPr>
        <w:pStyle w:val="FirstParagraph"/>
      </w:pPr>
      <w:r>
        <w:t xml:space="preserve">This section summarizes performance using FLR tools from the</w:t>
      </w:r>
      <w:r>
        <w:t xml:space="preserve"> </w:t>
      </w:r>
      <w:r>
        <w:rPr>
          <w:rStyle w:val="VerbatimChar"/>
        </w:rPr>
        <w:t xml:space="preserve">mseviz</w:t>
      </w:r>
      <w:r>
        <w:t xml:space="preserve"> </w:t>
      </w:r>
      <w:r>
        <w:t xml:space="preserve">package (</w:t>
      </w:r>
      <w:r>
        <w:t xml:space="preserve">Mosqueira (2022)</w:t>
      </w:r>
      <w:r>
        <w:t xml:space="preserve">). Average values are computed for specified periods</w:t>
      </w:r>
      <w:r>
        <w:t xml:space="preserve"> </w:t>
      </w:r>
      <w:r>
        <w:t xml:space="preserve">and used in BRP (Biological Reference Point) and tradeoff plots.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(mseviz)</w:t>
      </w:r>
      <w:r>
        <w:br/>
      </w:r>
      <w:r>
        <w:rPr>
          <w:rStyle w:val="FunctionTok"/>
        </w:rPr>
        <w:t xml:space="preserve">writePerformance</w:t>
      </w:r>
      <w:r>
        <w:rPr>
          <w:rStyle w:val="NormalTok"/>
        </w:rPr>
        <w:t xml:space="preserve">(perf,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tuning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short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long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2045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readPerformance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"demo/performance.dat.gz"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((statistic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,data))</w:t>
      </w:r>
      <w:r>
        <w:br/>
      </w:r>
      <w:r>
        <w:rPr>
          <w:rStyle w:val="CommentTok"/>
        </w:rPr>
        <w:t xml:space="preserve">#unique(perf$statistic)</w:t>
      </w:r>
      <w:r>
        <w:br/>
      </w:r>
      <w:r>
        <w:rPr>
          <w:rStyle w:val="NormalTok"/>
        </w:rPr>
        <w:t xml:space="preserve">perf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perf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part after "_d" and before "_hcr"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d_part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"(?&lt;=_d)[^_]+"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the trailing number after the last "_"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target_num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(mp, </w:t>
      </w:r>
      <w:r>
        <w:rPr>
          <w:rStyle w:val="StringTok"/>
        </w:rPr>
        <w:t xml:space="preserve">"[0-9.]+$"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short name by combining them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d_part,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1319.62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"0.85"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1552.5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(target_num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1785.37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"1.15"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"1.25"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periodsPerformance</w:t>
      </w:r>
      <w:r>
        <w:rPr>
          <w:rStyle w:val="NormalTok"/>
        </w:rPr>
        <w:t xml:space="preserve">(perf, periods) </w:t>
      </w:r>
      <w:r>
        <w:br/>
      </w:r>
      <w:r>
        <w:rPr>
          <w:rStyle w:val="CommentTok"/>
        </w:rPr>
        <w:t xml:space="preserve"># perf |&gt; filter(period=='tuning', statistic %in% c("SB","C", "IACC"),  mp %in% c("d00_1.0", "d15_1.0", "d2515_1.0")) |&gt;</w:t>
      </w:r>
      <w:r>
        <w:br/>
      </w:r>
      <w:r>
        <w:rPr>
          <w:rStyle w:val="CommentTok"/>
        </w:rPr>
        <w:t xml:space="preserve">#   ggplot(aes(x=as.factor(mp),y=data,fill=mp)) + geom_boxplot(outlier.shape=NA) + ggthemes::theme_few() +</w:t>
      </w:r>
      <w:r>
        <w:br/>
      </w:r>
      <w:r>
        <w:rPr>
          <w:rStyle w:val="CommentTok"/>
        </w:rPr>
        <w:t xml:space="preserve">#   facet_wrap(.~statistic, scales="free_y")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"images/sc_targ_TAC.png"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plotBPs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'tuning'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statistics=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Tuning Period (2034–2045)"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 performance of shortcut management procedures (MPs) over the tuning</w:t>
      </w:r>
      <w:r>
        <w:t xml:space="preserve"> </w:t>
      </w:r>
      <w:r>
        <w:t xml:space="preserve">period (2034–2045) were contrasted as an example. Here, each MP was run</w:t>
      </w:r>
      <w:r>
        <w:t xml:space="preserve"> </w:t>
      </w:r>
      <w:r>
        <w:t xml:space="preserve">with catch</w:t>
      </w:r>
      <w:r>
        <w:t xml:space="preserve"> </w:t>
      </w:r>
      <w:r>
        <w:t xml:space="preserve">“targets”</w:t>
      </w:r>
      <w:r>
        <w:t xml:space="preserve"> </w:t>
      </w:r>
      <w:r>
        <w:t xml:space="preserve">at different level relative to the 2025 TAC (1.5525</w:t>
      </w:r>
      <w:r>
        <w:t xml:space="preserve"> </w:t>
      </w:r>
      <w:r>
        <w:t xml:space="preserve">million t). They ranged from 85% (d00_0.85) to 125% (d00_1.25), with no</w:t>
      </w:r>
      <w:r>
        <w:t xml:space="preserve"> </w:t>
      </w:r>
      <w:r>
        <w:t xml:space="preserve">constraints on interannual TAC changes. As expected, higher catch</w:t>
      </w:r>
      <w:r>
        <w:t xml:space="preserve"> </w:t>
      </w:r>
      <w:r>
        <w:t xml:space="preserve">targets result in greater average catches (mean(C)), but also increased</w:t>
      </w:r>
      <w:r>
        <w:t xml:space="preserve"> </w:t>
      </w:r>
      <w:r>
        <w:t xml:space="preserve">interannual variability (IAC(C)), as well as higher fishing mortality</w:t>
      </w:r>
      <w:r>
        <w:t xml:space="preserve"> </w:t>
      </w:r>
      <w:r>
        <w:t xml:space="preserve">(F) (</w:t>
      </w:r>
      <w:hyperlink w:anchor="fig-targ_TAC">
        <w:r>
          <w:rPr>
            <w:rStyle w:val="Hyperlink"/>
          </w:rPr>
          <w:t xml:space="preserve">Figure 7</w:t>
        </w:r>
      </w:hyperlink>
      <w:r>
        <w:t xml:space="preserve">). Conversely, spawning biomass (SB) declines with</w:t>
      </w:r>
      <w:r>
        <w:t xml:space="preserve"> </w:t>
      </w:r>
      <w:r>
        <w:t xml:space="preserve">increasing catch target, suggesting a clear trade-off between yield and</w:t>
      </w:r>
      <w:r>
        <w:t xml:space="preserve"> </w:t>
      </w:r>
      <w:r>
        <w:t xml:space="preserve">stock conservation. While d00_1.0 balances moderate catch with more</w:t>
      </w:r>
      <w:r>
        <w:t xml:space="preserve"> </w:t>
      </w:r>
      <w:r>
        <w:t xml:space="preserve">stable biomass and fishing pressure, higher targets (d00_1.15 and</w:t>
      </w:r>
      <w:r>
        <w:t xml:space="preserve"> </w:t>
      </w:r>
      <w:r>
        <w:t xml:space="preserve">d00_1.25) achieve larger catches at the cost of reduced SB and greater</w:t>
      </w:r>
      <w:r>
        <w:t xml:space="preserve"> </w:t>
      </w:r>
      <w:r>
        <w:t xml:space="preserve">volatility—highlighting the importance of considering both yield and</w:t>
      </w:r>
      <w:r>
        <w:t xml:space="preserve"> </w:t>
      </w:r>
      <w:r>
        <w:t xml:space="preserve">stability objectives when selecting candidate MPs.</w:t>
      </w:r>
    </w:p>
    <w:p>
      <w:pPr>
        <w:pStyle w:val="BodyText"/>
      </w:pPr>
      <w:r>
        <w:t xml:space="preserve">We then compared performance of shortcut MPs all tuned to the 2025 TAC</w:t>
      </w:r>
      <w:r>
        <w:t xml:space="preserve"> </w:t>
      </w:r>
      <w:r>
        <w:t xml:space="preserve">target (1.5525 million t), but with different constraints on interannual</w:t>
      </w:r>
      <w:r>
        <w:t xml:space="preserve"> </w:t>
      </w:r>
      <w:r>
        <w:t xml:space="preserve">changes in TAC. These included (as in the previous figure) no constraint</w:t>
      </w:r>
      <w:r>
        <w:t xml:space="preserve"> </w:t>
      </w:r>
      <w:r>
        <w:t xml:space="preserve">on TAC changes (d00), a symmetric ±15% constraint (d15), and an</w:t>
      </w:r>
      <w:r>
        <w:t xml:space="preserve"> </w:t>
      </w:r>
      <w:r>
        <w:t xml:space="preserve">asymmetric −25%/+15% constraint (d2515). While mean catch (mean(C)) is</w:t>
      </w:r>
      <w:r>
        <w:t xml:space="preserve"> </w:t>
      </w:r>
      <w:r>
        <w:t xml:space="preserve">similar across all three MPs, the application of TAC constraints notably</w:t>
      </w:r>
      <w:r>
        <w:t xml:space="preserve"> </w:t>
      </w:r>
      <w:r>
        <w:t xml:space="preserve">reduces interannual variability (IAC(C)) compared to the unconstrained</w:t>
      </w:r>
      <w:r>
        <w:t xml:space="preserve"> </w:t>
      </w:r>
      <w:r>
        <w:t xml:space="preserve">case (</w:t>
      </w:r>
      <w:hyperlink w:anchor="fig-deltaTAC">
        <w:r>
          <w:rPr>
            <w:rStyle w:val="Hyperlink"/>
          </w:rPr>
          <w:t xml:space="preserve">Figure 8</w:t>
        </w:r>
      </w:hyperlink>
      <w:r>
        <w:t xml:space="preserve">). This stability comes with trade-offs—particularly</w:t>
      </w:r>
      <w:r>
        <w:t xml:space="preserve"> </w:t>
      </w:r>
      <w:r>
        <w:t xml:space="preserve">a modest increase in the probability of hitting a predefined TAC floor</w:t>
      </w:r>
      <w:r>
        <w:t xml:space="preserve"> </w:t>
      </w:r>
      <w:r>
        <w:t xml:space="preserve">(P(TAClimit)) for d15 and d2515. Spawning biomass (SB) and fishing</w:t>
      </w:r>
      <w:r>
        <w:t xml:space="preserve"> </w:t>
      </w:r>
      <w:r>
        <w:t xml:space="preserve">mortality (F) remain broadly similar across scenarios, suggesting that</w:t>
      </w:r>
      <w:r>
        <w:t xml:space="preserve"> </w:t>
      </w:r>
      <w:r>
        <w:t xml:space="preserve">moderate TAC constraints can improve catch stability without severely</w:t>
      </w:r>
      <w:r>
        <w:t xml:space="preserve"> </w:t>
      </w:r>
      <w:r>
        <w:t xml:space="preserve">compromising stock status. Overall, the results highlight the</w:t>
      </w:r>
      <w:r>
        <w:t xml:space="preserve"> </w:t>
      </w:r>
      <w:r>
        <w:t xml:space="preserve">stabilizing benefit of delta-TAC constraints, with d15 offering the most</w:t>
      </w:r>
      <w:r>
        <w:t xml:space="preserve"> </w:t>
      </w:r>
      <w:r>
        <w:t xml:space="preserve">consistent balance of catch, stability, and conservation performance.</w:t>
      </w:r>
    </w:p>
    <w:p>
      <w:pPr>
        <w:pStyle w:val="BodyText"/>
      </w:pPr>
      <w:r>
        <w:t xml:space="preserve">As an alternative, we show figures that highlight short-term (2025–2027)</w:t>
      </w:r>
      <w:r>
        <w:t xml:space="preserve"> </w:t>
      </w:r>
      <w:r>
        <w:t xml:space="preserve">trade-offs among shortcut MPs based on either different TAC targets</w:t>
      </w:r>
      <w:r>
        <w:t xml:space="preserve"> </w:t>
      </w:r>
      <w:r>
        <w:t xml:space="preserve">(</w:t>
      </w:r>
      <w:hyperlink w:anchor="fig-targsTO">
        <w:r>
          <w:rPr>
            <w:rStyle w:val="Hyperlink"/>
          </w:rPr>
          <w:t xml:space="preserve">Figure 9</w:t>
        </w:r>
      </w:hyperlink>
      <w:r>
        <w:t xml:space="preserve">) or different TAC change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</w:t>
      </w:r>
      <w:r>
        <w:t xml:space="preserve"> </w:t>
      </w:r>
      <w:r>
        <w:t xml:space="preserve">Increasing the TAC target from 85% to 125% of the 2025 TAC results in</w:t>
      </w:r>
      <w:r>
        <w:t xml:space="preserve"> </w:t>
      </w:r>
      <w:r>
        <w:t xml:space="preserve">expected increases in catch, but also in fishing mortality (F) and</w:t>
      </w:r>
      <w:r>
        <w:t xml:space="preserve"> </w:t>
      </w:r>
      <w:r>
        <w:t xml:space="preserve">interannual catch variability (IAC(C)), with slight declines in spawning</w:t>
      </w:r>
      <w:r>
        <w:t xml:space="preserve"> </w:t>
      </w:r>
      <w:r>
        <w:t xml:space="preserve">biomass (SB). All options show negligible probability of hitting the TAC</w:t>
      </w:r>
      <w:r>
        <w:t xml:space="preserve"> </w:t>
      </w:r>
      <w:r>
        <w:t xml:space="preserve">floor (P(TAClimit)). In contrast, comparing MPs with the same TAC target</w:t>
      </w:r>
      <w:r>
        <w:t xml:space="preserve"> </w:t>
      </w:r>
      <w:r>
        <w:t xml:space="preserve">(2025 level) but different delta-TAC constraints (</w:t>
      </w:r>
      <w:hyperlink w:anchor="fig-deltaTO">
        <w:r>
          <w:rPr>
            <w:rStyle w:val="Hyperlink"/>
          </w:rPr>
          <w:t xml:space="preserve">Figure 10</w:t>
        </w:r>
      </w:hyperlink>
      <w:r>
        <w:t xml:space="preserve">). While</w:t>
      </w:r>
      <w:r>
        <w:t xml:space="preserve"> </w:t>
      </w:r>
      <w:r>
        <w:t xml:space="preserve">d00_1.0 provides slightly higher short-term catch, it exhibits greater</w:t>
      </w:r>
      <w:r>
        <w:t xml:space="preserve"> </w:t>
      </w:r>
      <w:r>
        <w:t xml:space="preserve">catch variability and a marginally higher risk of triggering the TAC</w:t>
      </w:r>
      <w:r>
        <w:t xml:space="preserve"> </w:t>
      </w:r>
      <w:r>
        <w:t xml:space="preserve">limit compared to d15_1.0 and d2515_1.0. These results suggest that in</w:t>
      </w:r>
      <w:r>
        <w:t xml:space="preserve"> </w:t>
      </w:r>
      <w:r>
        <w:t xml:space="preserve">the short term, applying TAC constraints can enhance stability and</w:t>
      </w:r>
      <w:r>
        <w:t xml:space="preserve"> </w:t>
      </w:r>
      <w:r>
        <w:t xml:space="preserve">reduce the risk of severe TAC cuts, albeit in catch—highlighting a</w:t>
      </w:r>
      <w:r>
        <w:t xml:space="preserve"> </w:t>
      </w:r>
      <w:r>
        <w:t xml:space="preserve">management choice between maximizing short-term yield and reducing</w:t>
      </w:r>
      <w:r>
        <w:t xml:space="preserve"> </w:t>
      </w:r>
      <w:r>
        <w:t xml:space="preserve">volatility.</w:t>
      </w:r>
    </w:p>
    <w:p>
      <w:pPr>
        <w:pStyle w:val="BodyText"/>
      </w:pPr>
      <w:r>
        <w:t xml:space="preserve">While the general patterns observed in the short-term persist, the</w:t>
      </w:r>
      <w:r>
        <w:t xml:space="preserve"> </w:t>
      </w:r>
      <w:r>
        <w:t xml:space="preserve">medium-term results show reduced separation across MPs in all</w:t>
      </w:r>
      <w:r>
        <w:t xml:space="preserve"> </w:t>
      </w:r>
      <w:r>
        <w:t xml:space="preserve">performance metrics. For instance, in the TAC target comparison (top</w:t>
      </w:r>
      <w:r>
        <w:t xml:space="preserve"> </w:t>
      </w:r>
      <w:r>
        <w:t xml:space="preserve">panel), differences in fishing mortality (F), interannual catch</w:t>
      </w:r>
      <w:r>
        <w:t xml:space="preserve"> </w:t>
      </w:r>
      <w:r>
        <w:t xml:space="preserve">variability (IAC(C)), and spawning biomass (SB) across catch targets</w:t>
      </w:r>
      <w:r>
        <w:t xml:space="preserve"> </w:t>
      </w:r>
      <w:r>
        <w:t xml:space="preserve">narrow considerably. This suggests that the system has begun to</w:t>
      </w:r>
      <w:r>
        <w:t xml:space="preserve"> </w:t>
      </w:r>
      <w:r>
        <w:t xml:space="preserve">stabilize, with stock status and catch performance converging even under</w:t>
      </w:r>
      <w:r>
        <w:t xml:space="preserve"> </w:t>
      </w:r>
      <w:r>
        <w:t xml:space="preserve">different TAC target levels (</w:t>
      </w:r>
      <w:hyperlink w:anchor="fig-targsTOmed">
        <w:r>
          <w:rPr>
            <w:rStyle w:val="Hyperlink"/>
          </w:rPr>
          <w:t xml:space="preserve">Figure 11</w:t>
        </w:r>
      </w:hyperlink>
      <w:r>
        <w:t xml:space="preserve">). Similarly, in the</w:t>
      </w:r>
      <w:r>
        <w:t xml:space="preserve"> </w:t>
      </w:r>
      <w:r>
        <w:t xml:space="preserve">delta-TAC constraint comparison (</w:t>
      </w:r>
      <w:hyperlink w:anchor="fig-deltaTOmed">
        <w:r>
          <w:rPr>
            <w:rStyle w:val="Hyperlink"/>
          </w:rPr>
          <w:t xml:space="preserve">Figure 12</w:t>
        </w:r>
      </w:hyperlink>
      <w:r>
        <w:t xml:space="preserve">), the three strategies</w:t>
      </w:r>
      <w:r>
        <w:t xml:space="preserve"> </w:t>
      </w:r>
      <w:r>
        <w:t xml:space="preserve">(d00, d15, d2515) yield almost indistinguishable outcomes across all</w:t>
      </w:r>
      <w:r>
        <w:t xml:space="preserve"> </w:t>
      </w:r>
      <w:r>
        <w:t xml:space="preserve">metrics, aside from slightly higher uncertainty in the risk of hitting</w:t>
      </w:r>
      <w:r>
        <w:t xml:space="preserve"> </w:t>
      </w:r>
      <w:r>
        <w:t xml:space="preserve">the TAC limit for d15_1.0. This convergence indicates that the influence</w:t>
      </w:r>
      <w:r>
        <w:t xml:space="preserve"> </w:t>
      </w:r>
      <w:r>
        <w:t xml:space="preserve">of TAC constraints diminishes as the system settles, implying that</w:t>
      </w:r>
      <w:r>
        <w:t xml:space="preserve"> </w:t>
      </w:r>
      <w:r>
        <w:t xml:space="preserve">short-term trade-offs in volatility and yield may be more relevant than</w:t>
      </w:r>
      <w:r>
        <w:t xml:space="preserve"> </w:t>
      </w:r>
      <w:r>
        <w:t xml:space="preserve">medium-term differences when selecting among MPs.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targ_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images/sc_targ_TAC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7: Boxplots for shortcut MP with target catches set to different</w:t>
            </w:r>
            <w:r>
              <w:t xml:space="preserve"> </w:t>
            </w:r>
            <w:r>
              <w:t xml:space="preserve">multipliers of the 2025 TAC (e.g., 0.85 is 85% of the 2025 TAC (1.5525</w:t>
            </w:r>
            <w:r>
              <w:t xml:space="preserve"> </w:t>
            </w:r>
            <w:r>
              <w:t xml:space="preserve">million t).</w:t>
            </w:r>
          </w:p>
          <w:bookmarkEnd w:id="8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2" w:name="fig-deltaTAC"/>
          <w:p>
            <w:pPr>
              <w:pStyle w:val="Compact"/>
              <w:jc w:val="center"/>
            </w:pPr>
            <w:r>
              <w:drawing>
                <wp:inline>
                  <wp:extent cx="5334000" cy="4741333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images/sc_delta_TAC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74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8: Boxplots for shortcut MP with target catches set to the 2025 TAC</w:t>
            </w:r>
            <w:r>
              <w:t xml:space="preserve"> </w:t>
            </w:r>
            <w:r>
              <w:t xml:space="preserve">(1.5525 million t) and with different constraints on annual TAC</w:t>
            </w:r>
            <w:r>
              <w:t xml:space="preserve"> </w:t>
            </w:r>
            <w:r>
              <w:t xml:space="preserve">changes.</w:t>
            </w:r>
          </w:p>
          <w:bookmarkEnd w:id="9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96" w:name="fig-targs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94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.png" id="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9: “Trade-off plots for short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9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0" w:name="fig-deltaTO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98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.png" id="9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10: “Trade-off plots for short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4" w:name="fig-targs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2" name="Picture"/>
                  <a:graphic>
                    <a:graphicData uri="http://schemas.openxmlformats.org/drawingml/2006/picture">
                      <pic:pic>
                        <pic:nvPicPr>
                          <pic:cNvPr descr="images/sc_targs_TO_med.png" id="1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11: “Trade-off plots for medium term results from the shortcut method and</w:t>
            </w:r>
            <w:r>
              <w:t xml:space="preserve"> </w:t>
            </w:r>
            <w:r>
              <w:t xml:space="preserve">different targets relative to the 2025 TAC (1.5525 million</w:t>
            </w:r>
            <w:r>
              <w:t xml:space="preserve"> </w:t>
            </w:r>
            <w:r>
              <w:t xml:space="preserve">t).</w:t>
            </w:r>
          </w:p>
          <w:bookmarkEnd w:id="10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08" w:name="fig-deltaTOmed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images/sc_delta_TO_med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12: “Trade-off plots for medium term results from the shortcut method and</w:t>
            </w:r>
            <w:r>
              <w:t xml:space="preserve"> </w:t>
            </w:r>
            <w:r>
              <w:t xml:space="preserve">different constraints on annual TAC</w:t>
            </w:r>
            <w:r>
              <w:t xml:space="preserve"> </w:t>
            </w:r>
            <w:r>
              <w:t xml:space="preserve">changes).</w:t>
            </w:r>
          </w:p>
          <w:bookmarkEnd w:id="108"/>
        </w:tc>
      </w:tr>
    </w:tbl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"images/sc_delta_TO_med.png"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"d15_1.0"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"d2515_1.0"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Medium-Term Period (2027–2032)"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"images/sc_targs_TO.png"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plotTOs</w:t>
      </w:r>
      <w:r>
        <w:rPr>
          <w:rStyle w:val="NormalTok"/>
        </w:rPr>
        <w:t xml:space="preserve">(perf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(period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'short'</w:t>
      </w:r>
      <w:r>
        <w:rPr>
          <w:rStyle w:val="NormalTok"/>
        </w:rPr>
        <w:t xml:space="preserve">,  mp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"d00_0.85"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"d00_1.15"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"d00_1.25"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"IACC"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"PTAClimit"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"SB"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"Shortcut MPs for Short-Term Period (2025–2027)"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scale_fill_flr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These diagnostics provide visual summaries of CMP performance across</w:t>
      </w:r>
      <w:r>
        <w:t xml:space="preserve"> </w:t>
      </w:r>
      <w:r>
        <w:t xml:space="preserve">time horizons.</w:t>
      </w:r>
      <w:r>
        <w:t xml:space="preserve"> </w:t>
      </w:r>
      <w:r>
        <w:t xml:space="preserve">This addendum presents a full example of how shortcut methods can be</w:t>
      </w:r>
      <w:r>
        <w:t xml:space="preserve"> </w:t>
      </w:r>
      <w:r>
        <w:t xml:space="preserve">configured and evaluated in the jmMSE framework. The use of buffered</w:t>
      </w:r>
      <w:r>
        <w:t xml:space="preserve"> </w:t>
      </w:r>
      <w:r>
        <w:t xml:space="preserve">harvest control, lognormal deviations, and simplified estimation methods</w:t>
      </w:r>
      <w:r>
        <w:t xml:space="preserve"> </w:t>
      </w:r>
      <w:r>
        <w:t xml:space="preserve">make these examples especially useful for scoping and tuning phases of</w:t>
      </w:r>
      <w:r>
        <w:t xml:space="preserve"> </w:t>
      </w:r>
      <w:r>
        <w:t xml:space="preserve">MSE development. Future iterations could generalize the estimation block</w:t>
      </w:r>
      <w:r>
        <w:t xml:space="preserve"> </w:t>
      </w:r>
      <w:r>
        <w:t xml:space="preserve">or integrate OpenMSE for better interoperability.</w:t>
      </w:r>
    </w:p>
    <w:bookmarkEnd w:id="109"/>
    <w:bookmarkEnd w:id="110"/>
    <w:bookmarkEnd w:id="1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89" Target="media/rId89.png" /><Relationship Type="http://schemas.openxmlformats.org/officeDocument/2006/relationships/image" Id="rId97" Target="media/rId97.png" /><Relationship Type="http://schemas.openxmlformats.org/officeDocument/2006/relationships/image" Id="rId105" Target="media/rId105.png" /><Relationship Type="http://schemas.openxmlformats.org/officeDocument/2006/relationships/image" Id="rId85" Target="media/rId85.png" /><Relationship Type="http://schemas.openxmlformats.org/officeDocument/2006/relationships/image" Id="rId93" Target="media/rId93.png" /><Relationship Type="http://schemas.openxmlformats.org/officeDocument/2006/relationships/image" Id="rId101" Target="media/rId101.png" /><Relationship Type="http://schemas.openxmlformats.org/officeDocument/2006/relationships/image" Id="rId80" Target="media/rId80.png" /><Relationship Type="http://schemas.openxmlformats.org/officeDocument/2006/relationships/hyperlink" Id="rId26" Target="doc/App_A.qmd" TargetMode="External" /><Relationship Type="http://schemas.openxmlformats.org/officeDocument/2006/relationships/hyperlink" Id="rId27" Target="doc/App_B.qmd" TargetMode="External" /><Relationship Type="http://schemas.openxmlformats.org/officeDocument/2006/relationships/hyperlink" Id="rId28" Target="doc/App_C.qmd" TargetMode="External" /><Relationship Type="http://schemas.openxmlformats.org/officeDocument/2006/relationships/hyperlink" Id="rId29" Target="doc/App_D.qmd" TargetMode="External" /><Relationship Type="http://schemas.openxmlformats.org/officeDocument/2006/relationships/hyperlink" Id="rId56" Target="https://doi.org/10.1016/j.fishres.2023.106585" TargetMode="External" /><Relationship Type="http://schemas.openxmlformats.org/officeDocument/2006/relationships/hyperlink" Id="rId58" Target="https://doi.org/10.1093/icesjms/fsm012" TargetMode="External" /><Relationship Type="http://schemas.openxmlformats.org/officeDocument/2006/relationships/hyperlink" Id="rId54" Target="https://doi.org/10.1111/faf.12726" TargetMode="External" /><Relationship Type="http://schemas.openxmlformats.org/officeDocument/2006/relationships/hyperlink" Id="rId60" Target="https://github.com/flr/mseviz" TargetMode="External" /><Relationship Type="http://schemas.openxmlformats.org/officeDocument/2006/relationships/hyperlink" Id="rId52" Target="https://slick.bluematterscience.com/index.html" TargetMode="External" /><Relationship Type="http://schemas.openxmlformats.org/officeDocument/2006/relationships/hyperlink" Id="rId64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62" Target="https://sprfmo.int/assets/Meetings/02-SC/12th-SC-2024/SC12-Report-Annex-07-JM-Technical-Ann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c/App_A.qmd" TargetMode="External" /><Relationship Type="http://schemas.openxmlformats.org/officeDocument/2006/relationships/hyperlink" Id="rId27" Target="doc/App_B.qmd" TargetMode="External" /><Relationship Type="http://schemas.openxmlformats.org/officeDocument/2006/relationships/hyperlink" Id="rId28" Target="doc/App_C.qmd" TargetMode="External" /><Relationship Type="http://schemas.openxmlformats.org/officeDocument/2006/relationships/hyperlink" Id="rId29" Target="doc/App_D.qmd" TargetMode="External" /><Relationship Type="http://schemas.openxmlformats.org/officeDocument/2006/relationships/hyperlink" Id="rId56" Target="https://doi.org/10.1016/j.fishres.2023.106585" TargetMode="External" /><Relationship Type="http://schemas.openxmlformats.org/officeDocument/2006/relationships/hyperlink" Id="rId58" Target="https://doi.org/10.1093/icesjms/fsm012" TargetMode="External" /><Relationship Type="http://schemas.openxmlformats.org/officeDocument/2006/relationships/hyperlink" Id="rId54" Target="https://doi.org/10.1111/faf.12726" TargetMode="External" /><Relationship Type="http://schemas.openxmlformats.org/officeDocument/2006/relationships/hyperlink" Id="rId60" Target="https://github.com/flr/mseviz" TargetMode="External" /><Relationship Type="http://schemas.openxmlformats.org/officeDocument/2006/relationships/hyperlink" Id="rId52" Target="https://slick.bluematterscience.com/index.html" TargetMode="External" /><Relationship Type="http://schemas.openxmlformats.org/officeDocument/2006/relationships/hyperlink" Id="rId64" Target="https://southpacificrfmo.sharepoint.com/sites/SPRFMOSCJackMackerelWorkingGroup/Shared%20Documents/MSE/2025%20Work/2025_07_03%20JMWG%20MSE%20Science%20and%20Managers%20Session" TargetMode="External" /><Relationship Type="http://schemas.openxmlformats.org/officeDocument/2006/relationships/hyperlink" Id="rId62" Target="https://sprfmo.int/assets/Meetings/02-SC/12th-SC-2024/SC12-Report-Annex-07-JM-Technical-Ann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the Management Strategy Evaluation (MSE) workshop, July 14-18, 2025</dc:title>
  <dc:creator/>
  <cp:keywords/>
  <dcterms:created xsi:type="dcterms:W3CDTF">2025-08-14T00:06:30Z</dcterms:created>
  <dcterms:modified xsi:type="dcterms:W3CDTF">2025-08-14T00:06:30Z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2025-08-13</vt:lpwstr>
  </property>
  <property fmtid="{D5CDD505-2E9C-101B-9397-08002B2CF9AE}" pid="5" name="date-format">
    <vt:lpwstr>YYYY-MM-DD</vt:lpwstr>
  </property>
  <property fmtid="{D5CDD505-2E9C-101B-9397-08002B2CF9AE}" pid="6" name="editor">
    <vt:lpwstr/>
  </property>
  <property fmtid="{D5CDD505-2E9C-101B-9397-08002B2CF9AE}" pid="7" name="editor_option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template.docx</vt:lpwstr>
  </property>
  <property fmtid="{D5CDD505-2E9C-101B-9397-08002B2CF9AE}" pid="13" name="toc-title">
    <vt:lpwstr>Table of contents</vt:lpwstr>
  </property>
</Properties>
</file>