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5.png" ContentType="image/png"/>
  <Override PartName="/word/media/rId12.jpg" ContentType="image/jpeg"/>
  <Override PartName="/word/media/rId29.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2026-07-07</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07 July 2026 21:25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p>
      <w:pPr>
        <w:pStyle w:val="CaptionedFigure"/>
      </w:pPr>
      <w:r>
        <w:drawing>
          <wp:inline>
            <wp:extent cx="4107180" cy="2738120"/>
            <wp:effectExtent b="0" l="0" r="0" t="0"/>
            <wp:docPr descr="SCW17 workshop participants outside the Wageningen venue." title="" id="13" name="Picture"/>
            <a:graphic>
              <a:graphicData uri="http://schemas.openxmlformats.org/drawingml/2006/picture">
                <pic:pic>
                  <pic:nvPicPr>
                    <pic:cNvPr descr="assets/scw17-workshop-group-photo.jpeg" id="14" name="Picture"/>
                    <pic:cNvPicPr>
                      <a:picLocks noChangeArrowheads="1" noChangeAspect="1"/>
                    </pic:cNvPicPr>
                  </pic:nvPicPr>
                  <pic:blipFill>
                    <a:blip r:embed="rId12"/>
                    <a:stretch>
                      <a:fillRect/>
                    </a:stretch>
                  </pic:blipFill>
                  <pic:spPr bwMode="auto">
                    <a:xfrm>
                      <a:off x="0" y="0"/>
                      <a:ext cx="4107180" cy="2738120"/>
                    </a:xfrm>
                    <a:prstGeom prst="rect">
                      <a:avLst/>
                    </a:prstGeom>
                    <a:noFill/>
                    <a:ln w="9525">
                      <a:noFill/>
                      <a:headEnd/>
                      <a:tailEnd/>
                    </a:ln>
                  </pic:spPr>
                </pic:pic>
              </a:graphicData>
            </a:graphic>
          </wp:inline>
        </w:drawing>
      </w:r>
    </w:p>
    <w:p>
      <w:pPr>
        <w:pStyle w:val="ImageCaption"/>
      </w:pPr>
      <w:r>
        <w:t xml:space="preserve">SCW17 workshop participants outside the Wageningen venue.</w:t>
      </w:r>
    </w:p>
    <w:bookmarkStart w:id="18" w:name="summary"/>
    <w:p>
      <w:pPr>
        <w:pStyle w:val="Heading1"/>
      </w:pPr>
      <w:r>
        <w:t xml:space="preserve">Summary</w:t>
      </w:r>
    </w:p>
    <w:p>
      <w:pPr>
        <w:numPr>
          <w:ilvl w:val="0"/>
          <w:numId w:val="1001"/>
        </w:numPr>
      </w:pPr>
      <w:r>
        <w:t xml:space="preserve">This report summarizes the work carried out during the 2026 Jack Mackerel Working Group Management Strategy Evaluation (MSE) workshop, held in Wageningen University, the Netherlands. The workshop continued the MSE programme advanced at SCW15 and focused on preparing a final set of operating models (OMs), a set of candidate management procedures (CMPs), complete performance statistics, as well as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 while indices remain the sole input on stock status for any MP.</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keep using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[Blue Matter Science 2026c] to identify data patterns associated with poor CMP performance, compare type I and type II error rates, and support a transparent process for determining whether observations fall outside the range of conditions represented in the MSE.</w:t>
      </w:r>
    </w:p>
    <w:bookmarkStart w:id="17" w:name="recommendations-and-conclusions"/>
    <w:p>
      <w:pPr>
        <w:pStyle w:val="Heading2"/>
      </w:pPr>
      <w:r>
        <w:t xml:space="preserve">Recommendations and Conclusions</w:t>
      </w:r>
    </w:p>
    <w:p>
      <w:pPr>
        <w:pStyle w:val="FirstParagraph"/>
      </w:pPr>
      <w:r>
        <w:t xml:space="preserve">The following recommendations and conclusions were agreed:</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SC13 (labelled 0.00 for SCW17) was retained as a robustness test.</w:t>
      </w:r>
    </w:p>
    <w:p>
      <w:pPr>
        <w:pStyle w:val="Compact"/>
        <w:numPr>
          <w:ilvl w:val="0"/>
          <w:numId w:val="1002"/>
        </w:numPr>
      </w:pPr>
      <w:r>
        <w:rPr>
          <w:b/>
          <w:bCs/>
        </w:rPr>
        <w:t xml:space="preserve">OM conditioning:</w:t>
      </w:r>
      <w:r>
        <w:t xml:space="preserve"> </w:t>
      </w:r>
      <w:r>
        <w:t xml:space="preserve">The group agreed to include not only autocorrelation in recruitment deviations but also cross-correlation between index deviations. A limit on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based on OM constant-F forecasts. Biomass status was defined as biomass relative to dynamic B</w:t>
      </w:r>
      <w:r>
        <w:rPr>
          <w:vertAlign w:val="subscript"/>
        </w:rPr>
        <w:t xml:space="preserve">0</w:t>
      </w:r>
      <w:r>
        <w:t xml:space="preserve">. The group discussed whether the new SSB</w:t>
      </w:r>
      <w:r>
        <w:rPr>
          <w:vertAlign w:val="subscript"/>
        </w:rPr>
        <w:t xml:space="preserve">MSY</w:t>
      </w:r>
      <w:r>
        <w:t xml:space="preserve"> </w:t>
      </w:r>
      <w:r>
        <w:t xml:space="preserve">level should be set differently across OMs due to differences in steepness, and noted that the resulting SSB</w:t>
      </w:r>
      <w:r>
        <w:rPr>
          <w:vertAlign w:val="subscript"/>
        </w:rPr>
        <w:t xml:space="preserve">MSY</w:t>
      </w:r>
      <w:r>
        <w:t xml:space="preserve"> </w:t>
      </w:r>
      <w:r>
        <w:t xml:space="preserve">ratio will be applied directly to both OM tuning and the calculation of performance ratios.</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was specified at 270 kt per year for some CMPs but also monitored via performance statistics. TAC caps of -15% and +20% were tested, with both symmetric and asymmetric options.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and cyclical recruitment impacts, and was considered sufficient for addressing ENSO-related impacts on the stock at this stage. Changes in recruitment level and variability have already been constructed and could be applied if needed.</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to be carried out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While all statistics will be computed, the group narrowed the table of performance indicators to prioritize a selection of six key metrics.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7"/>
    <w:bookmarkEnd w:id="18"/>
    <w:bookmarkStart w:id="19"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9"/>
    <w:bookmarkStart w:id="22" w:name="developments-since-the-benchmark"/>
    <w:p>
      <w:pPr>
        <w:pStyle w:val="Heading1"/>
      </w:pPr>
      <w:r>
        <w:t xml:space="preserve">Developments Since the Benchmark</w:t>
      </w:r>
    </w:p>
    <w:bookmarkStart w:id="20"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20"/>
    <w:bookmarkStart w:id="21"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 because effort creep was considered unlikely for this fleet.</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w:t>
      </w:r>
    </w:p>
    <w:p>
      <w:pPr>
        <w:numPr>
          <w:ilvl w:val="0"/>
          <w:numId w:val="1007"/>
        </w:numPr>
      </w:pPr>
      <w:r>
        <w:t xml:space="preserve">The two-stock configurations showed somewhat different MCMC behaviour but remained usable for comparison. The group noted that structurally divergent OMs are harder to tune jointly. However, careful communication is required if they are included in either the reference set or robustness set.</w:t>
      </w:r>
    </w:p>
    <w:bookmarkEnd w:id="21"/>
    <w:bookmarkEnd w:id="22"/>
    <w:bookmarkStart w:id="28" w:name="operating-model-specifications"/>
    <w:p>
      <w:pPr>
        <w:pStyle w:val="Heading1"/>
      </w:pPr>
      <w:r>
        <w:t xml:space="preserve">Operating-Model Specifications</w:t>
      </w:r>
    </w:p>
    <w:bookmarkStart w:id="23"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The group discussed using cross-correlation among indices to simulate future index deviations. Participants noted that historical correlations are approximate because the series include changes in catchability and selectivity, whereas the projection settings use the more recent period. Autocorrelation in model index-fit residuals was identified as an appropriate approach for simulating future index deviations. Consequently, the generation of indices in projections was further developed to include autocorrelation, cross-correlation across indices, and added observation error. The group agreed on this approach. The practical check was to ensure that simulated deviations are consistent with the historical period and suitable for testing CMPs. Scrutiny of the deviations indicated that the generated deviations are appropriate for testing CMPs.</w:t>
      </w:r>
    </w:p>
    <w:p>
      <w:pPr>
        <w:numPr>
          <w:ilvl w:val="0"/>
          <w:numId w:val="1008"/>
        </w:numPr>
      </w:pPr>
      <w:r>
        <w:t xml:space="preserve">On combining multiple indices in empirical rules, each index is standardized and all indices are combined through equal-weighted averaging. A weighted average based on catch proportions or index variance is available as an option and was discussed but not agreed. Smoothing of the indices was explored, but was not found to improve CMP performance.</w:t>
      </w:r>
    </w:p>
    <w:bookmarkEnd w:id="23"/>
    <w:bookmarkStart w:id="24" w:name="operating-model-reference-set"/>
    <w:p>
      <w:pPr>
        <w:pStyle w:val="Heading2"/>
      </w:pPr>
      <w:r>
        <w:t xml:space="preserve">Operating-Model Reference Set</w:t>
      </w:r>
    </w:p>
    <w:p>
      <w:pPr>
        <w:pStyle w:val="Compact"/>
        <w:numPr>
          <w:ilvl w:val="0"/>
          <w:numId w:val="1009"/>
        </w:numPr>
      </w:pPr>
      <w:r>
        <w:t xml:space="preserve">The composition of the OM reference set was debated, including the implications of model 0.00 as an optimistic high-biomass, low-exploitation outcome that could affect CMP tuning and communication. The practical and agreed approach was to focus immediate tuning work on model 0.16, while retaining model 0.00 and the SC13-era configuration as clearly labelled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bookmarkEnd w:id="24"/>
    <w:bookmarkStart w:id="25"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through two scenarios: a seven-year cyclical decrease in recruitment and a one-year recruitment-collapse scenario.</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5"/>
    <w:bookmarkStart w:id="27"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0.00,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6"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6"/>
        </w:tc>
      </w:tr>
    </w:tbl>
    <w:bookmarkEnd w:id="27"/>
    <w:bookmarkEnd w:id="28"/>
    <w:bookmarkStart w:id="40"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 The group also reviewed consistency in recruitment projections, specifically the uncertainty levels arising from no-fishing scenarios, and agreed that the current configuration is adequate.</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(relative to the symmetric 15% change), and evaluating whether these constraints still allow the CMP to respond quickly enough to low-recruitment events. The group favored piecewise-linear terminology for these rules, while retaining existing code labels where needed. Banking and borrowing of TAC was also raised, but the group considered it a sensitivity to be examined for the final CMP set rather than a mechanism that should feed back into the harvest-control rule itself.</w:t>
      </w:r>
    </w:p>
    <w:p>
      <w:pPr>
        <w:numPr>
          <w:ilvl w:val="0"/>
          <w:numId w:val="1012"/>
        </w:numPr>
      </w:pPr>
      <w:r>
        <w:t xml:space="preserve">There was also discussion of which indices should feed CMPs. The initial rules used all indices, but participants discussed comparing different subsets of indices, including North-Chile acoustic and Peruvian artisanal CPUE,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32" w:name="fig-cmp-reference-base-tuning"/>
          <w:p>
            <w:pPr>
              <w:pStyle w:val="Compact"/>
              <w:jc w:val="center"/>
            </w:pPr>
            <w:r>
              <w:drawing>
                <wp:inline>
                  <wp:extent cx="5334000" cy="3048000"/>
                  <wp:effectExtent b="0" l="0" r="0" t="0"/>
                  <wp:docPr descr="" title="" id="30" name="Picture"/>
                  <a:graphic>
                    <a:graphicData uri="http://schemas.openxmlformats.org/drawingml/2006/picture">
                      <pic:pic>
                        <pic:nvPicPr>
                          <pic:cNvPr descr="figures/cmp-reference-base-tuning.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32"/>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P(Kobe-green)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variants with a 270 thousand tonne minimum catch, an asymmetric TAC-change constraint, and a special shape variant (</w:t>
      </w:r>
      <w:hyperlink w:anchor="tbl-cmp-second-set">
        <w:r>
          <w:rPr>
            <w:rStyle w:val="Hyperlink"/>
          </w:rPr>
          <w:t xml:space="preserve">Table 3</w:t>
        </w:r>
      </w:hyperlink>
      <w:r>
        <w:t xml:space="preserve">). These last three MP features were requested by Chile, as they were tested and selected as part of a national jack mackerel MSE project completed this year. This iterative testing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 In this context the group considered a cap of roughly three times current effort to be a plausible upper bound on attainable fishing effort.</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3"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4"/>
        </w:tc>
      </w:tr>
    </w:tbl>
    <w:tbl>
      <w:tblPr>
        <w:tblStyle w:val="Table"/>
        <w:tblW w:type="pct" w:w="5000"/>
        <w:tblLayout w:type="fixed"/>
        <w:tblLook w:firstRow="0" w:lastRow="0" w:firstColumn="0" w:lastColumn="0" w:noHBand="0" w:noVBand="0" w:val="0000"/>
      </w:tblPr>
      <w:tblGrid>
        <w:gridCol w:w="7920"/>
      </w:tblGrid>
      <w:tr>
        <w:tc>
          <w:tcPr/>
          <w:bookmarkStart w:id="38" w:name="fig-hcr-faceted"/>
          <w:p>
            <w:pPr>
              <w:pStyle w:val="Compact"/>
              <w:jc w:val="center"/>
            </w:pPr>
            <w:r>
              <w:drawing>
                <wp:inline>
                  <wp:extent cx="5334000" cy="4267200"/>
                  <wp:effectExtent b="0" l="0" r="0" t="0"/>
                  <wp:docPr descr="" title="" id="36" name="Picture"/>
                  <a:graphic>
                    <a:graphicData uri="http://schemas.openxmlformats.org/drawingml/2006/picture">
                      <pic:pic>
                        <pic:nvPicPr>
                          <pic:cNvPr descr="SCW17-MSE-Workshop-report_files/figure-docx/fig-hcr-faceted-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8"/>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9">
        <w:r>
          <w:rPr>
            <w:rStyle w:val="Hyperlink"/>
          </w:rPr>
          <w:t xml:space="preserve">SCW17/Paper-09: CMP test instructions</w:t>
        </w:r>
      </w:hyperlink>
      <w:r>
        <w:t xml:space="preserve">.</w:t>
      </w:r>
    </w:p>
    <w:bookmarkEnd w:id="40"/>
    <w:bookmarkStart w:id="52" w:name="Xf14104c8b0128a6d0b4aafde13bfb9db0923d6b"/>
    <w:p>
      <w:pPr>
        <w:pStyle w:val="Heading1"/>
      </w:pPr>
      <w:r>
        <w:t xml:space="preserve">Trade-offs, Robustness, and Performance Metrics</w:t>
      </w:r>
    </w:p>
    <w:bookmarkStart w:id="42"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41">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42"/>
    <w:bookmarkStart w:id="43"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r>
        <w:t xml:space="preserve"> </w:t>
      </w:r>
      <w:r>
        <w:t xml:space="preserve">For the present trials, CMPs were tuned on the h1_0.16 reference OM and then evaluated against h2_0.16, with the expectation that a CMP tuned on h1_0.16 should retain an acceptable probability of being in the Kobe-green zone under h2_0.16.</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r>
        <w:t xml:space="preserve"> </w:t>
      </w:r>
      <w:r>
        <w:t xml:space="preserve">The group agreed on a broad list of performance statistics spanning safety, yield, and stability across short- and long-term periods. While all statistics will be computed and reported, the group narrowed the headline table to six key metrics to keep Scientific Committee review focused, with the remaining statistics retained as supporting diagnostics.</w:t>
      </w:r>
    </w:p>
    <w:bookmarkEnd w:id="43"/>
    <w:bookmarkStart w:id="46"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4">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5">
        <w:r>
          <w:rPr>
            <w:rStyle w:val="Hyperlink"/>
          </w:rPr>
          <w:t xml:space="preserve">https://shiny.bluematterscience.com/app/slick</w:t>
        </w:r>
      </w:hyperlink>
      <w:r>
        <w:t xml:space="preserve">; the preliminary jack mackerel Slick object can be uploaded there for interactive review.</w:t>
      </w:r>
    </w:p>
    <w:bookmarkEnd w:id="46"/>
    <w:bookmarkStart w:id="51"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50" w:name="fig-ecp-preliminary"/>
          <w:p>
            <w:pPr>
              <w:pStyle w:val="Compact"/>
              <w:jc w:val="center"/>
            </w:pPr>
            <w:r>
              <w:drawing>
                <wp:inline>
                  <wp:extent cx="5334000" cy="3012578"/>
                  <wp:effectExtent b="0" l="0" r="0" t="0"/>
                  <wp:docPr descr="" title="" id="48" name="Picture"/>
                  <a:graphic>
                    <a:graphicData uri="http://schemas.openxmlformats.org/drawingml/2006/picture">
                      <pic:pic>
                        <pic:nvPicPr>
                          <pic:cNvPr descr="figures/ecp-preliminary-screenshot.png" id="49" name="Picture"/>
                          <pic:cNvPicPr>
                            <a:picLocks noChangeArrowheads="1" noChangeAspect="1"/>
                          </pic:cNvPicPr>
                        </pic:nvPicPr>
                        <pic:blipFill>
                          <a:blip r:embed="rId47"/>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50"/>
        </w:tc>
      </w:tr>
    </w:tbl>
    <w:bookmarkEnd w:id="51"/>
    <w:bookmarkEnd w:id="52"/>
    <w:bookmarkStart w:id="54" w:name="planning-for-sc14-and-next-steps"/>
    <w:p>
      <w:pPr>
        <w:pStyle w:val="Heading1"/>
      </w:pPr>
      <w:r>
        <w:t xml:space="preserve">Planning for SC14 and Next Steps</w:t>
      </w:r>
    </w:p>
    <w:p>
      <w:pPr>
        <w:numPr>
          <w:ilvl w:val="0"/>
          <w:numId w:val="1019"/>
        </w:numPr>
      </w:pPr>
      <w:r>
        <w:t xml:space="preserve">The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0.00,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completed the principal tasks identified for the workshop and developed a more focused set of CMPs for subsequent robustness testing and reporting to SC14. The narrowed set was developed from the Day 4 trial CMPs in</w:t>
      </w:r>
      <w:r>
        <w:t xml:space="preserve"> </w:t>
      </w:r>
      <w:hyperlink w:anchor="tbl-day4-cmp-robustness">
        <w:r>
          <w:rPr>
            <w:rStyle w:val="Hyperlink"/>
          </w:rPr>
          <w:t xml:space="preserve">Table 4</w:t>
        </w:r>
      </w:hyperlink>
      <w:r>
        <w:t xml:space="preserve">. The group examined the behavior of the full set and identified</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as the subset to carry forward for robustness testing. These CMPs were selected to span the main trade-offs considered during the workshop, including higher target catch behavior, minimum catch treatment, and the Chile special-shape variant.</w:t>
      </w:r>
    </w:p>
    <w:tbl>
      <w:tblPr>
        <w:tblStyle w:val="Table"/>
        <w:tblW w:type="pct" w:w="5000"/>
        <w:tblLayout w:type="fixed"/>
        <w:tblLook w:firstRow="0" w:lastRow="0" w:firstColumn="0" w:lastColumn="0" w:noHBand="0" w:noVBand="0" w:val="0000"/>
      </w:tblPr>
      <w:tblGrid>
        <w:gridCol w:w="7920"/>
      </w:tblGrid>
      <w:tr>
        <w:tc>
          <w:tcPr/>
          <w:bookmarkStart w:id="53" w:name="tbl-day4-cmp-robustness"/>
          <w:p>
            <w:pPr>
              <w:jc w:val="center"/>
            </w:pPr>
            <w:pPr>
              <w:jc w:val="left"/>
              <w:spacing w:before="200"/>
              <w:pStyle w:val="ImageCaption"/>
            </w:pPr>
            <w:r>
              <w:t xml:space="preserve">Table 4: Day 4 trial CMPs examined by the group; runs selected for robustness testing are indicated.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Day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robustness subset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run18</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Base++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5,000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1.15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ChileSpecialShape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bl>
          <w:bookmarkEnd w:id="53"/>
        </w:tc>
      </w:tr>
    </w:tbl>
    <w:p>
      <w:pPr>
        <w:numPr>
          <w:ilvl w:val="0"/>
          <w:numId w:val="1020"/>
        </w:numPr>
      </w:pPr>
      <w:r>
        <w:t xml:space="preserve">The group recommended that a technical meeting take place before SC14, with 24 July 2026 identified as a preliminary proposed date. The meeting should review the added tasks specified for the full MSE report to SC14, including updated CMP performance summaries, robustness-test results for the subset in</w:t>
      </w:r>
      <w:r>
        <w:t xml:space="preserve"> </w:t>
      </w:r>
      <w:hyperlink w:anchor="tbl-day4-cmp-robustness">
        <w:r>
          <w:rPr>
            <w:rStyle w:val="Hyperlink"/>
          </w:rPr>
          <w:t xml:space="preserve">Table 4</w:t>
        </w:r>
      </w:hyperlink>
      <w:r>
        <w:t xml:space="preserve">, and any remaining implementation issues. The meeting should be a technical review of the narrowed CMP set, diagnostics, and suitability of the results rather than a reopening of the CMP design process.</w:t>
      </w:r>
    </w:p>
    <w:p>
      <w:pPr>
        <w:numPr>
          <w:ilvl w:val="0"/>
          <w:numId w:val="1020"/>
        </w:numPr>
      </w:pPr>
      <w:r>
        <w:t xml:space="preserve">The full MSE report to SC14 is anticipated to contain the contractors’ report as an annex and a brief synthesis of the work completed at SCW17 and intersessionally. The synthesis should document how the workshop tasks were completed, how the CMP subset was selected, and how remaining analyses support Scientific Committee consideration of CMPs.</w:t>
      </w:r>
    </w:p>
    <w:p>
      <w:pPr>
        <w:numPr>
          <w:ilvl w:val="0"/>
          <w:numId w:val="1020"/>
        </w:numPr>
      </w:pPr>
      <w:r>
        <w:t xml:space="preserve">Specific tasks identified for the full MSE report to SC14 included:</w:t>
      </w:r>
    </w:p>
    <w:p>
      <w:pPr>
        <w:pStyle w:val="Compact"/>
        <w:numPr>
          <w:ilvl w:val="0"/>
          <w:numId w:val="1021"/>
        </w:numPr>
      </w:pPr>
      <w:r>
        <w:t xml:space="preserve">Complete robustness testing for</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across the agreed OM and projection scenarios.</w:t>
      </w:r>
    </w:p>
    <w:p>
      <w:pPr>
        <w:pStyle w:val="Compact"/>
        <w:numPr>
          <w:ilvl w:val="0"/>
          <w:numId w:val="1021"/>
        </w:numPr>
      </w:pPr>
      <w:r>
        <w:t xml:space="preserve">Provide updated CMP performance summaries, including primary and supporting performance metrics.</w:t>
      </w:r>
    </w:p>
    <w:p>
      <w:pPr>
        <w:pStyle w:val="Compact"/>
        <w:numPr>
          <w:ilvl w:val="0"/>
          <w:numId w:val="1021"/>
        </w:numPr>
      </w:pPr>
      <w:r>
        <w:t xml:space="preserve">Document recruitment-deviation simulation assumptions, including autocorrelation, and index-deviation simulation assumptions, including cross-correlation.</w:t>
      </w:r>
    </w:p>
    <w:p>
      <w:pPr>
        <w:pStyle w:val="Compact"/>
        <w:numPr>
          <w:ilvl w:val="0"/>
          <w:numId w:val="1021"/>
        </w:numPr>
      </w:pPr>
      <w:r>
        <w:t xml:space="preserve">Document reference-point calculations and Kobe-plot treatment, including dynamic B</w:t>
      </w:r>
      <w:r>
        <w:rPr>
          <w:vertAlign w:val="subscript"/>
        </w:rPr>
        <w:t xml:space="preserve">0</w:t>
      </w:r>
      <w:r>
        <w:t xml:space="preserve"> </w:t>
      </w:r>
      <w:r>
        <w:t xml:space="preserve">and dynamic B</w:t>
      </w:r>
      <w:r>
        <w:rPr>
          <w:vertAlign w:val="subscript"/>
        </w:rPr>
        <w:t xml:space="preserve">MSY</w:t>
      </w:r>
      <w:r>
        <w:t xml:space="preserve"> </w:t>
      </w:r>
      <w:r>
        <w:t xml:space="preserve">methods.</w:t>
      </w:r>
    </w:p>
    <w:p>
      <w:pPr>
        <w:pStyle w:val="Compact"/>
        <w:numPr>
          <w:ilvl w:val="0"/>
          <w:numId w:val="1021"/>
        </w:numPr>
      </w:pPr>
      <w:r>
        <w:t xml:space="preserve">Present the operating-model set, scenario naming conventions, and any final weighting or interpretation choices.</w:t>
      </w:r>
    </w:p>
    <w:p>
      <w:pPr>
        <w:pStyle w:val="Compact"/>
        <w:numPr>
          <w:ilvl w:val="0"/>
          <w:numId w:val="1021"/>
        </w:numPr>
      </w:pPr>
      <w:r>
        <w:t xml:space="preserve">Summarize treatment of minimum catch expectations, TAC-change constraints, banking and borrowing sensitivity, and fishery-feasibility diagnostics.</w:t>
      </w:r>
    </w:p>
    <w:p>
      <w:pPr>
        <w:pStyle w:val="Compact"/>
        <w:numPr>
          <w:ilvl w:val="0"/>
          <w:numId w:val="1021"/>
        </w:numPr>
      </w:pPr>
      <w:r>
        <w:t xml:space="preserve">Include the contractors’ report as an annex and provide a concise synthesis of SCW17 and intersessional work for Scientific Committee review.</w:t>
      </w:r>
    </w:p>
    <w:bookmarkEnd w:id="54"/>
    <w:bookmarkStart w:id="64" w:name="references"/>
    <w:p>
      <w:pPr>
        <w:pStyle w:val="Heading1"/>
      </w:pPr>
      <w:r>
        <w:t xml:space="preserve">References</w:t>
      </w:r>
    </w:p>
    <w:p>
      <w:pPr>
        <w:pStyle w:val="FirstParagraph"/>
      </w:pPr>
      <w:r>
        <w:t xml:space="preserve">SPRFMO. 2025. Report of the Management Strategy Evaluation Workshop (SCW15), 14-18 July 2025.</w:t>
      </w:r>
      <w:r>
        <w:t xml:space="preserve"> </w:t>
      </w:r>
      <w:hyperlink r:id="rId55">
        <w:r>
          <w:rPr>
            <w:rStyle w:val="Hyperlink"/>
          </w:rPr>
          <w:t xml:space="preserve">https://sprfmo.github.io/SCW15_report/</w:t>
        </w:r>
      </w:hyperlink>
    </w:p>
    <w:p>
      <w:pPr>
        <w:pStyle w:val="BodyText"/>
      </w:pPr>
      <w:r>
        <w:t xml:space="preserve">SPRFMO. 2026. JMWG Benchmark Meeting Report 2026, 18-22 May 2026, Lima.</w:t>
      </w:r>
      <w:r>
        <w:t xml:space="preserve"> </w:t>
      </w:r>
      <w:hyperlink r:id="rId56">
        <w:r>
          <w:rPr>
            <w:rStyle w:val="Hyperlink"/>
          </w:rPr>
          <w:t xml:space="preserve">https://sprfmo.github.io/JM_SCW_prep/JMWG-Benchmark-Meeting-report-2026.html</w:t>
        </w:r>
      </w:hyperlink>
    </w:p>
    <w:p>
      <w:pPr>
        <w:pStyle w:val="BodyText"/>
      </w:pPr>
      <w:r>
        <w:t xml:space="preserve">SPRFMO. 2026. SCW17 working documents.</w:t>
      </w:r>
      <w:r>
        <w:t xml:space="preserve"> </w:t>
      </w:r>
      <w:hyperlink r:id="rId57">
        <w:r>
          <w:rPr>
            <w:rStyle w:val="Hyperlink"/>
          </w:rPr>
          <w:t xml:space="preserve">https://sprfmo.github.io/scw17/</w:t>
        </w:r>
      </w:hyperlink>
    </w:p>
    <w:p>
      <w:pPr>
        <w:pStyle w:val="BodyText"/>
      </w:pPr>
      <w:r>
        <w:t xml:space="preserve">Carruthers, T. R. 2024a. Developing the Climate Test: Robustness Trials for Climate-Ready Management Procedures. SCRS/2024/104. Collect. Vol. Sci. Pap. ICCAT, 81(6): 1-26.</w:t>
      </w:r>
      <w:r>
        <w:t xml:space="preserve"> </w:t>
      </w:r>
      <w:hyperlink r:id="rId58">
        <w:r>
          <w:rPr>
            <w:rStyle w:val="Hyperlink"/>
          </w:rPr>
          <w:t xml:space="preserve">https://www.iccat.int/Documents/CVSP/CV081_2024/n_6/CV08106104.pdf</w:t>
        </w:r>
      </w:hyperlink>
    </w:p>
    <w:p>
      <w:pPr>
        <w:pStyle w:val="BodyText"/>
      </w:pPr>
      <w:r>
        <w:t xml:space="preserve">Carruthers, T. R. 2024b. Developing the Climate Test: Performance Metrics of Climate Robustness. SCRS/2024/148. Collect. Vol. Sci. Pap. ICCAT, 81(2): 1-7.</w:t>
      </w:r>
      <w:r>
        <w:t xml:space="preserve"> </w:t>
      </w:r>
      <w:hyperlink r:id="rId59">
        <w:r>
          <w:rPr>
            <w:rStyle w:val="Hyperlink"/>
          </w:rPr>
          <w:t xml:space="preserve">https://www.iccat.int/Documents/CVSP/CV081_2024/n_2/CV08102148.pdf</w:t>
        </w:r>
      </w:hyperlink>
    </w:p>
    <w:p>
      <w:pPr>
        <w:pStyle w:val="BodyText"/>
      </w:pPr>
      <w:r>
        <w:t xml:space="preserve">Carruthers, T. 2026. Developing the Climate Test: Climate Robustness as an Attribute of Management Procedures. Presentation to the SPRFMO Jack Mackerel MSE Workshop, 15 June 2026.</w:t>
      </w:r>
    </w:p>
    <w:p>
      <w:pPr>
        <w:pStyle w:val="BodyText"/>
      </w:pPr>
      <w:r>
        <w:t xml:space="preserve">Blue Matter Science. 2026a. ECP: Exceptional Circumstances Protocols for Adopted Management Procedures. R Shiny application.</w:t>
      </w:r>
      <w:r>
        <w:t xml:space="preserve"> </w:t>
      </w:r>
      <w:hyperlink r:id="rId60">
        <w:r>
          <w:rPr>
            <w:rStyle w:val="Hyperlink"/>
          </w:rPr>
          <w:t xml:space="preserve">https://shiny.bluematterscience.com/</w:t>
        </w:r>
      </w:hyperlink>
    </w:p>
    <w:p>
      <w:pPr>
        <w:pStyle w:val="BodyText"/>
      </w:pPr>
      <w:r>
        <w:t xml:space="preserve">Blue Matter Science. 2026b. Slick: Interactive Visualization of MSE Results. R package and Shiny application.</w:t>
      </w:r>
      <w:r>
        <w:t xml:space="preserve"> </w:t>
      </w:r>
      <w:hyperlink r:id="rId61">
        <w:r>
          <w:rPr>
            <w:rStyle w:val="Hyperlink"/>
          </w:rPr>
          <w:t xml:space="preserve">https://slick.bluematterscience.com/</w:t>
        </w:r>
      </w:hyperlink>
    </w:p>
    <w:p>
      <w:pPr>
        <w:pStyle w:val="BodyText"/>
      </w:pPr>
      <w:r>
        <w:t xml:space="preserve">Blue Matter Science. 2026c. ECP: Exceptional Circumstances Protocols for Adopted Management Procedures. Source code repository.</w:t>
      </w:r>
      <w:r>
        <w:t xml:space="preserve"> </w:t>
      </w:r>
      <w:hyperlink r:id="rId62">
        <w:r>
          <w:rPr>
            <w:rStyle w:val="Hyperlink"/>
          </w:rPr>
          <w:t xml:space="preserve">https://github.com/Blue-Matter/ECP.git</w:t>
        </w:r>
      </w:hyperlink>
    </w:p>
    <w:p>
      <w:pPr>
        <w:pStyle w:val="BodyText"/>
      </w:pPr>
      <w:r>
        <w:t xml:space="preserve">Annex K. Original jack mackerel management procedure.</w:t>
      </w:r>
      <w:r>
        <w:t xml:space="preserve"> </w:t>
      </w:r>
      <w:hyperlink r:id="rId63">
        <w:r>
          <w:rPr>
            <w:rStyle w:val="Hyperlink"/>
          </w:rPr>
          <w:t xml:space="preserve">https://www.sprfmo.int/assets/Meetings/Meetings-2013-plus/Commission-Meetings/2nd-Commission-Meeting-2014-Manta-Ecuador/Annex-K-Proposed-Jack-Mackerel-Rebuilding-Plan.pdf</w:t>
        </w:r>
      </w:hyperlink>
    </w:p>
    <w:bookmarkEnd w:id="64"/>
    <w:bookmarkStart w:id="65" w:name="appendix-a.-participants"/>
    <w:p>
      <w:pPr>
        <w:pStyle w:val="Heading1"/>
      </w:pPr>
      <w:r>
        <w:t xml:space="preserve">Appendix A. Participants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p>
        </w:tc>
      </w:tr>
      <w:tr>
        <w:tc>
          <w:tcPr/>
          <w:p>
            <w:pPr>
              <w:pStyle w:val="Compact"/>
            </w:pPr>
            <w:r>
              <w:t xml:space="preserve">Jim Ianelli</w:t>
            </w:r>
          </w:p>
        </w:tc>
        <w:tc>
          <w:tcPr/>
          <w:p>
            <w:pPr>
              <w:pStyle w:val="Compact"/>
            </w:pPr>
            <w:r>
              <w:t xml:space="preserve">NOAA Fisheries (USA)</w:t>
            </w:r>
          </w:p>
        </w:tc>
        <w:tc>
          <w:tcPr/>
          <w:p>
            <w:pPr>
              <w:pStyle w:val="Compact"/>
            </w:pPr>
          </w:p>
        </w:tc>
      </w:tr>
      <w:tr>
        <w:tc>
          <w:tcPr/>
          <w:p>
            <w:pPr>
              <w:pStyle w:val="Compact"/>
            </w:pPr>
            <w:r>
              <w:t xml:space="preserve">Niels Hintzen</w:t>
            </w:r>
          </w:p>
        </w:tc>
        <w:tc>
          <w:tcPr/>
          <w:p>
            <w:pPr>
              <w:pStyle w:val="Compact"/>
            </w:pPr>
            <w:r>
              <w:t xml:space="preserve">PFA (EU delegation)</w:t>
            </w:r>
          </w:p>
        </w:tc>
        <w:tc>
          <w:tcPr/>
          <w:p>
            <w:pPr>
              <w:pStyle w:val="Compact"/>
            </w:pPr>
          </w:p>
        </w:tc>
      </w:tr>
      <w:tr>
        <w:tc>
          <w:tcPr/>
          <w:p>
            <w:pPr>
              <w:pStyle w:val="Compact"/>
            </w:pPr>
            <w:r>
              <w:t xml:space="preserve">Karolina Molla Gazi</w:t>
            </w:r>
          </w:p>
        </w:tc>
        <w:tc>
          <w:tcPr/>
          <w:p>
            <w:pPr>
              <w:pStyle w:val="Compact"/>
            </w:pPr>
            <w:r>
              <w:t xml:space="preserve">Wageningen Marine Research (EU delegation)</w:t>
            </w:r>
          </w:p>
        </w:tc>
        <w:tc>
          <w:tcPr/>
          <w:p>
            <w:pPr>
              <w:pStyle w:val="Compact"/>
            </w:pPr>
          </w:p>
        </w:tc>
      </w:tr>
      <w:tr>
        <w:tc>
          <w:tcPr/>
          <w:p>
            <w:pPr>
              <w:pStyle w:val="Compact"/>
            </w:pPr>
            <w:r>
              <w:t xml:space="preserve">Iago Mosqueira</w:t>
            </w:r>
          </w:p>
        </w:tc>
        <w:tc>
          <w:tcPr/>
          <w:p>
            <w:pPr>
              <w:pStyle w:val="Compact"/>
            </w:pPr>
            <w:r>
              <w:t xml:space="preserve">Wageningen Marine Research (Consultant)</w:t>
            </w:r>
          </w:p>
        </w:tc>
        <w:tc>
          <w:tcPr/>
          <w:p>
            <w:pPr>
              <w:pStyle w:val="Compact"/>
            </w:pPr>
          </w:p>
        </w:tc>
      </w:tr>
      <w:tr>
        <w:tc>
          <w:tcPr/>
          <w:p>
            <w:pPr>
              <w:pStyle w:val="Compact"/>
            </w:pPr>
            <w:r>
              <w:t xml:space="preserve">Benoit Berges</w:t>
            </w:r>
          </w:p>
        </w:tc>
        <w:tc>
          <w:tcPr/>
          <w:p>
            <w:pPr>
              <w:pStyle w:val="Compact"/>
            </w:pPr>
            <w:r>
              <w:t xml:space="preserve">Wageningen Marine Research (Consultant)</w:t>
            </w:r>
          </w:p>
        </w:tc>
        <w:tc>
          <w:tcPr/>
          <w:p>
            <w:pPr>
              <w:pStyle w:val="Compact"/>
            </w:pPr>
          </w:p>
        </w:tc>
      </w:tr>
      <w:tr>
        <w:tc>
          <w:tcPr/>
          <w:p>
            <w:pPr>
              <w:pStyle w:val="Compact"/>
            </w:pPr>
            <w:r>
              <w:t xml:space="preserve">Ignacio Paya</w:t>
            </w:r>
          </w:p>
        </w:tc>
        <w:tc>
          <w:tcPr/>
          <w:p>
            <w:pPr>
              <w:pStyle w:val="Compact"/>
            </w:pPr>
            <w:r>
              <w:t xml:space="preserve">IFOP (Chile)</w:t>
            </w:r>
          </w:p>
        </w:tc>
        <w:tc>
          <w:tcPr/>
          <w:p>
            <w:pPr>
              <w:pStyle w:val="Compact"/>
            </w:pPr>
          </w:p>
        </w:tc>
      </w:tr>
      <w:tr>
        <w:tc>
          <w:tcPr/>
          <w:p>
            <w:pPr>
              <w:pStyle w:val="Compact"/>
            </w:pPr>
            <w:r>
              <w:t xml:space="preserve">Jose Zenteno</w:t>
            </w:r>
          </w:p>
        </w:tc>
        <w:tc>
          <w:tcPr/>
          <w:p>
            <w:pPr>
              <w:pStyle w:val="Compact"/>
            </w:pPr>
            <w:r>
              <w:t xml:space="preserve">IFOP (Chile)</w:t>
            </w:r>
          </w:p>
        </w:tc>
        <w:tc>
          <w:tcPr/>
          <w:p>
            <w:pPr>
              <w:pStyle w:val="Compact"/>
            </w:pPr>
          </w:p>
        </w:tc>
      </w:tr>
      <w:tr>
        <w:tc>
          <w:tcPr/>
          <w:p>
            <w:pPr>
              <w:pStyle w:val="Compact"/>
            </w:pPr>
            <w:r>
              <w:t xml:space="preserve">Aquiles Sepulveda</w:t>
            </w:r>
          </w:p>
        </w:tc>
        <w:tc>
          <w:tcPr/>
          <w:p>
            <w:pPr>
              <w:pStyle w:val="Compact"/>
            </w:pPr>
            <w:r>
              <w:t xml:space="preserve">INPESCA (Chile)</w:t>
            </w:r>
          </w:p>
        </w:tc>
        <w:tc>
          <w:tcPr/>
          <w:p>
            <w:pPr>
              <w:pStyle w:val="Compact"/>
            </w:pPr>
          </w:p>
        </w:tc>
      </w:tr>
      <w:tr>
        <w:tc>
          <w:tcPr/>
          <w:p>
            <w:pPr>
              <w:pStyle w:val="Compact"/>
            </w:pPr>
            <w:r>
              <w:t xml:space="preserve">Nicole Mermoud</w:t>
            </w:r>
          </w:p>
        </w:tc>
        <w:tc>
          <w:tcPr/>
          <w:p>
            <w:pPr>
              <w:pStyle w:val="Compact"/>
            </w:pPr>
            <w:r>
              <w:t xml:space="preserve">Subsecretaria de Pesca y Acuicultura (Chile)</w:t>
            </w:r>
          </w:p>
        </w:tc>
        <w:tc>
          <w:tcPr/>
          <w:p>
            <w:pPr>
              <w:pStyle w:val="Compact"/>
            </w:pPr>
          </w:p>
        </w:tc>
      </w:tr>
      <w:tr>
        <w:tc>
          <w:tcPr/>
          <w:p>
            <w:pPr>
              <w:pStyle w:val="Compact"/>
            </w:pPr>
            <w:r>
              <w:t xml:space="preserve">Criscely Lujan</w:t>
            </w:r>
          </w:p>
        </w:tc>
        <w:tc>
          <w:tcPr/>
          <w:p>
            <w:pPr>
              <w:pStyle w:val="Compact"/>
            </w:pPr>
            <w:r>
              <w:t xml:space="preserve">IMARPE (Peru)</w:t>
            </w:r>
          </w:p>
        </w:tc>
        <w:tc>
          <w:tcPr/>
          <w:p>
            <w:pPr>
              <w:pStyle w:val="Compact"/>
            </w:pPr>
          </w:p>
        </w:tc>
      </w:tr>
      <w:tr>
        <w:tc>
          <w:tcPr/>
          <w:p>
            <w:pPr>
              <w:pStyle w:val="Compact"/>
            </w:pPr>
            <w:r>
              <w:t xml:space="preserve">Miriam Geronimo</w:t>
            </w:r>
          </w:p>
        </w:tc>
        <w:tc>
          <w:tcPr/>
          <w:p>
            <w:pPr>
              <w:pStyle w:val="Compact"/>
            </w:pPr>
            <w:r>
              <w:t xml:space="preserve">IMARPE (Peru)</w:t>
            </w:r>
          </w:p>
        </w:tc>
        <w:tc>
          <w:tcPr/>
          <w:p>
            <w:pPr>
              <w:pStyle w:val="Compact"/>
            </w:pPr>
          </w:p>
        </w:tc>
      </w:tr>
      <w:tr>
        <w:tc>
          <w:tcPr/>
          <w:p>
            <w:pPr>
              <w:pStyle w:val="Compact"/>
            </w:pPr>
            <w:r>
              <w:t xml:space="preserve">David Miller</w:t>
            </w:r>
          </w:p>
        </w:tc>
        <w:tc>
          <w:tcPr/>
          <w:p>
            <w:pPr>
              <w:pStyle w:val="Compact"/>
            </w:pPr>
            <w:r>
              <w:t xml:space="preserve">ICES Secretariat (External reviewer)</w:t>
            </w:r>
          </w:p>
        </w:tc>
        <w:tc>
          <w:tcPr/>
          <w:p>
            <w:pPr>
              <w:pStyle w:val="Compact"/>
            </w:pPr>
          </w:p>
        </w:tc>
      </w:tr>
      <w:tr>
        <w:tc>
          <w:tcPr/>
          <w:p>
            <w:pPr>
              <w:pStyle w:val="Compact"/>
            </w:pPr>
            <w:r>
              <w:t xml:space="preserve">Rosana Ourens</w:t>
            </w:r>
          </w:p>
        </w:tc>
        <w:tc>
          <w:tcPr/>
          <w:p>
            <w:pPr>
              <w:pStyle w:val="Compact"/>
            </w:pPr>
            <w:r>
              <w:t xml:space="preserve">CEFAS (UK) (External reviewer)</w:t>
            </w:r>
          </w:p>
        </w:tc>
        <w:tc>
          <w:tcPr/>
          <w:p>
            <w:pPr>
              <w:pStyle w:val="Compact"/>
            </w:pPr>
          </w:p>
        </w:tc>
      </w:tr>
      <w:tr>
        <w:tc>
          <w:tcPr/>
          <w:p>
            <w:pPr>
              <w:pStyle w:val="Compact"/>
            </w:pPr>
            <w:r>
              <w:t xml:space="preserve">Tom Carruthers</w:t>
            </w:r>
          </w:p>
        </w:tc>
        <w:tc>
          <w:tcPr/>
          <w:p>
            <w:pPr>
              <w:pStyle w:val="Compact"/>
            </w:pPr>
            <w:r>
              <w:t xml:space="preserve">Blue Matter Science (Invited expert)</w:t>
            </w:r>
          </w:p>
        </w:tc>
        <w:tc>
          <w:tcPr/>
          <w:p>
            <w:pPr>
              <w:pStyle w:val="Compact"/>
            </w:pPr>
          </w:p>
        </w:tc>
      </w:tr>
      <w:tr>
        <w:tc>
          <w:tcPr/>
          <w:p>
            <w:pPr>
              <w:pStyle w:val="Compact"/>
            </w:pPr>
            <w:r>
              <w:t xml:space="preserve">Ash Wilson</w:t>
            </w:r>
          </w:p>
        </w:tc>
        <w:tc>
          <w:tcPr/>
          <w:p>
            <w:pPr>
              <w:pStyle w:val="Compact"/>
            </w:pPr>
            <w:r>
              <w:t xml:space="preserve">Pew Charitable Trusts (Observer)</w:t>
            </w:r>
          </w:p>
        </w:tc>
        <w:tc>
          <w:tcPr/>
          <w:p>
            <w:pPr>
              <w:pStyle w:val="Compact"/>
            </w:pPr>
          </w:p>
        </w:tc>
      </w:tr>
    </w:tbl>
    <w:bookmarkEnd w:id="65"/>
    <w:bookmarkStart w:id="66"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BodyText"/>
      </w:pPr>
      <w:r>
        <w:t xml:space="preserve">1. Developments since the benchmark.</w:t>
      </w:r>
      <w:r>
        <w:br/>
      </w:r>
      <w:r>
        <w:t xml:space="preserve">2. Operating-model specifications.</w:t>
      </w:r>
      <w:r>
        <w:br/>
      </w:r>
      <w:r>
        <w:t xml:space="preserve">3. Candidate management procedures.</w:t>
      </w:r>
      <w:r>
        <w:br/>
      </w:r>
      <w:r>
        <w:t xml:space="preserve">4. Trade-offs, robustness, and performance metrics.</w:t>
      </w:r>
      <w:r>
        <w:br/>
      </w:r>
      <w:r>
        <w:t xml:space="preserve">5. 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6"/>
    <w:bookmarkStart w:id="76"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7">
              <w:r>
                <w:rPr>
                  <w:rStyle w:val="Hyperlink"/>
                </w:rPr>
                <w:t xml:space="preserve">Paper 00</w:t>
              </w:r>
            </w:hyperlink>
          </w:p>
        </w:tc>
        <w:tc>
          <w:tcPr/>
          <w:p>
            <w:pPr>
              <w:pStyle w:val="Compact"/>
            </w:pPr>
            <w:r>
              <w:t xml:space="preserve">Agenda and schedule</w:t>
            </w:r>
          </w:p>
        </w:tc>
      </w:tr>
      <w:tr>
        <w:tc>
          <w:tcPr/>
          <w:p>
            <w:pPr>
              <w:pStyle w:val="Compact"/>
            </w:pPr>
            <w:hyperlink r:id="rId68">
              <w:r>
                <w:rPr>
                  <w:rStyle w:val="Hyperlink"/>
                </w:rPr>
                <w:t xml:space="preserve">Paper 01</w:t>
              </w:r>
            </w:hyperlink>
          </w:p>
        </w:tc>
        <w:tc>
          <w:tcPr/>
          <w:p>
            <w:pPr>
              <w:pStyle w:val="Compact"/>
            </w:pPr>
            <w:r>
              <w:t xml:space="preserve">Model developments</w:t>
            </w:r>
          </w:p>
        </w:tc>
      </w:tr>
      <w:tr>
        <w:tc>
          <w:tcPr/>
          <w:p>
            <w:pPr>
              <w:pStyle w:val="Compact"/>
            </w:pPr>
            <w:hyperlink r:id="rId69">
              <w:r>
                <w:rPr>
                  <w:rStyle w:val="Hyperlink"/>
                </w:rPr>
                <w:t xml:space="preserve">Paper 01a</w:t>
              </w:r>
            </w:hyperlink>
          </w:p>
        </w:tc>
        <w:tc>
          <w:tcPr/>
          <w:p>
            <w:pPr>
              <w:pStyle w:val="Compact"/>
            </w:pPr>
            <w:r>
              <w:t xml:space="preserve">Far North model selectivity</w:t>
            </w:r>
          </w:p>
        </w:tc>
      </w:tr>
      <w:tr>
        <w:tc>
          <w:tcPr/>
          <w:p>
            <w:pPr>
              <w:pStyle w:val="Compact"/>
            </w:pPr>
            <w:hyperlink r:id="rId70">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71">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2">
              <w:r>
                <w:rPr>
                  <w:rStyle w:val="Hyperlink"/>
                </w:rPr>
                <w:t xml:space="preserve">Paper 04</w:t>
              </w:r>
            </w:hyperlink>
          </w:p>
        </w:tc>
        <w:tc>
          <w:tcPr/>
          <w:p>
            <w:pPr>
              <w:pStyle w:val="Compact"/>
            </w:pPr>
            <w:r>
              <w:t xml:space="preserve">MSE flow</w:t>
            </w:r>
          </w:p>
        </w:tc>
      </w:tr>
      <w:tr>
        <w:tc>
          <w:tcPr/>
          <w:p>
            <w:pPr>
              <w:pStyle w:val="Compact"/>
            </w:pPr>
            <w:hyperlink r:id="rId73">
              <w:r>
                <w:rPr>
                  <w:rStyle w:val="Hyperlink"/>
                </w:rPr>
                <w:t xml:space="preserve">Paper 05</w:t>
              </w:r>
            </w:hyperlink>
          </w:p>
        </w:tc>
        <w:tc>
          <w:tcPr/>
          <w:p>
            <w:pPr>
              <w:pStyle w:val="Compact"/>
            </w:pPr>
            <w:r>
              <w:t xml:space="preserve">Chile harvest-control-rule proposals</w:t>
            </w:r>
          </w:p>
        </w:tc>
      </w:tr>
      <w:tr>
        <w:tc>
          <w:tcPr/>
          <w:p>
            <w:pPr>
              <w:pStyle w:val="Compact"/>
            </w:pPr>
            <w:hyperlink r:id="rId74">
              <w:r>
                <w:rPr>
                  <w:rStyle w:val="Hyperlink"/>
                </w:rPr>
                <w:t xml:space="preserve">Paper 06</w:t>
              </w:r>
            </w:hyperlink>
          </w:p>
        </w:tc>
        <w:tc>
          <w:tcPr/>
          <w:p>
            <w:pPr>
              <w:pStyle w:val="Compact"/>
            </w:pPr>
            <w:r>
              <w:t xml:space="preserve">Evaluation of indices for CMP considerations</w:t>
            </w:r>
          </w:p>
        </w:tc>
      </w:tr>
      <w:tr>
        <w:tc>
          <w:tcPr/>
          <w:p>
            <w:pPr>
              <w:pStyle w:val="Compact"/>
            </w:pPr>
            <w:hyperlink r:id="rId75">
              <w:r>
                <w:rPr>
                  <w:rStyle w:val="Hyperlink"/>
                </w:rPr>
                <w:t xml:space="preserve">Paper 07</w:t>
              </w:r>
            </w:hyperlink>
          </w:p>
        </w:tc>
        <w:tc>
          <w:tcPr/>
          <w:p>
            <w:pPr>
              <w:pStyle w:val="Compact"/>
            </w:pPr>
            <w:r>
              <w:t xml:space="preserve">Projection evaluations</w:t>
            </w:r>
          </w:p>
        </w:tc>
      </w:tr>
    </w:tbl>
    <w:bookmarkEnd w:id="76"/>
    <w:bookmarkStart w:id="79" w:name="Xb9aa851defa400ff4d28650dfe7d983101a6615"/>
    <w:p>
      <w:pPr>
        <w:pStyle w:val="Heading1"/>
      </w:pPr>
      <w:r>
        <w:t xml:space="preserve">Appendix D. Comments from External Experts</w:t>
      </w:r>
    </w:p>
    <w:bookmarkStart w:id="77"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bookmarkEnd w:id="77"/>
    <w:bookmarkStart w:id="78" w:name="david-miller-and-rosana-ourens"/>
    <w:p>
      <w:pPr>
        <w:pStyle w:val="Heading2"/>
      </w:pPr>
      <w:r>
        <w:t xml:space="preserve">David Miller and Rosana Ourens</w:t>
      </w:r>
    </w:p>
    <w:p>
      <w:pPr>
        <w:pStyle w:val="FirstParagraph"/>
      </w:pPr>
      <w:r>
        <w:t xml:space="preserve">The meeting made solid progress in agreeing on operating models, performance indicators, and exploring management procedures. The process could have benefited from more stages where specific items were locked down to allow discussion to move forward with better focus. For example, upfront agreement on the baseline assessment and reference points in advance of the MSE workshop would have helped focus discussion on MSE development and avoid repeating discussions.</w:t>
      </w:r>
    </w:p>
    <w:p>
      <w:pPr>
        <w:pStyle w:val="BodyText"/>
      </w:pPr>
      <w:r>
        <w:rPr>
          <w:b/>
          <w:bCs/>
        </w:rPr>
        <w:t xml:space="preserve">Operating Models</w:t>
      </w:r>
      <w:r>
        <w:t xml:space="preserve">:</w:t>
      </w:r>
      <w:r>
        <w:t xml:space="preserve"> </w:t>
      </w:r>
      <w:r>
        <w:t xml:space="preserve">The recent benchmark assessment provides a strong, now agreed-upon basis for conditioning the base-case OM for the MSE. The consensus to tune the management procedures primarily on this single base case, with potential tuning to the two-stock model OM, is a reasonable and practical simplification. The other alternative OMs provide a good range for robustness testing and cover the most important uncertainties around the stock, such as different stock-recruitment steepness, potential changes in fishing selectivity, and possible impacts of ENSO events. An approach for stress-testing MPs for inherent climate robustness was presented that could be considered in future.</w:t>
      </w:r>
    </w:p>
    <w:p>
      <w:pPr>
        <w:pStyle w:val="BodyText"/>
      </w:pPr>
      <w:r>
        <w:rPr>
          <w:b/>
          <w:bCs/>
        </w:rPr>
        <w:t xml:space="preserve">Performance Indicators</w:t>
      </w:r>
      <w:r>
        <w:t xml:space="preserve">:</w:t>
      </w:r>
      <w:r>
        <w:t xml:space="preserve"> </w:t>
      </w:r>
      <w:r>
        <w:t xml:space="preserve">The performance statistics were refined to ensure clear interpretation of the trade-offs between alternative MPs. Utilizing dynamic reference points is a sensible way to account for highly variable recruitment periods, ensuring that the probability of Kobe green metric remains meaningful during projections. Incorporating input from the stakeholder survey was useful, bridging the current gap between scientific preferences and actual industry objectives. The performance framework will place significant weight on both short- and long-term catch levels, biomass, catch stability, and related metrics. Other indicators, such as the proportion of simulated iterations that experience a stock crash and the number of times TAC-change limits are encountered, allow for a good examination of the behaviour and performance of MPs.</w:t>
      </w:r>
    </w:p>
    <w:p>
      <w:pPr>
        <w:pStyle w:val="BodyText"/>
      </w:pPr>
      <w:r>
        <w:rPr>
          <w:b/>
          <w:bCs/>
        </w:rPr>
        <w:t xml:space="preserve">Management Procedures</w:t>
      </w:r>
      <w:r>
        <w:t xml:space="preserve">:</w:t>
      </w:r>
      <w:r>
        <w:t xml:space="preserve"> </w:t>
      </w:r>
      <w:r>
        <w:t xml:space="preserve">The design of MPs to be tested could have benefited from stakeholder input. Nevertheless, the working group made a strong effort to test harvest-control rules with different shapes and trade-offs. For this exercise, it was very useful to have exploratory runs to compare outputs. Using a simple, empirical, index-based harvest rule is preferable to more complex assessment model-based approaches. Including SPiCT to combine multiple indices in the loop is probably an unnecessary addition. Because these empirical rules rely so heavily on field data, ensuring that the observation-error model accurately captures the historical cross-correlation among multiple indices is considered an essential technical priority. Exploring different combinations of indices for use in the MP will be useful. In initial testing, the simple constant-harvest-rate approach demonstrated favourable properties, including an ability to recover the stock effectively even under a recruitment-collapse scenario.</w:t>
      </w:r>
    </w:p>
    <w:p>
      <w:pPr>
        <w:pStyle w:val="BodyText"/>
      </w:pPr>
      <w:r>
        <w:rPr>
          <w:b/>
          <w:bCs/>
        </w:rPr>
        <w:t xml:space="preserve">Exceptional Circumstances</w:t>
      </w:r>
      <w:r>
        <w:t xml:space="preserve">:</w:t>
      </w:r>
      <w:r>
        <w:t xml:space="preserve"> </w:t>
      </w:r>
      <w:r>
        <w:t xml:space="preserve">With current indicators suggesting 2026 will likely be a year of low indices and difficult catches, establishing a formal, pre-agreed framework for exceptional circumstances should be a priority. As presented by Tom Carruthers, exceptional-circumstances triggers could be defined by analyzing MSE failure states and identifying the data bounds that lead to problematic outcomes.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6">
    <w:nsid w:val="0A994166"/>
    <w:multiLevelType w:val="multilevel"/>
    <w:lvl w:ilvl="0">
      <w:start w:val="66"/>
      <w:numFmt w:val="decimal"/>
      <w:lvlText w:val="%1."/>
      <w:lvlJc w:val="left"/>
      <w:pPr>
        <w:ind w:left="720" w:hanging="360"/>
      </w:pPr>
    </w:lvl>
    <w:lvl w:ilvl="1">
      <w:start w:val="66"/>
      <w:numFmt w:val="decimal"/>
      <w:lvlText w:val="%2."/>
      <w:lvlJc w:val="left"/>
      <w:pPr>
        <w:ind w:left="1440" w:hanging="360"/>
      </w:pPr>
    </w:lvl>
    <w:lvl w:ilvl="2">
      <w:start w:val="66"/>
      <w:numFmt w:val="decimal"/>
      <w:lvlText w:val="%3."/>
      <w:lvlJc w:val="left"/>
      <w:pPr>
        <w:ind w:left="2160" w:hanging="360"/>
      </w:pPr>
    </w:lvl>
    <w:lvl w:ilvl="3">
      <w:start w:val="66"/>
      <w:numFmt w:val="decimal"/>
      <w:lvlText w:val="%4."/>
      <w:lvlJc w:val="left"/>
      <w:pPr>
        <w:ind w:left="2880" w:hanging="360"/>
      </w:pPr>
    </w:lvl>
    <w:lvl w:ilvl="4">
      <w:start w:val="66"/>
      <w:numFmt w:val="decimal"/>
      <w:lvlText w:val="%5."/>
      <w:lvlJc w:val="left"/>
      <w:pPr>
        <w:ind w:left="3600" w:hanging="360"/>
      </w:pPr>
    </w:lvl>
    <w:lvl w:ilvl="5">
      <w:start w:val="66"/>
      <w:numFmt w:val="decimal"/>
      <w:lvlText w:val="%6."/>
      <w:lvlJc w:val="left"/>
      <w:pPr>
        <w:ind w:left="4320" w:hanging="360"/>
      </w:pPr>
    </w:lvl>
    <w:lvl w:ilvl="6">
      <w:start w:val="66"/>
      <w:numFmt w:val="decimal"/>
      <w:lvlText w:val="%7."/>
      <w:lvlJc w:val="left"/>
      <w:pPr>
        <w:ind w:left="5040" w:hanging="360"/>
      </w:pPr>
    </w:lvl>
    <w:lvl w:ilvl="7">
      <w:start w:val="66"/>
      <w:numFmt w:val="decimal"/>
      <w:lvlText w:val="%8."/>
      <w:lvlJc w:val="left"/>
      <w:pPr>
        <w:ind w:left="5760" w:hanging="360"/>
      </w:pPr>
    </w:lvl>
    <w:lvl w:ilvl="8">
      <w:start w:val="66"/>
      <w:numFmt w:val="decimal"/>
      <w:lvlText w:val="%9."/>
      <w:lvlJc w:val="left"/>
      <w:pPr>
        <w:ind w:left="6480" w:hanging="360"/>
      </w:pPr>
    </w:lvl>
  </w:abstractNum>
  <w:abstractNum w:abstractNumId="994168">
    <w:nsid w:val="0A994168"/>
    <w:multiLevelType w:val="multilevel"/>
    <w:lvl w:ilvl="0">
      <w:start w:val="68"/>
      <w:numFmt w:val="decimal"/>
      <w:lvlText w:val="%1."/>
      <w:lvlJc w:val="left"/>
      <w:pPr>
        <w:ind w:left="720" w:hanging="360"/>
      </w:pPr>
    </w:lvl>
    <w:lvl w:ilvl="1">
      <w:start w:val="68"/>
      <w:numFmt w:val="decimal"/>
      <w:lvlText w:val="%2."/>
      <w:lvlJc w:val="left"/>
      <w:pPr>
        <w:ind w:left="1440" w:hanging="360"/>
      </w:pPr>
    </w:lvl>
    <w:lvl w:ilvl="2">
      <w:start w:val="68"/>
      <w:numFmt w:val="decimal"/>
      <w:lvlText w:val="%3."/>
      <w:lvlJc w:val="left"/>
      <w:pPr>
        <w:ind w:left="2160" w:hanging="360"/>
      </w:pPr>
    </w:lvl>
    <w:lvl w:ilvl="3">
      <w:start w:val="68"/>
      <w:numFmt w:val="decimal"/>
      <w:lvlText w:val="%4."/>
      <w:lvlJc w:val="left"/>
      <w:pPr>
        <w:ind w:left="2880" w:hanging="360"/>
      </w:pPr>
    </w:lvl>
    <w:lvl w:ilvl="4">
      <w:start w:val="68"/>
      <w:numFmt w:val="decimal"/>
      <w:lvlText w:val="%5."/>
      <w:lvlJc w:val="left"/>
      <w:pPr>
        <w:ind w:left="3600" w:hanging="360"/>
      </w:pPr>
    </w:lvl>
    <w:lvl w:ilvl="5">
      <w:start w:val="68"/>
      <w:numFmt w:val="decimal"/>
      <w:lvlText w:val="%6."/>
      <w:lvlJc w:val="left"/>
      <w:pPr>
        <w:ind w:left="4320" w:hanging="360"/>
      </w:pPr>
    </w:lvl>
    <w:lvl w:ilvl="6">
      <w:start w:val="68"/>
      <w:numFmt w:val="decimal"/>
      <w:lvlText w:val="%7."/>
      <w:lvlJc w:val="left"/>
      <w:pPr>
        <w:ind w:left="5040" w:hanging="360"/>
      </w:pPr>
    </w:lvl>
    <w:lvl w:ilvl="7">
      <w:start w:val="68"/>
      <w:numFmt w:val="decimal"/>
      <w:lvlText w:val="%8."/>
      <w:lvlJc w:val="left"/>
      <w:pPr>
        <w:ind w:left="5760" w:hanging="360"/>
      </w:pPr>
    </w:lvl>
    <w:lvl w:ilvl="8">
      <w:start w:val="6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1"/>
  </w:num>
  <w:num w:numId="100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1">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2">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13">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1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5">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16">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17">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18">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19">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020">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12" Target="media/rId12.jp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68" Target="SCW17-Paper-01-ModelDevelopments.html" TargetMode="External" /><Relationship Type="http://schemas.openxmlformats.org/officeDocument/2006/relationships/hyperlink" Id="rId69" Target="SCW17-Paper-01a-Far-North-Model-Selectivity.html" TargetMode="External" /><Relationship Type="http://schemas.openxmlformats.org/officeDocument/2006/relationships/hyperlink" Id="rId70" Target="SCW17-Paper-02-ReferencePoints.html" TargetMode="External" /><Relationship Type="http://schemas.openxmlformats.org/officeDocument/2006/relationships/hyperlink" Id="rId71" Target="SCW17-Paper-03-Management-Procedures-Inventory.html" TargetMode="External" /><Relationship Type="http://schemas.openxmlformats.org/officeDocument/2006/relationships/hyperlink" Id="rId72" Target="SCW17-Paper-04-MSE-Flow.html" TargetMode="External" /><Relationship Type="http://schemas.openxmlformats.org/officeDocument/2006/relationships/hyperlink" Id="rId73" Target="SCW17-Paper-05-Chile-HCR-Proposals.html" TargetMode="External" /><Relationship Type="http://schemas.openxmlformats.org/officeDocument/2006/relationships/hyperlink" Id="rId74" Target="SCW17-Paper-06-Evaluation-of-indices-for-MP-considerations.html" TargetMode="External" /><Relationship Type="http://schemas.openxmlformats.org/officeDocument/2006/relationships/hyperlink" Id="rId75"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7"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 Type="http://schemas.openxmlformats.org/officeDocument/2006/relationships/hyperlink" Id="rId63" Target="https://www.sprfmo.int/assets/Meetings/Meetings-2013-plus/Commission-Meetings/2nd-Commission-Meeting-2014-Manta-Ecuador/Annex-K-Proposed-Jack-Mackerel-Rebuilding-Plan.pdf" TargetMode="External" /></Relationships>
</file>

<file path=word/_rels/footnotes.xml.rels><?xml version="1.0" encoding="UTF-8"?><Relationships xmlns="http://schemas.openxmlformats.org/package/2006/relationships"><Relationship Type="http://schemas.openxmlformats.org/officeDocument/2006/relationships/hyperlink" Id="rId68" Target="SCW17-Paper-01-ModelDevelopments.html" TargetMode="External" /><Relationship Type="http://schemas.openxmlformats.org/officeDocument/2006/relationships/hyperlink" Id="rId69" Target="SCW17-Paper-01a-Far-North-Model-Selectivity.html" TargetMode="External" /><Relationship Type="http://schemas.openxmlformats.org/officeDocument/2006/relationships/hyperlink" Id="rId70" Target="SCW17-Paper-02-ReferencePoints.html" TargetMode="External" /><Relationship Type="http://schemas.openxmlformats.org/officeDocument/2006/relationships/hyperlink" Id="rId71" Target="SCW17-Paper-03-Management-Procedures-Inventory.html" TargetMode="External" /><Relationship Type="http://schemas.openxmlformats.org/officeDocument/2006/relationships/hyperlink" Id="rId72" Target="SCW17-Paper-04-MSE-Flow.html" TargetMode="External" /><Relationship Type="http://schemas.openxmlformats.org/officeDocument/2006/relationships/hyperlink" Id="rId73" Target="SCW17-Paper-05-Chile-HCR-Proposals.html" TargetMode="External" /><Relationship Type="http://schemas.openxmlformats.org/officeDocument/2006/relationships/hyperlink" Id="rId74" Target="SCW17-Paper-06-Evaluation-of-indices-for-MP-considerations.html" TargetMode="External" /><Relationship Type="http://schemas.openxmlformats.org/officeDocument/2006/relationships/hyperlink" Id="rId75"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7"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 Type="http://schemas.openxmlformats.org/officeDocument/2006/relationships/hyperlink" Id="rId63" Target="https://www.sprfmo.int/assets/Meetings/Meetings-2013-plus/Commission-Meetings/2nd-Commission-Meeting-2014-Manta-Ecuador/Annex-K-Proposed-Jack-Mackerel-Rebuilding-Pl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2026-07-08T04:25:25Z</dcterms:created>
  <dcterms:modified xsi:type="dcterms:W3CDTF">2026-07-08T04:25:25Z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2026-07-07</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