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0.png" ContentType="image/png"/>
  <Override PartName="/word/media/rId32.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2026-06-19</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19 June 2026 12:48 CEST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bookmarkStart w:id="15" w:name="summary"/>
    <w:p>
      <w:pPr>
        <w:pStyle w:val="Heading1"/>
      </w:pPr>
      <w:r>
        <w:t xml:space="preserve">Summary</w:t>
      </w:r>
    </w:p>
    <w:p>
      <w:pPr>
        <w:numPr>
          <w:ilvl w:val="0"/>
          <w:numId w:val="1001"/>
        </w:numPr>
      </w:pPr>
      <w:r>
        <w:t xml:space="preserve">This report summarizes the current state of the 2026 Jack Mackerel Working Group Management Strategy Evaluation (MSE) workshop report, held in Wageningen, the Netherlands. The workshop continued the MSE programme advanced at SCW15 and focused on preparing operating models (OMs), candidate management procedures (CMPs), performance metrics,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alternatives or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use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The report records that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to identify data patterns associated with poor CMP performance, compare type I and type II error rates, and support a transparent process for determining whether observations fall outside the range of conditions represented in the MSE.</w:t>
      </w:r>
    </w:p>
    <w:bookmarkStart w:id="14" w:name="recommendations-and-conclusions"/>
    <w:p>
      <w:pPr>
        <w:pStyle w:val="Heading2"/>
      </w:pPr>
      <w:r>
        <w:t xml:space="preserve">Recommendations and Conclusions</w:t>
      </w:r>
    </w:p>
    <w:p>
      <w:pPr>
        <w:pStyle w:val="FirstParagraph"/>
      </w:pPr>
      <w:r>
        <w:t xml:space="preserve">The following recommendations and conclusions were identified for the summary of events:</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SC12 was retained as a robustness test. The 0.65 steepness OM and 0.8 steepness OM were weighted equally in the final performance statistics.</w:t>
      </w:r>
    </w:p>
    <w:p>
      <w:pPr>
        <w:pStyle w:val="Compact"/>
        <w:numPr>
          <w:ilvl w:val="0"/>
          <w:numId w:val="1002"/>
        </w:numPr>
      </w:pPr>
      <w:r>
        <w:rPr>
          <w:b/>
          <w:bCs/>
        </w:rPr>
        <w:t xml:space="preserve">OM conditioning:</w:t>
      </w:r>
      <w:r>
        <w:t xml:space="preserve"> </w:t>
      </w:r>
      <w:r>
        <w:t xml:space="preserve">The group included autocorrelation in recruitment deviations and cross-correlation between index deviations. A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on the basis of OM constant-F forecasts. Biomass status was defined as biomass relative to dynamic B</w:t>
      </w:r>
      <w:r>
        <w:rPr>
          <w:vertAlign w:val="subscript"/>
        </w:rPr>
        <w:t xml:space="preserve">0</w:t>
      </w:r>
      <w:r>
        <w:t xml:space="preserve">.</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expectations were accounted for through performance statistics on catches below 270 thousand tonnes per year. TAC caps of -15% and +20% were tested, with mirrored scenarios also included.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recruitment impacts and was considered sufficient for addressing ENSO-related impacts on the stock at this stage.</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further work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The group had not yet selected a smaller set of priority statistics.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4"/>
    <w:bookmarkEnd w:id="15"/>
    <w:bookmarkStart w:id="16"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6"/>
    <w:bookmarkStart w:id="19" w:name="developments-since-the-benchmark"/>
    <w:p>
      <w:pPr>
        <w:pStyle w:val="Heading1"/>
      </w:pPr>
      <w:r>
        <w:t xml:space="preserve">Developments Since the Benchmark</w:t>
      </w:r>
    </w:p>
    <w:bookmarkStart w:id="17"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17"/>
    <w:bookmarkStart w:id="18"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 and noted that naive merging of components should be avoided.</w:t>
      </w:r>
    </w:p>
    <w:p>
      <w:pPr>
        <w:numPr>
          <w:ilvl w:val="0"/>
          <w:numId w:val="1007"/>
        </w:numPr>
      </w:pPr>
      <w:r>
        <w:t xml:space="preserve">The two-stock configurations showed somewhat different MCMC behaviour but remained usable for comparison. The group noted that structurally divergent OMs are harder to tune jointly and require careful communication if they are included in the reference or robustness set.</w:t>
      </w:r>
    </w:p>
    <w:bookmarkEnd w:id="18"/>
    <w:bookmarkEnd w:id="19"/>
    <w:bookmarkStart w:id="25" w:name="operating-model-specifications"/>
    <w:p>
      <w:pPr>
        <w:pStyle w:val="Heading1"/>
      </w:pPr>
      <w:r>
        <w:t xml:space="preserve">Operating-Model Specifications</w:t>
      </w:r>
    </w:p>
    <w:bookmarkStart w:id="20"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On combining multiple indices in empirical rules, the group agreed that weighting by representativity was more appropriate than weighting by catch.</w:t>
      </w:r>
    </w:p>
    <w:bookmarkEnd w:id="20"/>
    <w:bookmarkStart w:id="21" w:name="operating-model-reference-set"/>
    <w:p>
      <w:pPr>
        <w:pStyle w:val="Heading2"/>
      </w:pPr>
      <w:r>
        <w:t xml:space="preserve">Operating-Model Reference Set</w:t>
      </w:r>
    </w:p>
    <w:p>
      <w:pPr>
        <w:numPr>
          <w:ilvl w:val="0"/>
          <w:numId w:val="1009"/>
        </w:numPr>
      </w:pPr>
      <w:r>
        <w:t xml:space="preserve">The composition of the OM reference set was debated, including the implications of model 0.00 as an optimistic high-biomass, low-exploitation outcome that could affect CMP tuning and communication. The practical approach was to focus immediate tuning work on model 0.16, while retaining model 0.00 and the SC13-era configuration as clearly labelled alternatives or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p>
      <w:pPr>
        <w:numPr>
          <w:ilvl w:val="0"/>
          <w:numId w:val="1009"/>
        </w:numPr>
      </w:pPr>
      <w:r>
        <w:t xml:space="preserve">The group discussed using cross-correlation among indices to simulate future recruitment deviations. Participants noted that historical correlations are approximate because the series include changes in catchability and selectivity, whereas the projection settings use the more recent period. Residual autocorrelation should also be represented where possible.</w:t>
      </w:r>
    </w:p>
    <w:p>
      <w:pPr>
        <w:numPr>
          <w:ilvl w:val="0"/>
          <w:numId w:val="1009"/>
        </w:numPr>
      </w:pPr>
      <w:r>
        <w:t xml:space="preserve">The group agreed to implement an approximate treatment rather than attempting a fully specified multivariate autocorrelated time-series model. The practical check is whether simulated deviations are consistent with the historical period and suitable for testing CMPs.</w:t>
      </w:r>
    </w:p>
    <w:bookmarkEnd w:id="21"/>
    <w:bookmarkStart w:id="22"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potentially through resampling high- and low-productivity historical periods, rather than as an integral component of the reference simulations.</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2"/>
    <w:bookmarkStart w:id="24"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1.14,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3"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3"/>
        </w:tc>
      </w:tr>
    </w:tbl>
    <w:bookmarkEnd w:id="24"/>
    <w:bookmarkEnd w:id="25"/>
    <w:bookmarkStart w:id="37"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and evaluating whether these constraints still allow the CMP to respond quickly enough to low-recruitment events. The group favored piecewise-linear terminology for these rules, while retaining existing code labels where needed.</w:t>
      </w:r>
    </w:p>
    <w:p>
      <w:pPr>
        <w:numPr>
          <w:ilvl w:val="0"/>
          <w:numId w:val="1012"/>
        </w:numPr>
      </w:pPr>
      <w:r>
        <w:t xml:space="preserve">There was also discussion of which indices should feed CMPs. The initial rules used a small set of indices, but participants discussed adding or comparing additional indices, including acoustic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29" w:name="fig-cmp-reference-base-tuning"/>
          <w:p>
            <w:pPr>
              <w:pStyle w:val="Compact"/>
              <w:jc w:val="center"/>
            </w:pPr>
            <w:r>
              <w:drawing>
                <wp:inline>
                  <wp:extent cx="5334000" cy="3048000"/>
                  <wp:effectExtent b="0" l="0" r="0" t="0"/>
                  <wp:docPr descr="" title="" id="27" name="Picture"/>
                  <a:graphic>
                    <a:graphicData uri="http://schemas.openxmlformats.org/drawingml/2006/picture">
                      <pic:pic>
                        <pic:nvPicPr>
                          <pic:cNvPr descr="figures/cmp-reference-base-tuning.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29"/>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P(kg)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Chile-requested variants with a 270 thousand tonne minimum catch, an asymmetric TAC-change constraint, and a special Chile-shape variant (</w:t>
      </w:r>
      <w:hyperlink w:anchor="tbl-cmp-second-set">
        <w:r>
          <w:rPr>
            <w:rStyle w:val="Hyperlink"/>
          </w:rPr>
          <w:t xml:space="preserve">Table 3</w:t>
        </w:r>
      </w:hyperlink>
      <w:r>
        <w:t xml:space="preserve">). This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0"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5" w:name="fig-hcr-faceted"/>
          <w:p>
            <w:pPr>
              <w:pStyle w:val="Compact"/>
              <w:jc w:val="center"/>
            </w:pPr>
            <w:r>
              <w:drawing>
                <wp:inline>
                  <wp:extent cx="5334000" cy="4267200"/>
                  <wp:effectExtent b="0" l="0" r="0" t="0"/>
                  <wp:docPr descr="" title="" id="33" name="Picture"/>
                  <a:graphic>
                    <a:graphicData uri="http://schemas.openxmlformats.org/drawingml/2006/picture">
                      <pic:pic>
                        <pic:nvPicPr>
                          <pic:cNvPr descr="SCW17-MSE-Workshop-report_files/figure-docx/fig-hcr-faceted-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5"/>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6">
        <w:r>
          <w:rPr>
            <w:rStyle w:val="Hyperlink"/>
          </w:rPr>
          <w:t xml:space="preserve">SCW17/Paper-09: CMP test instructions</w:t>
        </w:r>
      </w:hyperlink>
      <w:r>
        <w:t xml:space="preserve">.</w:t>
      </w:r>
    </w:p>
    <w:bookmarkEnd w:id="37"/>
    <w:bookmarkStart w:id="49" w:name="Xf14104c8b0128a6d0b4aafde13bfb9db0923d6b"/>
    <w:p>
      <w:pPr>
        <w:pStyle w:val="Heading1"/>
      </w:pPr>
      <w:r>
        <w:t xml:space="preserve">Trade-offs, Robustness, and Performance Metrics</w:t>
      </w:r>
    </w:p>
    <w:bookmarkStart w:id="39"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38">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39"/>
    <w:bookmarkStart w:id="40"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p>
    <w:bookmarkEnd w:id="40"/>
    <w:bookmarkStart w:id="43"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1">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2">
        <w:r>
          <w:rPr>
            <w:rStyle w:val="Hyperlink"/>
          </w:rPr>
          <w:t xml:space="preserve">https://shiny.bluematterscience.com/app/slick</w:t>
        </w:r>
      </w:hyperlink>
      <w:r>
        <w:t xml:space="preserve">; the preliminary jack mackerel Slick object can be uploaded there for interactive review.</w:t>
      </w:r>
    </w:p>
    <w:bookmarkEnd w:id="43"/>
    <w:bookmarkStart w:id="48"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47" w:name="fig-ecp-preliminary"/>
          <w:p>
            <w:pPr>
              <w:pStyle w:val="Compact"/>
              <w:jc w:val="center"/>
            </w:pPr>
            <w:r>
              <w:drawing>
                <wp:inline>
                  <wp:extent cx="5334000" cy="3012578"/>
                  <wp:effectExtent b="0" l="0" r="0" t="0"/>
                  <wp:docPr descr="" title="" id="45" name="Picture"/>
                  <a:graphic>
                    <a:graphicData uri="http://schemas.openxmlformats.org/drawingml/2006/picture">
                      <pic:pic>
                        <pic:nvPicPr>
                          <pic:cNvPr descr="figures/ecp-preliminary-screenshot.png" id="46" name="Picture"/>
                          <pic:cNvPicPr>
                            <a:picLocks noChangeArrowheads="1" noChangeAspect="1"/>
                          </pic:cNvPicPr>
                        </pic:nvPicPr>
                        <pic:blipFill>
                          <a:blip r:embed="rId44"/>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47"/>
        </w:tc>
      </w:tr>
    </w:tbl>
    <w:bookmarkEnd w:id="48"/>
    <w:bookmarkEnd w:id="49"/>
    <w:bookmarkStart w:id="51"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1.14,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0"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0"/>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1"/>
    <w:bookmarkStart w:id="59" w:name="references"/>
    <w:p>
      <w:pPr>
        <w:pStyle w:val="Heading1"/>
      </w:pPr>
      <w:r>
        <w:t xml:space="preserve">References</w:t>
      </w:r>
    </w:p>
    <w:p>
      <w:pPr>
        <w:pStyle w:val="Compact"/>
        <w:numPr>
          <w:ilvl w:val="0"/>
          <w:numId w:val="1022"/>
        </w:numPr>
      </w:pPr>
      <w:r>
        <w:t xml:space="preserve">SPRFMO. 2025. Report of the Management Strategy Evaluation Workshop (SCW15), 14-18 July 2025.</w:t>
      </w:r>
      <w:r>
        <w:t xml:space="preserve"> </w:t>
      </w:r>
      <w:hyperlink r:id="rId52">
        <w:r>
          <w:rPr>
            <w:rStyle w:val="Hyperlink"/>
          </w:rPr>
          <w:t xml:space="preserve">https://sprfmo.github.io/SCW15_report/</w:t>
        </w:r>
      </w:hyperlink>
    </w:p>
    <w:p>
      <w:pPr>
        <w:pStyle w:val="Compact"/>
        <w:numPr>
          <w:ilvl w:val="0"/>
          <w:numId w:val="1022"/>
        </w:numPr>
      </w:pPr>
      <w:r>
        <w:t xml:space="preserve">SPRFMO. 2026. JMWG Benchmark Meeting Report 2026, 18-22 May 2026, Lima.</w:t>
      </w:r>
      <w:r>
        <w:t xml:space="preserve"> </w:t>
      </w:r>
      <w:hyperlink r:id="rId53">
        <w:r>
          <w:rPr>
            <w:rStyle w:val="Hyperlink"/>
          </w:rPr>
          <w:t xml:space="preserve">https://sprfmo.github.io/JM_SCW_prep/JMWG-Benchmark-Meeting-report-2026.html</w:t>
        </w:r>
      </w:hyperlink>
    </w:p>
    <w:p>
      <w:pPr>
        <w:pStyle w:val="Compact"/>
        <w:numPr>
          <w:ilvl w:val="0"/>
          <w:numId w:val="1022"/>
        </w:numPr>
      </w:pPr>
      <w:r>
        <w:t xml:space="preserve">SPRFMO. 2026. SCW17 working documents.</w:t>
      </w:r>
      <w:r>
        <w:t xml:space="preserve"> </w:t>
      </w:r>
      <w:hyperlink r:id="rId54">
        <w:r>
          <w:rPr>
            <w:rStyle w:val="Hyperlink"/>
          </w:rPr>
          <w:t xml:space="preserve">https://sprfmo.github.io/scw17/</w:t>
        </w:r>
      </w:hyperlink>
    </w:p>
    <w:p>
      <w:pPr>
        <w:pStyle w:val="Compact"/>
        <w:numPr>
          <w:ilvl w:val="0"/>
          <w:numId w:val="1022"/>
        </w:numPr>
      </w:pPr>
      <w:r>
        <w:t xml:space="preserve">Carruthers, T. R. 2024a. Developing the Climate Test: Robustness Trials for Climate-Ready Management Procedures. SCRS/2024/104. Collect. Vol. Sci. Pap. ICCAT, 81(6): 1-26.</w:t>
      </w:r>
      <w:r>
        <w:t xml:space="preserve"> </w:t>
      </w:r>
      <w:hyperlink r:id="rId55">
        <w:r>
          <w:rPr>
            <w:rStyle w:val="Hyperlink"/>
          </w:rPr>
          <w:t xml:space="preserve">https://www.iccat.int/Documents/CVSP/CV081_2024/n_6/CV08106104.pdf</w:t>
        </w:r>
      </w:hyperlink>
    </w:p>
    <w:p>
      <w:pPr>
        <w:pStyle w:val="Compact"/>
        <w:numPr>
          <w:ilvl w:val="0"/>
          <w:numId w:val="1022"/>
        </w:numPr>
      </w:pPr>
      <w:r>
        <w:t xml:space="preserve">Carruthers, T. R. 2024b. Developing the Climate Test: Performance Metrics of Climate Robustness. SCRS/2024/148. Collect. Vol. Sci. Pap. ICCAT, 81(2): 1-7.</w:t>
      </w:r>
      <w:r>
        <w:t xml:space="preserve"> </w:t>
      </w:r>
      <w:hyperlink r:id="rId56">
        <w:r>
          <w:rPr>
            <w:rStyle w:val="Hyperlink"/>
          </w:rPr>
          <w:t xml:space="preserve">https://www.iccat.int/Documents/CVSP/CV081_2024/n_2/CV08102148.pdf</w:t>
        </w:r>
      </w:hyperlink>
    </w:p>
    <w:p>
      <w:pPr>
        <w:pStyle w:val="Compact"/>
        <w:numPr>
          <w:ilvl w:val="0"/>
          <w:numId w:val="1022"/>
        </w:numPr>
      </w:pPr>
      <w:r>
        <w:t xml:space="preserve">Carruthers, T. 2026. Developing the Climate Test: Climate Robustness as an Attribute of Management Procedures. Presentation to the SPRFMO Jack Mackerel MSE Workshop, 15 June 2026.</w:t>
      </w:r>
    </w:p>
    <w:p>
      <w:pPr>
        <w:pStyle w:val="Compact"/>
        <w:numPr>
          <w:ilvl w:val="0"/>
          <w:numId w:val="1022"/>
        </w:numPr>
      </w:pPr>
      <w:r>
        <w:t xml:space="preserve">Blue Matter Science. 2026a. ECP: Exceptional Circumstances Protocols for Adopted Management Procedures. R Shiny application.</w:t>
      </w:r>
      <w:r>
        <w:t xml:space="preserve"> </w:t>
      </w:r>
      <w:hyperlink r:id="rId57">
        <w:r>
          <w:rPr>
            <w:rStyle w:val="Hyperlink"/>
          </w:rPr>
          <w:t xml:space="preserve">https://shiny.bluematterscience.com/</w:t>
        </w:r>
      </w:hyperlink>
    </w:p>
    <w:p>
      <w:pPr>
        <w:pStyle w:val="Compact"/>
        <w:numPr>
          <w:ilvl w:val="0"/>
          <w:numId w:val="1022"/>
        </w:numPr>
      </w:pPr>
      <w:r>
        <w:t xml:space="preserve">Blue Matter Science. 2026b. Slick: Interactive Visualization of MSE Results. R package and Shiny application.</w:t>
      </w:r>
      <w:r>
        <w:t xml:space="preserve"> </w:t>
      </w:r>
      <w:hyperlink r:id="rId58">
        <w:r>
          <w:rPr>
            <w:rStyle w:val="Hyperlink"/>
          </w:rPr>
          <w:t xml:space="preserve">https://slick.bluematterscience.com/</w:t>
        </w:r>
      </w:hyperlink>
    </w:p>
    <w:p>
      <w:pPr>
        <w:pStyle w:val="Compact"/>
        <w:numPr>
          <w:ilvl w:val="0"/>
          <w:numId w:val="1022"/>
        </w:numPr>
      </w:pPr>
      <w:r>
        <w:t xml:space="preserve">Annex K. Original jack mackerel management procedure.</w:t>
      </w:r>
    </w:p>
    <w:bookmarkEnd w:id="59"/>
    <w:bookmarkStart w:id="63" w:name="appendix-a.-participants"/>
    <w:p>
      <w:pPr>
        <w:pStyle w:val="Heading1"/>
      </w:pPr>
      <w:r>
        <w:t xml:space="preserve">Appendix A. Participants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Verification needed</w:t>
            </w:r>
          </w:p>
        </w:tc>
      </w:tr>
      <w:tr>
        <w:trPr>
          <w:cantSplit/>
        </w:trPr>
        <w:tc>
          <w:tcPr>
            <w:tcMar>
              <w:top w:w="108" w:type="dxa"/>
              <w:bottom w:w="108" w:type="dxa"/>
            </w:tcMar>
          </w:tcPr>
          <w:p>
            <w:pPr>
              <w:pStyle w:val="BodyText"/>
            </w:pPr>
            <w:pPr>
              <w:spacing w:before="16" w:after="16"/>
            </w:pPr>
            <w:r>
              <w:t xml:space="preserve">Names and affiliations below are reconstructed from the Day 1 summary and should be confirmed before submission.</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r>
              <w:t xml:space="preserve">Role</w:t>
            </w:r>
          </w:p>
        </w:tc>
      </w:tr>
      <w:tr>
        <w:tc>
          <w:tcPr/>
          <w:p>
            <w:pPr>
              <w:pStyle w:val="Compact"/>
            </w:pPr>
            <w:r>
              <w:t xml:space="preserve">Jim Ianelli</w:t>
            </w:r>
          </w:p>
        </w:tc>
        <w:tc>
          <w:tcPr/>
          <w:p>
            <w:pPr>
              <w:pStyle w:val="Compact"/>
            </w:pPr>
            <w:r>
              <w:t xml:space="preserve">NOAA Fisheries (USA)</w:t>
            </w:r>
          </w:p>
        </w:tc>
        <w:tc>
          <w:tcPr/>
          <w:p>
            <w:pPr>
              <w:pStyle w:val="Compact"/>
            </w:pPr>
            <w:r>
              <w:t xml:space="preserve">Chair / coordinator</w:t>
            </w:r>
          </w:p>
        </w:tc>
      </w:tr>
      <w:tr>
        <w:tc>
          <w:tcPr/>
          <w:p>
            <w:pPr>
              <w:pStyle w:val="Compact"/>
            </w:pPr>
            <w:r>
              <w:t xml:space="preserve">Niels Hintzen</w:t>
            </w:r>
          </w:p>
        </w:tc>
        <w:tc>
          <w:tcPr/>
          <w:p>
            <w:pPr>
              <w:pStyle w:val="Compact"/>
            </w:pPr>
            <w:r>
              <w:t xml:space="preserve">PFA (EU delegation)</w:t>
            </w:r>
          </w:p>
        </w:tc>
        <w:tc>
          <w:tcPr/>
          <w:p>
            <w:pPr>
              <w:pStyle w:val="Compact"/>
            </w:pPr>
            <w:r>
              <w:t xml:space="preserve">Local organizer / rapporteur</w:t>
            </w:r>
          </w:p>
        </w:tc>
      </w:tr>
      <w:tr>
        <w:tc>
          <w:tcPr/>
          <w:p>
            <w:pPr>
              <w:pStyle w:val="Compact"/>
            </w:pPr>
            <w:r>
              <w:t xml:space="preserve">Karolina Molla Gazi</w:t>
            </w:r>
          </w:p>
        </w:tc>
        <w:tc>
          <w:tcPr/>
          <w:p>
            <w:pPr>
              <w:pStyle w:val="Compact"/>
            </w:pPr>
            <w:r>
              <w:t xml:space="preserve">European Union delegation</w:t>
            </w:r>
          </w:p>
        </w:tc>
        <w:tc>
          <w:tcPr/>
          <w:p>
            <w:pPr>
              <w:pStyle w:val="Compact"/>
            </w:pPr>
            <w:r>
              <w:t xml:space="preserve">Member</w:t>
            </w:r>
          </w:p>
        </w:tc>
      </w:tr>
      <w:tr>
        <w:tc>
          <w:tcPr/>
          <w:p>
            <w:pPr>
              <w:pStyle w:val="Compact"/>
            </w:pPr>
            <w:r>
              <w:t xml:space="preserve">Iago Mosqueira</w:t>
            </w:r>
          </w:p>
        </w:tc>
        <w:tc>
          <w:tcPr/>
          <w:p>
            <w:pPr>
              <w:pStyle w:val="Compact"/>
            </w:pPr>
            <w:r>
              <w:t xml:space="preserve">MSE analyst (FLR / openMSE)</w:t>
            </w:r>
          </w:p>
        </w:tc>
        <w:tc>
          <w:tcPr/>
          <w:p>
            <w:pPr>
              <w:pStyle w:val="Compact"/>
            </w:pPr>
            <w:r>
              <w:t xml:space="preserve">Analyst</w:t>
            </w:r>
          </w:p>
        </w:tc>
      </w:tr>
      <w:tr>
        <w:tc>
          <w:tcPr/>
          <w:p>
            <w:pPr>
              <w:pStyle w:val="Compact"/>
            </w:pPr>
            <w:r>
              <w:t xml:space="preserve">Benoit Berges</w:t>
            </w:r>
          </w:p>
        </w:tc>
        <w:tc>
          <w:tcPr/>
          <w:p>
            <w:pPr>
              <w:pStyle w:val="Compact"/>
            </w:pPr>
            <w:r>
              <w:t xml:space="preserve">Wageningen Marine Research</w:t>
            </w:r>
          </w:p>
        </w:tc>
        <w:tc>
          <w:tcPr/>
          <w:p>
            <w:pPr>
              <w:pStyle w:val="Compact"/>
            </w:pPr>
            <w:r>
              <w:t xml:space="preserve">Member</w:t>
            </w:r>
          </w:p>
        </w:tc>
      </w:tr>
      <w:tr>
        <w:tc>
          <w:tcPr/>
          <w:p>
            <w:pPr>
              <w:pStyle w:val="Compact"/>
            </w:pPr>
            <w:r>
              <w:t xml:space="preserve">Ignacio Paya</w:t>
            </w:r>
          </w:p>
        </w:tc>
        <w:tc>
          <w:tcPr/>
          <w:p>
            <w:pPr>
              <w:pStyle w:val="Compact"/>
            </w:pPr>
            <w:r>
              <w:t xml:space="preserve">IFOP (Chile)</w:t>
            </w:r>
          </w:p>
        </w:tc>
        <w:tc>
          <w:tcPr/>
          <w:p>
            <w:pPr>
              <w:pStyle w:val="Compact"/>
            </w:pPr>
            <w:r>
              <w:t xml:space="preserve">Member</w:t>
            </w:r>
          </w:p>
        </w:tc>
      </w:tr>
      <w:tr>
        <w:tc>
          <w:tcPr/>
          <w:p>
            <w:pPr>
              <w:pStyle w:val="Compact"/>
            </w:pPr>
            <w:r>
              <w:t xml:space="preserve">Jose Zenteno</w:t>
            </w:r>
          </w:p>
        </w:tc>
        <w:tc>
          <w:tcPr/>
          <w:p>
            <w:pPr>
              <w:pStyle w:val="Compact"/>
            </w:pPr>
            <w:r>
              <w:t xml:space="preserve">IFOP (Chile)</w:t>
            </w:r>
          </w:p>
        </w:tc>
        <w:tc>
          <w:tcPr/>
          <w:p>
            <w:pPr>
              <w:pStyle w:val="Compact"/>
            </w:pPr>
            <w:r>
              <w:t xml:space="preserve">Member</w:t>
            </w:r>
          </w:p>
        </w:tc>
      </w:tr>
      <w:tr>
        <w:tc>
          <w:tcPr/>
          <w:p>
            <w:pPr>
              <w:pStyle w:val="Compact"/>
            </w:pPr>
            <w:r>
              <w:t xml:space="preserve">Aquiles Sepulveda</w:t>
            </w:r>
          </w:p>
        </w:tc>
        <w:tc>
          <w:tcPr/>
          <w:p>
            <w:pPr>
              <w:pStyle w:val="Compact"/>
            </w:pPr>
            <w:r>
              <w:t xml:space="preserve">INPESCA (Chile)</w:t>
            </w:r>
          </w:p>
        </w:tc>
        <w:tc>
          <w:tcPr/>
          <w:p>
            <w:pPr>
              <w:pStyle w:val="Compact"/>
            </w:pPr>
            <w:r>
              <w:t xml:space="preserve">Member</w:t>
            </w:r>
          </w:p>
        </w:tc>
      </w:tr>
      <w:tr>
        <w:tc>
          <w:tcPr/>
          <w:p>
            <w:pPr>
              <w:pStyle w:val="Compact"/>
            </w:pPr>
            <w:r>
              <w:t xml:space="preserve">Nicole Mermoud</w:t>
            </w:r>
          </w:p>
        </w:tc>
        <w:tc>
          <w:tcPr/>
          <w:p>
            <w:pPr>
              <w:pStyle w:val="Compact"/>
            </w:pPr>
            <w:r>
              <w:t xml:space="preserve">Subsecretaria de Pesca y Acuicultura (Chile)</w:t>
            </w:r>
          </w:p>
        </w:tc>
        <w:tc>
          <w:tcPr/>
          <w:p>
            <w:pPr>
              <w:pStyle w:val="Compact"/>
            </w:pPr>
            <w:r>
              <w:t xml:space="preserve">Head of delegation</w:t>
            </w:r>
          </w:p>
        </w:tc>
      </w:tr>
      <w:tr>
        <w:tc>
          <w:tcPr/>
          <w:p>
            <w:pPr>
              <w:pStyle w:val="Compact"/>
            </w:pPr>
            <w:r>
              <w:t xml:space="preserve">Criscely Lujan</w:t>
            </w:r>
          </w:p>
        </w:tc>
        <w:tc>
          <w:tcPr/>
          <w:p>
            <w:pPr>
              <w:pStyle w:val="Compact"/>
            </w:pPr>
            <w:r>
              <w:t xml:space="preserve">IMARPE (Peru)</w:t>
            </w:r>
          </w:p>
        </w:tc>
        <w:tc>
          <w:tcPr/>
          <w:p>
            <w:pPr>
              <w:pStyle w:val="Compact"/>
            </w:pPr>
            <w:r>
              <w:t xml:space="preserve">Member</w:t>
            </w:r>
          </w:p>
        </w:tc>
      </w:tr>
      <w:tr>
        <w:tc>
          <w:tcPr/>
          <w:p>
            <w:pPr>
              <w:pStyle w:val="Compact"/>
            </w:pPr>
            <w:r>
              <w:t xml:space="preserve">Miriam Geronimo</w:t>
            </w:r>
          </w:p>
        </w:tc>
        <w:tc>
          <w:tcPr/>
          <w:p>
            <w:pPr>
              <w:pStyle w:val="Compact"/>
            </w:pPr>
            <w:r>
              <w:t xml:space="preserve">IMARPE (Peru)</w:t>
            </w:r>
          </w:p>
        </w:tc>
        <w:tc>
          <w:tcPr/>
          <w:p>
            <w:pPr>
              <w:pStyle w:val="Compact"/>
            </w:pPr>
            <w:r>
              <w:t xml:space="preserve">Member</w:t>
            </w:r>
          </w:p>
        </w:tc>
      </w:tr>
      <w:tr>
        <w:tc>
          <w:tcPr/>
          <w:p>
            <w:pPr>
              <w:pStyle w:val="Compact"/>
            </w:pPr>
            <w:r>
              <w:t xml:space="preserve">David Miller</w:t>
            </w:r>
          </w:p>
        </w:tc>
        <w:tc>
          <w:tcPr/>
          <w:p>
            <w:pPr>
              <w:pStyle w:val="Compact"/>
            </w:pPr>
            <w:r>
              <w:t xml:space="preserve">ICES Secretariat</w:t>
            </w:r>
          </w:p>
        </w:tc>
        <w:tc>
          <w:tcPr/>
          <w:p>
            <w:pPr>
              <w:pStyle w:val="Compact"/>
            </w:pPr>
            <w:r>
              <w:t xml:space="preserve">External reviewer</w:t>
            </w:r>
          </w:p>
        </w:tc>
      </w:tr>
      <w:tr>
        <w:tc>
          <w:tcPr/>
          <w:p>
            <w:pPr>
              <w:pStyle w:val="Compact"/>
            </w:pPr>
            <w:r>
              <w:t xml:space="preserve">Rosana Ourens</w:t>
            </w:r>
          </w:p>
        </w:tc>
        <w:tc>
          <w:tcPr/>
          <w:p>
            <w:pPr>
              <w:pStyle w:val="Compact"/>
            </w:pPr>
            <w:r>
              <w:t xml:space="preserve">CEFAS (UK)</w:t>
            </w:r>
          </w:p>
        </w:tc>
        <w:tc>
          <w:tcPr/>
          <w:p>
            <w:pPr>
              <w:pStyle w:val="Compact"/>
            </w:pPr>
            <w:r>
              <w:t xml:space="preserve">External reviewer</w:t>
            </w:r>
          </w:p>
        </w:tc>
      </w:tr>
      <w:tr>
        <w:tc>
          <w:tcPr/>
          <w:p>
            <w:pPr>
              <w:pStyle w:val="Compact"/>
            </w:pPr>
            <w:r>
              <w:t xml:space="preserve">Tom Carruthers</w:t>
            </w:r>
          </w:p>
        </w:tc>
        <w:tc>
          <w:tcPr/>
          <w:p>
            <w:pPr>
              <w:pStyle w:val="Compact"/>
            </w:pPr>
            <w:r>
              <w:t xml:space="preserve">Blue Matter Science</w:t>
            </w:r>
          </w:p>
        </w:tc>
        <w:tc>
          <w:tcPr/>
          <w:p>
            <w:pPr>
              <w:pStyle w:val="Compact"/>
            </w:pPr>
            <w:r>
              <w:t xml:space="preserve">Invited expert</w:t>
            </w:r>
          </w:p>
        </w:tc>
      </w:tr>
      <w:tr>
        <w:tc>
          <w:tcPr/>
          <w:p>
            <w:pPr>
              <w:pStyle w:val="Compact"/>
            </w:pPr>
            <w:r>
              <w:t xml:space="preserve">Ash Wilson</w:t>
            </w:r>
          </w:p>
        </w:tc>
        <w:tc>
          <w:tcPr/>
          <w:p>
            <w:pPr>
              <w:pStyle w:val="Compact"/>
            </w:pPr>
            <w:r>
              <w:t xml:space="preserve">Pew Charitable Trusts</w:t>
            </w:r>
          </w:p>
        </w:tc>
        <w:tc>
          <w:tcPr/>
          <w:p>
            <w:pPr>
              <w:pStyle w:val="Compact"/>
            </w:pPr>
            <w:r>
              <w:t xml:space="preserve">Observer</w:t>
            </w:r>
          </w:p>
        </w:tc>
      </w:tr>
    </w:tbl>
    <w:bookmarkEnd w:id="63"/>
    <w:bookmarkStart w:id="64"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Compact"/>
        <w:numPr>
          <w:ilvl w:val="0"/>
          <w:numId w:val="1023"/>
        </w:numPr>
      </w:pPr>
      <w:r>
        <w:t xml:space="preserve">Developments since the benchmark.</w:t>
      </w:r>
    </w:p>
    <w:p>
      <w:pPr>
        <w:pStyle w:val="Compact"/>
        <w:numPr>
          <w:ilvl w:val="0"/>
          <w:numId w:val="1023"/>
        </w:numPr>
      </w:pPr>
      <w:r>
        <w:t xml:space="preserve">Operating-model specifications.</w:t>
      </w:r>
    </w:p>
    <w:p>
      <w:pPr>
        <w:pStyle w:val="Compact"/>
        <w:numPr>
          <w:ilvl w:val="0"/>
          <w:numId w:val="1023"/>
        </w:numPr>
      </w:pPr>
      <w:r>
        <w:t xml:space="preserve">Candidate management procedures.</w:t>
      </w:r>
    </w:p>
    <w:p>
      <w:pPr>
        <w:pStyle w:val="Compact"/>
        <w:numPr>
          <w:ilvl w:val="0"/>
          <w:numId w:val="1023"/>
        </w:numPr>
      </w:pPr>
      <w:r>
        <w:t xml:space="preserve">Trade-offs, robustness, and performance metrics.</w:t>
      </w:r>
    </w:p>
    <w:p>
      <w:pPr>
        <w:pStyle w:val="Compact"/>
        <w:numPr>
          <w:ilvl w:val="0"/>
          <w:numId w:val="1023"/>
        </w:numPr>
      </w:pPr>
      <w:r>
        <w:t xml:space="preserve">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4"/>
    <w:bookmarkStart w:id="74"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5">
              <w:r>
                <w:rPr>
                  <w:rStyle w:val="Hyperlink"/>
                </w:rPr>
                <w:t xml:space="preserve">Paper 00</w:t>
              </w:r>
            </w:hyperlink>
          </w:p>
        </w:tc>
        <w:tc>
          <w:tcPr/>
          <w:p>
            <w:pPr>
              <w:pStyle w:val="Compact"/>
            </w:pPr>
            <w:r>
              <w:t xml:space="preserve">Agenda and schedule</w:t>
            </w:r>
          </w:p>
        </w:tc>
      </w:tr>
      <w:tr>
        <w:tc>
          <w:tcPr/>
          <w:p>
            <w:pPr>
              <w:pStyle w:val="Compact"/>
            </w:pPr>
            <w:hyperlink r:id="rId66">
              <w:r>
                <w:rPr>
                  <w:rStyle w:val="Hyperlink"/>
                </w:rPr>
                <w:t xml:space="preserve">Paper 01</w:t>
              </w:r>
            </w:hyperlink>
          </w:p>
        </w:tc>
        <w:tc>
          <w:tcPr/>
          <w:p>
            <w:pPr>
              <w:pStyle w:val="Compact"/>
            </w:pPr>
            <w:r>
              <w:t xml:space="preserve">Model developments</w:t>
            </w:r>
          </w:p>
        </w:tc>
      </w:tr>
      <w:tr>
        <w:tc>
          <w:tcPr/>
          <w:p>
            <w:pPr>
              <w:pStyle w:val="Compact"/>
            </w:pPr>
            <w:hyperlink r:id="rId67">
              <w:r>
                <w:rPr>
                  <w:rStyle w:val="Hyperlink"/>
                </w:rPr>
                <w:t xml:space="preserve">Paper 01a</w:t>
              </w:r>
            </w:hyperlink>
          </w:p>
        </w:tc>
        <w:tc>
          <w:tcPr/>
          <w:p>
            <w:pPr>
              <w:pStyle w:val="Compact"/>
            </w:pPr>
            <w:r>
              <w:t xml:space="preserve">Far North model selectivity</w:t>
            </w:r>
          </w:p>
        </w:tc>
      </w:tr>
      <w:tr>
        <w:tc>
          <w:tcPr/>
          <w:p>
            <w:pPr>
              <w:pStyle w:val="Compact"/>
            </w:pPr>
            <w:hyperlink r:id="rId68">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69">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0">
              <w:r>
                <w:rPr>
                  <w:rStyle w:val="Hyperlink"/>
                </w:rPr>
                <w:t xml:space="preserve">Paper 04</w:t>
              </w:r>
            </w:hyperlink>
          </w:p>
        </w:tc>
        <w:tc>
          <w:tcPr/>
          <w:p>
            <w:pPr>
              <w:pStyle w:val="Compact"/>
            </w:pPr>
            <w:r>
              <w:t xml:space="preserve">MSE flow</w:t>
            </w:r>
          </w:p>
        </w:tc>
      </w:tr>
      <w:tr>
        <w:tc>
          <w:tcPr/>
          <w:p>
            <w:pPr>
              <w:pStyle w:val="Compact"/>
            </w:pPr>
            <w:hyperlink r:id="rId71">
              <w:r>
                <w:rPr>
                  <w:rStyle w:val="Hyperlink"/>
                </w:rPr>
                <w:t xml:space="preserve">Paper 05</w:t>
              </w:r>
            </w:hyperlink>
          </w:p>
        </w:tc>
        <w:tc>
          <w:tcPr/>
          <w:p>
            <w:pPr>
              <w:pStyle w:val="Compact"/>
            </w:pPr>
            <w:r>
              <w:t xml:space="preserve">Chile harvest-control-rule proposals</w:t>
            </w:r>
          </w:p>
        </w:tc>
      </w:tr>
      <w:tr>
        <w:tc>
          <w:tcPr/>
          <w:p>
            <w:pPr>
              <w:pStyle w:val="Compact"/>
            </w:pPr>
            <w:hyperlink r:id="rId72">
              <w:r>
                <w:rPr>
                  <w:rStyle w:val="Hyperlink"/>
                </w:rPr>
                <w:t xml:space="preserve">Paper 06</w:t>
              </w:r>
            </w:hyperlink>
          </w:p>
        </w:tc>
        <w:tc>
          <w:tcPr/>
          <w:p>
            <w:pPr>
              <w:pStyle w:val="Compact"/>
            </w:pPr>
            <w:r>
              <w:t xml:space="preserve">Evaluation of indices for CMP considerations</w:t>
            </w:r>
          </w:p>
        </w:tc>
      </w:tr>
      <w:tr>
        <w:tc>
          <w:tcPr/>
          <w:p>
            <w:pPr>
              <w:pStyle w:val="Compact"/>
            </w:pPr>
            <w:hyperlink r:id="rId73">
              <w:r>
                <w:rPr>
                  <w:rStyle w:val="Hyperlink"/>
                </w:rPr>
                <w:t xml:space="preserve">Paper 07</w:t>
              </w:r>
            </w:hyperlink>
          </w:p>
        </w:tc>
        <w:tc>
          <w:tcPr/>
          <w:p>
            <w:pPr>
              <w:pStyle w:val="Compact"/>
            </w:pPr>
            <w:r>
              <w:t xml:space="preserve">Projection evaluations</w:t>
            </w:r>
          </w:p>
        </w:tc>
      </w:tr>
    </w:tbl>
    <w:bookmarkEnd w:id="74"/>
    <w:bookmarkStart w:id="76" w:name="Xb9aa851defa400ff4d28650dfe7d983101a6615"/>
    <w:p>
      <w:pPr>
        <w:pStyle w:val="Heading1"/>
      </w:pPr>
      <w:r>
        <w:t xml:space="preserve">Appendix D. Comments from External Experts</w:t>
      </w:r>
    </w:p>
    <w:bookmarkStart w:id="75"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p>
      <w:pPr>
        <w:pStyle w:val="BodyText"/>
      </w:pPr>
      <w:r>
        <w:rPr>
          <w:i/>
          <w:iCs/>
        </w:rPr>
        <w:t xml:space="preserve">Draft working report - Day 1 of the SCW17 MSE workshop, 15 June 2026. Prepared for review and correction by participants before submission to the SPRFMO Scientific Committee.</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66" Target="SCW17-Paper-01-ModelDevelopments.html" TargetMode="External" /><Relationship Type="http://schemas.openxmlformats.org/officeDocument/2006/relationships/hyperlink" Id="rId67" Target="SCW17-Paper-01a-Far-North-Model-Selectivity.html" TargetMode="External" /><Relationship Type="http://schemas.openxmlformats.org/officeDocument/2006/relationships/hyperlink" Id="rId68" Target="SCW17-Paper-02-ReferencePoints.html" TargetMode="External" /><Relationship Type="http://schemas.openxmlformats.org/officeDocument/2006/relationships/hyperlink" Id="rId69" Target="SCW17-Paper-03-Management-Procedures-Inventory.html" TargetMode="External" /><Relationship Type="http://schemas.openxmlformats.org/officeDocument/2006/relationships/hyperlink" Id="rId70" Target="SCW17-Paper-04-MSE-Flow.html" TargetMode="External" /><Relationship Type="http://schemas.openxmlformats.org/officeDocument/2006/relationships/hyperlink" Id="rId71" Target="SCW17-Paper-05-Chile-HCR-Proposals.html" TargetMode="External" /><Relationship Type="http://schemas.openxmlformats.org/officeDocument/2006/relationships/hyperlink" Id="rId72" Target="SCW17-Paper-06-Evaluation-of-indices-for-MP-considerations.html" TargetMode="External" /><Relationship Type="http://schemas.openxmlformats.org/officeDocument/2006/relationships/hyperlink" Id="rId73"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5"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_rels/footnotes.xml.rels><?xml version="1.0" encoding="UTF-8"?><Relationships xmlns="http://schemas.openxmlformats.org/package/2006/relationships"><Relationship Type="http://schemas.openxmlformats.org/officeDocument/2006/relationships/hyperlink" Id="rId66" Target="SCW17-Paper-01-ModelDevelopments.html" TargetMode="External" /><Relationship Type="http://schemas.openxmlformats.org/officeDocument/2006/relationships/hyperlink" Id="rId67" Target="SCW17-Paper-01a-Far-North-Model-Selectivity.html" TargetMode="External" /><Relationship Type="http://schemas.openxmlformats.org/officeDocument/2006/relationships/hyperlink" Id="rId68" Target="SCW17-Paper-02-ReferencePoints.html" TargetMode="External" /><Relationship Type="http://schemas.openxmlformats.org/officeDocument/2006/relationships/hyperlink" Id="rId69" Target="SCW17-Paper-03-Management-Procedures-Inventory.html" TargetMode="External" /><Relationship Type="http://schemas.openxmlformats.org/officeDocument/2006/relationships/hyperlink" Id="rId70" Target="SCW17-Paper-04-MSE-Flow.html" TargetMode="External" /><Relationship Type="http://schemas.openxmlformats.org/officeDocument/2006/relationships/hyperlink" Id="rId71" Target="SCW17-Paper-05-Chile-HCR-Proposals.html" TargetMode="External" /><Relationship Type="http://schemas.openxmlformats.org/officeDocument/2006/relationships/hyperlink" Id="rId72" Target="SCW17-Paper-06-Evaluation-of-indices-for-MP-considerations.html" TargetMode="External" /><Relationship Type="http://schemas.openxmlformats.org/officeDocument/2006/relationships/hyperlink" Id="rId73"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5"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2026-06-19T10:48:16Z</dcterms:created>
  <dcterms:modified xsi:type="dcterms:W3CDTF">2026-06-19T10:48:16Z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2026-06-19</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