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5.png" ContentType="image/png"/>
  <Override PartName="/word/media/rId12.jpg" ContentType="image/jpeg"/>
  <Override PartName="/word/media/rId2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2026-07-07</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07 July 2026 21:03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p>
      <w:pPr>
        <w:pStyle w:val="CaptionedFigure"/>
      </w:pPr>
      <w:r>
        <w:drawing>
          <wp:inline>
            <wp:extent cx="4107180" cy="2738120"/>
            <wp:effectExtent b="0" l="0" r="0" t="0"/>
            <wp:docPr descr="SCW17 workshop participants outside the Wageningen venue." title="" id="13" name="Picture"/>
            <a:graphic>
              <a:graphicData uri="http://schemas.openxmlformats.org/drawingml/2006/picture">
                <pic:pic>
                  <pic:nvPicPr>
                    <pic:cNvPr descr="assets/scw17-workshop-group-photo.jpeg" id="14" name="Picture"/>
                    <pic:cNvPicPr>
                      <a:picLocks noChangeArrowheads="1" noChangeAspect="1"/>
                    </pic:cNvPicPr>
                  </pic:nvPicPr>
                  <pic:blipFill>
                    <a:blip r:embed="rId12"/>
                    <a:stretch>
                      <a:fillRect/>
                    </a:stretch>
                  </pic:blipFill>
                  <pic:spPr bwMode="auto">
                    <a:xfrm>
                      <a:off x="0" y="0"/>
                      <a:ext cx="4107180" cy="2738120"/>
                    </a:xfrm>
                    <a:prstGeom prst="rect">
                      <a:avLst/>
                    </a:prstGeom>
                    <a:noFill/>
                    <a:ln w="9525">
                      <a:noFill/>
                      <a:headEnd/>
                      <a:tailEnd/>
                    </a:ln>
                  </pic:spPr>
                </pic:pic>
              </a:graphicData>
            </a:graphic>
          </wp:inline>
        </w:drawing>
      </w:r>
    </w:p>
    <w:p>
      <w:pPr>
        <w:pStyle w:val="ImageCaption"/>
      </w:pPr>
      <w:r>
        <w:t xml:space="preserve">SCW17 workshop participants outside the Wageningen venue.</w:t>
      </w:r>
    </w:p>
    <w:bookmarkStart w:id="18"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7"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(labelled 0.00 for SCW17)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based on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7"/>
    <w:bookmarkEnd w:id="18"/>
    <w:bookmarkStart w:id="19"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9"/>
    <w:bookmarkStart w:id="22" w:name="developments-since-the-benchmark"/>
    <w:p>
      <w:pPr>
        <w:pStyle w:val="Heading1"/>
      </w:pPr>
      <w:r>
        <w:t xml:space="preserve">Developments Since the Benchmark</w:t>
      </w:r>
    </w:p>
    <w:bookmarkStart w:id="20"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20"/>
    <w:bookmarkStart w:id="21"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 because effort creep was considered unlikely for this fleet.</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However, careful communication is required if they are included in either the reference set or robustness set.</w:t>
      </w:r>
    </w:p>
    <w:bookmarkEnd w:id="21"/>
    <w:bookmarkEnd w:id="22"/>
    <w:bookmarkStart w:id="28" w:name="operating-model-specifications"/>
    <w:p>
      <w:pPr>
        <w:pStyle w:val="Heading1"/>
      </w:pPr>
      <w:r>
        <w:t xml:space="preserve">Operating-Model Specifications</w:t>
      </w:r>
    </w:p>
    <w:bookmarkStart w:id="23"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catch proportions or index variance is available as an option and was discussed but not agreed. Smoothing of the indices was explored, but was not found to improve CMP performance.</w:t>
      </w:r>
    </w:p>
    <w:bookmarkEnd w:id="23"/>
    <w:bookmarkStart w:id="24" w:name="operating-model-reference-set"/>
    <w:p>
      <w:pPr>
        <w:pStyle w:val="Heading2"/>
      </w:pPr>
      <w:r>
        <w:t xml:space="preserve">Operating-Model Reference Set</w:t>
      </w:r>
    </w:p>
    <w:p>
      <w:pPr>
        <w:pStyle w:val="Compact"/>
        <w:numPr>
          <w:ilvl w:val="0"/>
          <w:numId w:val="1009"/>
        </w:numPr>
      </w:pPr>
      <w:r>
        <w:t xml:space="preserve">The composition of the OM reference set was debated, including the implications of model 0.00 as an optimistic high-biomass, low-exploitation outcome that could affect CMP tuning and communication. The practical and agreed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bookmarkEnd w:id="24"/>
    <w:bookmarkStart w:id="25"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5"/>
    <w:bookmarkStart w:id="27"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0.00,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6"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6"/>
        </w:tc>
      </w:tr>
    </w:tbl>
    <w:bookmarkEnd w:id="27"/>
    <w:bookmarkEnd w:id="28"/>
    <w:bookmarkStart w:id="40"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 Banking and borrowing of TAC was also raised, but the group considered it a sensitivity to be examined for the final CMP set rather than a mechanism that should feed back into the harvest-control rule itself.</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32" w:name="fig-cmp-reference-base-tuning"/>
          <w:p>
            <w:pPr>
              <w:pStyle w:val="Compact"/>
              <w:jc w:val="center"/>
            </w:pPr>
            <w:r>
              <w:drawing>
                <wp:inline>
                  <wp:extent cx="5334000" cy="3048000"/>
                  <wp:effectExtent b="0" l="0" r="0" t="0"/>
                  <wp:docPr descr="" title="" id="30" name="Picture"/>
                  <a:graphic>
                    <a:graphicData uri="http://schemas.openxmlformats.org/drawingml/2006/picture">
                      <pic:pic>
                        <pic:nvPicPr>
                          <pic:cNvPr descr="figures/cmp-reference-base-tuning.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32"/>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 In this context the group considered a cap of roughly three times current effort to be a plausible upper bound on attainable fishing effort.</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3"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8" w:name="fig-hcr-faceted"/>
          <w:p>
            <w:pPr>
              <w:pStyle w:val="Compact"/>
              <w:jc w:val="center"/>
            </w:pPr>
            <w:r>
              <w:drawing>
                <wp:inline>
                  <wp:extent cx="5334000" cy="4267200"/>
                  <wp:effectExtent b="0" l="0" r="0" t="0"/>
                  <wp:docPr descr="" title="" id="36" name="Picture"/>
                  <a:graphic>
                    <a:graphicData uri="http://schemas.openxmlformats.org/drawingml/2006/picture">
                      <pic:pic>
                        <pic:nvPicPr>
                          <pic:cNvPr descr="SCW17-MSE-Workshop-report_files/figure-docx/fig-hcr-faceted-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8"/>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9">
        <w:r>
          <w:rPr>
            <w:rStyle w:val="Hyperlink"/>
          </w:rPr>
          <w:t xml:space="preserve">SCW17/Paper-09: CMP test instructions</w:t>
        </w:r>
      </w:hyperlink>
      <w:r>
        <w:t xml:space="preserve">.</w:t>
      </w:r>
    </w:p>
    <w:bookmarkEnd w:id="40"/>
    <w:bookmarkStart w:id="52" w:name="Xf14104c8b0128a6d0b4aafde13bfb9db0923d6b"/>
    <w:p>
      <w:pPr>
        <w:pStyle w:val="Heading1"/>
      </w:pPr>
      <w:r>
        <w:t xml:space="preserve">Trade-offs, Robustness, and Performance Metrics</w:t>
      </w:r>
    </w:p>
    <w:bookmarkStart w:id="42"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41">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42"/>
    <w:bookmarkStart w:id="43"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r>
        <w:t xml:space="preserve"> </w:t>
      </w:r>
      <w:r>
        <w:t xml:space="preserve">For the present trials, CMPs were tuned on the h1_0.16 reference OM and then evaluated against h2_0.16, with the expectation that a CMP tuned on h1_0.16 should retain an acceptable probability of being in the Kobe-green zone under h2_0.16.</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r>
        <w:t xml:space="preserve"> </w:t>
      </w:r>
      <w:r>
        <w:t xml:space="preserve">The group agreed on a broad list of performance statistics spanning safety, yield, and stability across short- and long-term periods. While all statistics will be computed and reported, the group narrowed the headline table to six key metrics to keep Scientific Committee review focused, with the remaining statistics retained as supporting diagnostics.</w:t>
      </w:r>
    </w:p>
    <w:bookmarkEnd w:id="43"/>
    <w:bookmarkStart w:id="46"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4">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5">
        <w:r>
          <w:rPr>
            <w:rStyle w:val="Hyperlink"/>
          </w:rPr>
          <w:t xml:space="preserve">https://shiny.bluematterscience.com/app/slick</w:t>
        </w:r>
      </w:hyperlink>
      <w:r>
        <w:t xml:space="preserve">; the preliminary jack mackerel Slick object can be uploaded there for interactive review.</w:t>
      </w:r>
    </w:p>
    <w:bookmarkEnd w:id="46"/>
    <w:bookmarkStart w:id="51"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50" w:name="fig-ecp-preliminary"/>
          <w:p>
            <w:pPr>
              <w:pStyle w:val="Compact"/>
              <w:jc w:val="center"/>
            </w:pPr>
            <w:r>
              <w:drawing>
                <wp:inline>
                  <wp:extent cx="5334000" cy="3012578"/>
                  <wp:effectExtent b="0" l="0" r="0" t="0"/>
                  <wp:docPr descr="" title="" id="48" name="Picture"/>
                  <a:graphic>
                    <a:graphicData uri="http://schemas.openxmlformats.org/drawingml/2006/picture">
                      <pic:pic>
                        <pic:nvPicPr>
                          <pic:cNvPr descr="figures/ecp-preliminary-screenshot.png" id="49" name="Picture"/>
                          <pic:cNvPicPr>
                            <a:picLocks noChangeArrowheads="1" noChangeAspect="1"/>
                          </pic:cNvPicPr>
                        </pic:nvPicPr>
                        <pic:blipFill>
                          <a:blip r:embed="rId47"/>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50"/>
        </w:tc>
      </w:tr>
    </w:tbl>
    <w:bookmarkEnd w:id="51"/>
    <w:bookmarkEnd w:id="52"/>
    <w:bookmarkStart w:id="54"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0.00,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3"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3"/>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4"/>
    <w:bookmarkStart w:id="64" w:name="references"/>
    <w:p>
      <w:pPr>
        <w:pStyle w:val="Heading1"/>
      </w:pPr>
      <w:r>
        <w:t xml:space="preserve">References</w:t>
      </w:r>
    </w:p>
    <w:p>
      <w:pPr>
        <w:pStyle w:val="FirstParagraph"/>
      </w:pPr>
      <w:r>
        <w:t xml:space="preserve">SPRFMO. 2025. Report of the Management Strategy Evaluation Workshop (SCW15), 14-18 July 2025.</w:t>
      </w:r>
      <w:r>
        <w:t xml:space="preserve"> </w:t>
      </w:r>
      <w:hyperlink r:id="rId55">
        <w:r>
          <w:rPr>
            <w:rStyle w:val="Hyperlink"/>
          </w:rPr>
          <w:t xml:space="preserve">https://sprfmo.github.io/SCW15_report/</w:t>
        </w:r>
      </w:hyperlink>
    </w:p>
    <w:p>
      <w:pPr>
        <w:pStyle w:val="BodyText"/>
      </w:pPr>
      <w:r>
        <w:t xml:space="preserve">SPRFMO. 2026. JMWG Benchmark Meeting Report 2026, 18-22 May 2026, Lima.</w:t>
      </w:r>
      <w:r>
        <w:t xml:space="preserve"> </w:t>
      </w:r>
      <w:hyperlink r:id="rId56">
        <w:r>
          <w:rPr>
            <w:rStyle w:val="Hyperlink"/>
          </w:rPr>
          <w:t xml:space="preserve">https://sprfmo.github.io/JM_SCW_prep/JMWG-Benchmark-Meeting-report-2026.html</w:t>
        </w:r>
      </w:hyperlink>
    </w:p>
    <w:p>
      <w:pPr>
        <w:pStyle w:val="BodyText"/>
      </w:pPr>
      <w:r>
        <w:t xml:space="preserve">SPRFMO. 2026. SCW17 working documents.</w:t>
      </w:r>
      <w:r>
        <w:t xml:space="preserve"> </w:t>
      </w:r>
      <w:hyperlink r:id="rId57">
        <w:r>
          <w:rPr>
            <w:rStyle w:val="Hyperlink"/>
          </w:rPr>
          <w:t xml:space="preserve">https://sprfmo.github.io/scw17/</w:t>
        </w:r>
      </w:hyperlink>
    </w:p>
    <w:p>
      <w:pPr>
        <w:pStyle w:val="BodyText"/>
      </w:pPr>
      <w:r>
        <w:t xml:space="preserve">Carruthers, T. R. 2024a. Developing the Climate Test: Robustness Trials for Climate-Ready Management Procedures. SCRS/2024/104. Collect. Vol. Sci. Pap. ICCAT, 81(6): 1-26.</w:t>
      </w:r>
      <w:r>
        <w:t xml:space="preserve"> </w:t>
      </w:r>
      <w:hyperlink r:id="rId58">
        <w:r>
          <w:rPr>
            <w:rStyle w:val="Hyperlink"/>
          </w:rPr>
          <w:t xml:space="preserve">https://www.iccat.int/Documents/CVSP/CV081_2024/n_6/CV08106104.pdf</w:t>
        </w:r>
      </w:hyperlink>
    </w:p>
    <w:p>
      <w:pPr>
        <w:pStyle w:val="BodyText"/>
      </w:pPr>
      <w:r>
        <w:t xml:space="preserve">Carruthers, T. R. 2024b. Developing the Climate Test: Performance Metrics of Climate Robustness. SCRS/2024/148. Collect. Vol. Sci. Pap. ICCAT, 81(2): 1-7.</w:t>
      </w:r>
      <w:r>
        <w:t xml:space="preserve"> </w:t>
      </w:r>
      <w:hyperlink r:id="rId59">
        <w:r>
          <w:rPr>
            <w:rStyle w:val="Hyperlink"/>
          </w:rPr>
          <w:t xml:space="preserve">https://www.iccat.int/Documents/CVSP/CV081_2024/n_2/CV08102148.pdf</w:t>
        </w:r>
      </w:hyperlink>
    </w:p>
    <w:p>
      <w:pPr>
        <w:pStyle w:val="BodyText"/>
      </w:pPr>
      <w:r>
        <w:t xml:space="preserve">Carruthers, T. 2026. Developing the Climate Test: Climate Robustness as an Attribute of Management Procedures. Presentation to the SPRFMO Jack Mackerel MSE Workshop, 15 June 2026.</w:t>
      </w:r>
    </w:p>
    <w:p>
      <w:pPr>
        <w:pStyle w:val="BodyText"/>
      </w:pPr>
      <w:r>
        <w:t xml:space="preserve">Blue Matter Science. 2026a. ECP: Exceptional Circumstances Protocols for Adopted Management Procedures. R Shiny application.</w:t>
      </w:r>
      <w:r>
        <w:t xml:space="preserve"> </w:t>
      </w:r>
      <w:hyperlink r:id="rId60">
        <w:r>
          <w:rPr>
            <w:rStyle w:val="Hyperlink"/>
          </w:rPr>
          <w:t xml:space="preserve">https://shiny.bluematterscience.com/</w:t>
        </w:r>
      </w:hyperlink>
    </w:p>
    <w:p>
      <w:pPr>
        <w:pStyle w:val="BodyText"/>
      </w:pPr>
      <w:r>
        <w:t xml:space="preserve">Blue Matter Science. 2026b. Slick: Interactive Visualization of MSE Results. R package and Shiny application.</w:t>
      </w:r>
      <w:r>
        <w:t xml:space="preserve"> </w:t>
      </w:r>
      <w:hyperlink r:id="rId61">
        <w:r>
          <w:rPr>
            <w:rStyle w:val="Hyperlink"/>
          </w:rPr>
          <w:t xml:space="preserve">https://slick.bluematterscience.com/</w:t>
        </w:r>
      </w:hyperlink>
    </w:p>
    <w:p>
      <w:pPr>
        <w:pStyle w:val="BodyText"/>
      </w:pPr>
      <w:r>
        <w:t xml:space="preserve">Blue Matter Science. 2026c. ECP: Exceptional Circumstances Protocols for Adopted Management Procedures. Source code repository.</w:t>
      </w:r>
      <w:r>
        <w:t xml:space="preserve"> </w:t>
      </w:r>
      <w:hyperlink r:id="rId62">
        <w:r>
          <w:rPr>
            <w:rStyle w:val="Hyperlink"/>
          </w:rPr>
          <w:t xml:space="preserve">https://github.com/Blue-Matter/ECP.git</w:t>
        </w:r>
      </w:hyperlink>
    </w:p>
    <w:p>
      <w:pPr>
        <w:pStyle w:val="BodyText"/>
      </w:pPr>
      <w:r>
        <w:t xml:space="preserve">Annex K. Original jack mackerel management procedure.</w:t>
      </w:r>
      <w:r>
        <w:t xml:space="preserve"> </w:t>
      </w:r>
      <w:hyperlink r:id="rId63">
        <w:r>
          <w:rPr>
            <w:rStyle w:val="Hyperlink"/>
          </w:rPr>
          <w:t xml:space="preserve">https://www.sprfmo.int/assets/Meetings/Meetings-2013-plus/Commission-Meetings/2nd-Commission-Meeting-2014-Manta-Ecuador/Annex-K-Proposed-Jack-Mackerel-Rebuilding-Plan.pdf</w:t>
        </w:r>
      </w:hyperlink>
    </w:p>
    <w:bookmarkEnd w:id="64"/>
    <w:bookmarkStart w:id="65" w:name="appendix-a.-participants"/>
    <w:p>
      <w:pPr>
        <w:pStyle w:val="Heading1"/>
      </w:pPr>
      <w:r>
        <w:t xml:space="preserve">Appendix A.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5"/>
    <w:bookmarkStart w:id="66"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BodyText"/>
      </w:pPr>
      <w:r>
        <w:t xml:space="preserve">1. Developments since the benchmark.</w:t>
      </w:r>
      <w:r>
        <w:br/>
      </w:r>
      <w:r>
        <w:t xml:space="preserve">2. Operating-model specifications.</w:t>
      </w:r>
      <w:r>
        <w:br/>
      </w:r>
      <w:r>
        <w:t xml:space="preserve">3. Candidate management procedures.</w:t>
      </w:r>
      <w:r>
        <w:br/>
      </w:r>
      <w:r>
        <w:t xml:space="preserve">4. Trade-offs, robustness, and performance metrics.</w:t>
      </w:r>
      <w:r>
        <w:br/>
      </w:r>
      <w:r>
        <w:t xml:space="preserve">5. 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6"/>
    <w:bookmarkStart w:id="76"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7">
              <w:r>
                <w:rPr>
                  <w:rStyle w:val="Hyperlink"/>
                </w:rPr>
                <w:t xml:space="preserve">Paper 00</w:t>
              </w:r>
            </w:hyperlink>
          </w:p>
        </w:tc>
        <w:tc>
          <w:tcPr/>
          <w:p>
            <w:pPr>
              <w:pStyle w:val="Compact"/>
            </w:pPr>
            <w:r>
              <w:t xml:space="preserve">Agenda and schedule</w:t>
            </w:r>
          </w:p>
        </w:tc>
      </w:tr>
      <w:tr>
        <w:tc>
          <w:tcPr/>
          <w:p>
            <w:pPr>
              <w:pStyle w:val="Compact"/>
            </w:pPr>
            <w:hyperlink r:id="rId68">
              <w:r>
                <w:rPr>
                  <w:rStyle w:val="Hyperlink"/>
                </w:rPr>
                <w:t xml:space="preserve">Paper 01</w:t>
              </w:r>
            </w:hyperlink>
          </w:p>
        </w:tc>
        <w:tc>
          <w:tcPr/>
          <w:p>
            <w:pPr>
              <w:pStyle w:val="Compact"/>
            </w:pPr>
            <w:r>
              <w:t xml:space="preserve">Model developments</w:t>
            </w:r>
          </w:p>
        </w:tc>
      </w:tr>
      <w:tr>
        <w:tc>
          <w:tcPr/>
          <w:p>
            <w:pPr>
              <w:pStyle w:val="Compact"/>
            </w:pPr>
            <w:hyperlink r:id="rId69">
              <w:r>
                <w:rPr>
                  <w:rStyle w:val="Hyperlink"/>
                </w:rPr>
                <w:t xml:space="preserve">Paper 01a</w:t>
              </w:r>
            </w:hyperlink>
          </w:p>
        </w:tc>
        <w:tc>
          <w:tcPr/>
          <w:p>
            <w:pPr>
              <w:pStyle w:val="Compact"/>
            </w:pPr>
            <w:r>
              <w:t xml:space="preserve">Far North model selectivity</w:t>
            </w:r>
          </w:p>
        </w:tc>
      </w:tr>
      <w:tr>
        <w:tc>
          <w:tcPr/>
          <w:p>
            <w:pPr>
              <w:pStyle w:val="Compact"/>
            </w:pPr>
            <w:hyperlink r:id="rId70">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1">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2">
              <w:r>
                <w:rPr>
                  <w:rStyle w:val="Hyperlink"/>
                </w:rPr>
                <w:t xml:space="preserve">Paper 04</w:t>
              </w:r>
            </w:hyperlink>
          </w:p>
        </w:tc>
        <w:tc>
          <w:tcPr/>
          <w:p>
            <w:pPr>
              <w:pStyle w:val="Compact"/>
            </w:pPr>
            <w:r>
              <w:t xml:space="preserve">MSE flow</w:t>
            </w:r>
          </w:p>
        </w:tc>
      </w:tr>
      <w:tr>
        <w:tc>
          <w:tcPr/>
          <w:p>
            <w:pPr>
              <w:pStyle w:val="Compact"/>
            </w:pPr>
            <w:hyperlink r:id="rId73">
              <w:r>
                <w:rPr>
                  <w:rStyle w:val="Hyperlink"/>
                </w:rPr>
                <w:t xml:space="preserve">Paper 05</w:t>
              </w:r>
            </w:hyperlink>
          </w:p>
        </w:tc>
        <w:tc>
          <w:tcPr/>
          <w:p>
            <w:pPr>
              <w:pStyle w:val="Compact"/>
            </w:pPr>
            <w:r>
              <w:t xml:space="preserve">Chile harvest-control-rule proposals</w:t>
            </w:r>
          </w:p>
        </w:tc>
      </w:tr>
      <w:tr>
        <w:tc>
          <w:tcPr/>
          <w:p>
            <w:pPr>
              <w:pStyle w:val="Compact"/>
            </w:pPr>
            <w:hyperlink r:id="rId74">
              <w:r>
                <w:rPr>
                  <w:rStyle w:val="Hyperlink"/>
                </w:rPr>
                <w:t xml:space="preserve">Paper 06</w:t>
              </w:r>
            </w:hyperlink>
          </w:p>
        </w:tc>
        <w:tc>
          <w:tcPr/>
          <w:p>
            <w:pPr>
              <w:pStyle w:val="Compact"/>
            </w:pPr>
            <w:r>
              <w:t xml:space="preserve">Evaluation of indices for CMP considerations</w:t>
            </w:r>
          </w:p>
        </w:tc>
      </w:tr>
      <w:tr>
        <w:tc>
          <w:tcPr/>
          <w:p>
            <w:pPr>
              <w:pStyle w:val="Compact"/>
            </w:pPr>
            <w:hyperlink r:id="rId75">
              <w:r>
                <w:rPr>
                  <w:rStyle w:val="Hyperlink"/>
                </w:rPr>
                <w:t xml:space="preserve">Paper 07</w:t>
              </w:r>
            </w:hyperlink>
          </w:p>
        </w:tc>
        <w:tc>
          <w:tcPr/>
          <w:p>
            <w:pPr>
              <w:pStyle w:val="Compact"/>
            </w:pPr>
            <w:r>
              <w:t xml:space="preserve">Projection evaluations</w:t>
            </w:r>
          </w:p>
        </w:tc>
      </w:tr>
    </w:tbl>
    <w:bookmarkEnd w:id="76"/>
    <w:bookmarkStart w:id="83" w:name="Xb9aa851defa400ff4d28650dfe7d983101a6615"/>
    <w:p>
      <w:pPr>
        <w:pStyle w:val="Heading1"/>
      </w:pPr>
      <w:r>
        <w:t xml:space="preserve">Appendix D. Comments from External Experts</w:t>
      </w:r>
    </w:p>
    <w:bookmarkStart w:id="77"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7"/>
    <w:bookmarkStart w:id="82"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78"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78"/>
    <w:bookmarkStart w:id="79"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79"/>
    <w:bookmarkStart w:id="80"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80"/>
    <w:bookmarkStart w:id="81"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1"/>
  </w:num>
  <w:num w:numId="10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1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1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1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7">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18">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19">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2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2" Target="media/rId12.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_rels/footnotes.xml.rels><?xml version="1.0" encoding="UTF-8"?><Relationships xmlns="http://schemas.openxmlformats.org/package/2006/relationships"><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2026-07-08T04:03:43Z</dcterms:created>
  <dcterms:modified xsi:type="dcterms:W3CDTF">2026-07-08T04:03:43Z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2026-07-07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