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D16A1" w14:textId="77777777" w:rsidR="004344B4" w:rsidRDefault="00E73DAA">
      <w:pPr>
        <w:pStyle w:val="Title"/>
      </w:pPr>
      <w:r>
        <w:t>TG-05 — Pre-Wageningen Final Preparation</w:t>
      </w:r>
    </w:p>
    <w:p w14:paraId="3F0A0058" w14:textId="77777777" w:rsidR="004344B4" w:rsidRDefault="00E73DAA">
      <w:pPr>
        <w:pStyle w:val="Author"/>
      </w:pPr>
      <w:r>
        <w:t>J. Ianelli, JMWG Chair</w:t>
      </w:r>
    </w:p>
    <w:p w14:paraId="1B282762" w14:textId="7EF671AA" w:rsidR="004344B4" w:rsidRDefault="00E73DAA" w:rsidP="00600ECF">
      <w:pPr>
        <w:pStyle w:val="Date"/>
      </w:pPr>
      <w:r>
        <w:t>11 June 2026</w:t>
      </w:r>
    </w:p>
    <w:p w14:paraId="6E7BA6A7" w14:textId="35DF3576" w:rsidR="004344B4" w:rsidRDefault="00E73DAA">
      <w:pPr>
        <w:pStyle w:val="Heading1"/>
      </w:pPr>
      <w:bookmarkStart w:id="0" w:name="tg-05-pre-wageningen-final-preparation"/>
      <w:bookmarkStart w:id="1" w:name="_Toc231418313"/>
      <w:r>
        <w:t>Pre-Wageningen Final Preparation</w:t>
      </w:r>
      <w:bookmarkEnd w:id="0"/>
      <w:bookmarkEnd w:id="1"/>
    </w:p>
    <w:p w14:paraId="18B53C85" w14:textId="77777777" w:rsidR="004344B4" w:rsidRDefault="00E73DAA">
      <w:pPr>
        <w:pStyle w:val="FirstParagraph"/>
      </w:pPr>
      <w:r>
        <w:rPr>
          <w:b/>
        </w:rPr>
        <w:t>Date:</w:t>
      </w:r>
      <w:r>
        <w:t xml:space="preserve"> </w:t>
      </w:r>
      <w:r>
        <w:t xml:space="preserve">Thursday, 11 June 2026, 15:00–16:30 CEST (90 min) </w:t>
      </w:r>
      <w:r>
        <w:rPr>
          <w:b/>
        </w:rPr>
        <w:t>Mode:</w:t>
      </w:r>
      <w:r>
        <w:t xml:space="preserve"> Zoom / Teams (online) </w:t>
      </w:r>
      <w:r>
        <w:rPr>
          <w:b/>
        </w:rPr>
        <w:t>Chair:</w:t>
      </w:r>
      <w:r>
        <w:t xml:space="preserve"> J. Ianelli </w:t>
      </w:r>
      <w:r>
        <w:rPr>
          <w:b/>
        </w:rPr>
        <w:t>Purpose:</w:t>
      </w:r>
      <w:r>
        <w:t xml:space="preserve"> Close all open items before the Wageningen MSE workshop (15–19 June). No new MPs, no new metrics, no new OM axes after this call.</w:t>
      </w:r>
    </w:p>
    <w:p w14:paraId="7BDF8AB6" w14:textId="77777777" w:rsidR="004344B4" w:rsidRDefault="00E73DAA">
      <w:r>
        <w:rPr>
          <w:noProof/>
        </w:rPr>
        <w:pict w14:anchorId="3648F47E">
          <v:rect id="_x0000_i1030" alt="" style="width:468pt;height:.05pt;mso-width-percent:0;mso-height-percent:0;mso-width-percent:0;mso-height-percent:0" o:hralign="center" o:hrstd="t" o:hr="t"/>
        </w:pict>
      </w:r>
    </w:p>
    <w:p w14:paraId="49D9647F" w14:textId="77777777" w:rsidR="004344B4" w:rsidRDefault="00E73DAA">
      <w:pPr>
        <w:pStyle w:val="Heading2"/>
      </w:pPr>
      <w:bookmarkStart w:id="2" w:name="agenda-90-minutes-strict-time-boxes"/>
      <w:bookmarkStart w:id="3" w:name="_Toc231418314"/>
      <w:r>
        <w:t>1. Agenda (90 minutes, strict time-boxes)</w:t>
      </w:r>
      <w:bookmarkEnd w:id="2"/>
      <w:bookmarkEnd w:id="3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009"/>
        <w:gridCol w:w="4913"/>
        <w:gridCol w:w="1184"/>
        <w:gridCol w:w="2254"/>
      </w:tblGrid>
      <w:tr w:rsidR="004344B4" w14:paraId="319A6CB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F14A0F" w14:textId="77777777" w:rsidR="004344B4" w:rsidRDefault="00E73DAA">
            <w:pPr>
              <w:pStyle w:val="Compact"/>
            </w:pPr>
            <w:r>
              <w:t>Time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AB2E6D5" w14:textId="77777777" w:rsidR="004344B4" w:rsidRDefault="00E73DAA">
            <w:pPr>
              <w:pStyle w:val="Compact"/>
            </w:pPr>
            <w:r>
              <w:t>Item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C4E5ADC" w14:textId="77777777" w:rsidR="004344B4" w:rsidRDefault="00E73DAA">
            <w:pPr>
              <w:pStyle w:val="Compact"/>
            </w:pPr>
            <w:r>
              <w:t>Owner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5008FD2" w14:textId="77777777" w:rsidR="004344B4" w:rsidRDefault="00E73DAA">
            <w:pPr>
              <w:pStyle w:val="Compact"/>
            </w:pPr>
            <w:r>
              <w:t>Output</w:t>
            </w:r>
          </w:p>
        </w:tc>
      </w:tr>
      <w:tr w:rsidR="004344B4" w14:paraId="4AEB0686" w14:textId="77777777">
        <w:tc>
          <w:tcPr>
            <w:tcW w:w="0" w:type="auto"/>
          </w:tcPr>
          <w:p w14:paraId="0C489074" w14:textId="77777777" w:rsidR="004344B4" w:rsidRDefault="00E73DAA">
            <w:pPr>
              <w:pStyle w:val="Compact"/>
            </w:pPr>
            <w:r>
              <w:t>15:00–15:05</w:t>
            </w:r>
          </w:p>
        </w:tc>
        <w:tc>
          <w:tcPr>
            <w:tcW w:w="0" w:type="auto"/>
          </w:tcPr>
          <w:p w14:paraId="56DA76EC" w14:textId="77777777" w:rsidR="004344B4" w:rsidRDefault="00E73DAA">
            <w:pPr>
              <w:pStyle w:val="Compact"/>
            </w:pPr>
            <w:r>
              <w:rPr>
                <w:b/>
              </w:rPr>
              <w:t>Opening, agenda adoption, declaration of pre-circulated materials received.</w:t>
            </w:r>
          </w:p>
        </w:tc>
        <w:tc>
          <w:tcPr>
            <w:tcW w:w="0" w:type="auto"/>
          </w:tcPr>
          <w:p w14:paraId="16113233" w14:textId="77777777" w:rsidR="004344B4" w:rsidRDefault="00E73DAA">
            <w:pPr>
              <w:pStyle w:val="Compact"/>
            </w:pPr>
            <w:r>
              <w:t>Chair</w:t>
            </w:r>
          </w:p>
        </w:tc>
        <w:tc>
          <w:tcPr>
            <w:tcW w:w="0" w:type="auto"/>
          </w:tcPr>
          <w:p w14:paraId="2CBF88AC" w14:textId="77777777" w:rsidR="004344B4" w:rsidRDefault="00E73DAA">
            <w:pPr>
              <w:pStyle w:val="Compact"/>
            </w:pPr>
            <w:r>
              <w:t>Recorded attendance, confirmation of read-aheads.</w:t>
            </w:r>
          </w:p>
        </w:tc>
      </w:tr>
      <w:tr w:rsidR="004344B4" w14:paraId="44E35817" w14:textId="77777777">
        <w:tc>
          <w:tcPr>
            <w:tcW w:w="0" w:type="auto"/>
          </w:tcPr>
          <w:p w14:paraId="35662CEE" w14:textId="77777777" w:rsidR="004344B4" w:rsidRDefault="00E73DAA">
            <w:pPr>
              <w:pStyle w:val="Compact"/>
            </w:pPr>
            <w:r>
              <w:t>15:05–15:20</w:t>
            </w:r>
          </w:p>
        </w:tc>
        <w:tc>
          <w:tcPr>
            <w:tcW w:w="0" w:type="auto"/>
          </w:tcPr>
          <w:p w14:paraId="2BD66FAB" w14:textId="77777777" w:rsidR="004344B4" w:rsidRDefault="00E73DAA">
            <w:pPr>
              <w:pStyle w:val="Compact"/>
            </w:pPr>
            <w:r>
              <w:rPr>
                <w:b/>
              </w:rPr>
              <w:t>Conclude the stock-hypothesis treatment.</w:t>
            </w:r>
            <w:r>
              <w:t xml:space="preserve"> Close from TG-04. Either confirm the agreed treatment (single-stock h1, two-stock h2, or weighted combination) or invoke the documented fallback.</w:t>
            </w:r>
          </w:p>
        </w:tc>
        <w:tc>
          <w:tcPr>
            <w:tcW w:w="0" w:type="auto"/>
          </w:tcPr>
          <w:p w14:paraId="5C86B85A" w14:textId="77777777" w:rsidR="004344B4" w:rsidRDefault="00E73DAA">
            <w:pPr>
              <w:pStyle w:val="Compact"/>
            </w:pPr>
            <w:r>
              <w:t>Chair / WMR / Chile / Peru</w:t>
            </w:r>
          </w:p>
        </w:tc>
        <w:tc>
          <w:tcPr>
            <w:tcW w:w="0" w:type="auto"/>
          </w:tcPr>
          <w:p w14:paraId="375B4E9B" w14:textId="77777777" w:rsidR="004344B4" w:rsidRDefault="00E73DAA">
            <w:pPr>
              <w:pStyle w:val="Compact"/>
            </w:pPr>
            <w:r>
              <w:t>Decision recorded; SCW17-Doc01 updated.</w:t>
            </w:r>
          </w:p>
        </w:tc>
      </w:tr>
      <w:tr w:rsidR="004344B4" w14:paraId="496B059A" w14:textId="77777777">
        <w:tc>
          <w:tcPr>
            <w:tcW w:w="0" w:type="auto"/>
          </w:tcPr>
          <w:p w14:paraId="60B744A4" w14:textId="77777777" w:rsidR="004344B4" w:rsidRDefault="00E73DAA">
            <w:pPr>
              <w:pStyle w:val="Compact"/>
            </w:pPr>
            <w:r>
              <w:t>15:20–15:35</w:t>
            </w:r>
          </w:p>
        </w:tc>
        <w:tc>
          <w:tcPr>
            <w:tcW w:w="0" w:type="auto"/>
          </w:tcPr>
          <w:p w14:paraId="71D1430F" w14:textId="77777777" w:rsidR="004344B4" w:rsidRDefault="00E73DAA">
            <w:pPr>
              <w:pStyle w:val="Compact"/>
            </w:pPr>
            <w:r>
              <w:rPr>
                <w:b/>
              </w:rPr>
              <w:t>Finalise performance metrics, time horizons, and risk tolerance</w:t>
            </w:r>
            <w:r>
              <w:t xml:space="preserve"> for Wageningen (MSE-02). Conservation metrics (P(B&lt;BLIM), P(B&lt;BMSY)), yield/AAV, TAC-stability; 5/10/20-yr horizons; SPRFMO risk band.</w:t>
            </w:r>
          </w:p>
        </w:tc>
        <w:tc>
          <w:tcPr>
            <w:tcW w:w="0" w:type="auto"/>
          </w:tcPr>
          <w:p w14:paraId="04067D7B" w14:textId="77777777" w:rsidR="004344B4" w:rsidRDefault="00E73DAA">
            <w:pPr>
              <w:pStyle w:val="Compact"/>
            </w:pPr>
            <w:r>
              <w:t>Chair</w:t>
            </w:r>
          </w:p>
        </w:tc>
        <w:tc>
          <w:tcPr>
            <w:tcW w:w="0" w:type="auto"/>
          </w:tcPr>
          <w:p w14:paraId="080881DF" w14:textId="77777777" w:rsidR="004344B4" w:rsidRDefault="00E73DAA">
            <w:pPr>
              <w:pStyle w:val="Compact"/>
            </w:pPr>
            <w:r>
              <w:t>Final metric list signed off; SCW17-Doc03 updated.</w:t>
            </w:r>
          </w:p>
        </w:tc>
      </w:tr>
      <w:tr w:rsidR="004344B4" w14:paraId="3FF9DC19" w14:textId="77777777">
        <w:tc>
          <w:tcPr>
            <w:tcW w:w="0" w:type="auto"/>
          </w:tcPr>
          <w:p w14:paraId="29C2CAA0" w14:textId="77777777" w:rsidR="004344B4" w:rsidRDefault="00E73DAA">
            <w:pPr>
              <w:pStyle w:val="Compact"/>
            </w:pPr>
            <w:r>
              <w:t>15:35–15:55</w:t>
            </w:r>
          </w:p>
        </w:tc>
        <w:tc>
          <w:tcPr>
            <w:tcW w:w="0" w:type="auto"/>
          </w:tcPr>
          <w:p w14:paraId="30E42242" w14:textId="77777777" w:rsidR="004344B4" w:rsidRDefault="00E73DAA">
            <w:pPr>
              <w:pStyle w:val="Compact"/>
            </w:pPr>
            <w:r>
              <w:rPr>
                <w:b/>
              </w:rPr>
              <w:t>Freeze MP specifications (MSE-01).</w:t>
            </w:r>
            <w:r>
              <w:t xml:space="preserve"> Data streams used by each MP, lag/frequency, tuning targets, HCR form, Buffer/K60 settings. No new MPs may be added after this item.</w:t>
            </w:r>
          </w:p>
        </w:tc>
        <w:tc>
          <w:tcPr>
            <w:tcW w:w="0" w:type="auto"/>
          </w:tcPr>
          <w:p w14:paraId="3B03186A" w14:textId="77777777" w:rsidR="004344B4" w:rsidRDefault="00E73DAA">
            <w:pPr>
              <w:pStyle w:val="Compact"/>
            </w:pPr>
            <w:r>
              <w:t>WMR / Chile / Peru</w:t>
            </w:r>
          </w:p>
        </w:tc>
        <w:tc>
          <w:tcPr>
            <w:tcW w:w="0" w:type="auto"/>
          </w:tcPr>
          <w:p w14:paraId="00CC7D91" w14:textId="77777777" w:rsidR="004344B4" w:rsidRDefault="00E73DAA">
            <w:pPr>
              <w:pStyle w:val="Compact"/>
            </w:pPr>
            <w:r>
              <w:t>MP register frozen; SCW17-Doc03 finalised.</w:t>
            </w:r>
          </w:p>
        </w:tc>
      </w:tr>
      <w:tr w:rsidR="004344B4" w14:paraId="5823F6F5" w14:textId="77777777">
        <w:tc>
          <w:tcPr>
            <w:tcW w:w="0" w:type="auto"/>
          </w:tcPr>
          <w:p w14:paraId="6F7D7C4E" w14:textId="77777777" w:rsidR="004344B4" w:rsidRDefault="00E73DAA">
            <w:pPr>
              <w:pStyle w:val="Compact"/>
            </w:pPr>
            <w:r>
              <w:t>15:55–16:15</w:t>
            </w:r>
          </w:p>
        </w:tc>
        <w:tc>
          <w:tcPr>
            <w:tcW w:w="0" w:type="auto"/>
          </w:tcPr>
          <w:p w14:paraId="3C169DBE" w14:textId="77777777" w:rsidR="004344B4" w:rsidRDefault="00E73DAA">
            <w:pPr>
              <w:pStyle w:val="Compact"/>
            </w:pPr>
            <w:r>
              <w:rPr>
                <w:b/>
              </w:rPr>
              <w:t>Agree complete robustness scenario matrix (MSE-03).</w:t>
            </w:r>
            <w:r>
              <w:t xml:space="preserve"> Reference set vs. robustness set; ENSO / offshore-drop / catchability / index-bias scenarios; pass/fail criteria for advancement to SC14.</w:t>
            </w:r>
          </w:p>
        </w:tc>
        <w:tc>
          <w:tcPr>
            <w:tcW w:w="0" w:type="auto"/>
          </w:tcPr>
          <w:p w14:paraId="4AAE60F5" w14:textId="77777777" w:rsidR="004344B4" w:rsidRDefault="00E73DAA">
            <w:pPr>
              <w:pStyle w:val="Compact"/>
            </w:pPr>
            <w:r>
              <w:t>WMR</w:t>
            </w:r>
          </w:p>
        </w:tc>
        <w:tc>
          <w:tcPr>
            <w:tcW w:w="0" w:type="auto"/>
          </w:tcPr>
          <w:p w14:paraId="1ECA762A" w14:textId="77777777" w:rsidR="004344B4" w:rsidRDefault="00E73DAA">
            <w:pPr>
              <w:pStyle w:val="Compact"/>
            </w:pPr>
            <w:r>
              <w:t>Robustness matrix signed off; SCW17-Doc04 updated.</w:t>
            </w:r>
          </w:p>
        </w:tc>
      </w:tr>
      <w:tr w:rsidR="004344B4" w14:paraId="7A874231" w14:textId="77777777">
        <w:tc>
          <w:tcPr>
            <w:tcW w:w="0" w:type="auto"/>
          </w:tcPr>
          <w:p w14:paraId="76C5FCB4" w14:textId="77777777" w:rsidR="004344B4" w:rsidRDefault="00E73DAA">
            <w:pPr>
              <w:pStyle w:val="Compact"/>
            </w:pPr>
            <w:r>
              <w:t>16:15–16:25</w:t>
            </w:r>
          </w:p>
        </w:tc>
        <w:tc>
          <w:tcPr>
            <w:tcW w:w="0" w:type="auto"/>
          </w:tcPr>
          <w:p w14:paraId="247C6E38" w14:textId="77777777" w:rsidR="004344B4" w:rsidRDefault="00E73DAA">
            <w:pPr>
              <w:pStyle w:val="Compact"/>
            </w:pPr>
            <w:r>
              <w:rPr>
                <w:b/>
              </w:rPr>
              <w:t>Cross-platform validation protocol.</w:t>
            </w:r>
            <w:r>
              <w:t xml:space="preserve"> </w:t>
            </w:r>
            <w:r>
              <w:t xml:space="preserve">FLR vs. RTMB/OpenMSE: which metrics are compared, on which OM, by whom (WMR / </w:t>
            </w:r>
            <w:r>
              <w:lastRenderedPageBreak/>
              <w:t>Chile / Peru), and by when. Assign owners.</w:t>
            </w:r>
          </w:p>
        </w:tc>
        <w:tc>
          <w:tcPr>
            <w:tcW w:w="0" w:type="auto"/>
          </w:tcPr>
          <w:p w14:paraId="549D1250" w14:textId="77777777" w:rsidR="004344B4" w:rsidRDefault="00E73DAA">
            <w:pPr>
              <w:pStyle w:val="Compact"/>
            </w:pPr>
            <w:r>
              <w:lastRenderedPageBreak/>
              <w:t>Chair / WMR</w:t>
            </w:r>
          </w:p>
        </w:tc>
        <w:tc>
          <w:tcPr>
            <w:tcW w:w="0" w:type="auto"/>
          </w:tcPr>
          <w:p w14:paraId="28D47B34" w14:textId="77777777" w:rsidR="004344B4" w:rsidRDefault="00E73DAA">
            <w:pPr>
              <w:pStyle w:val="Compact"/>
            </w:pPr>
            <w:r>
              <w:t xml:space="preserve">Owner-and-deadline table; SCW17-Doc05 </w:t>
            </w:r>
            <w:r>
              <w:lastRenderedPageBreak/>
              <w:t>initiated.</w:t>
            </w:r>
          </w:p>
        </w:tc>
      </w:tr>
      <w:tr w:rsidR="004344B4" w14:paraId="64C2A504" w14:textId="77777777">
        <w:tc>
          <w:tcPr>
            <w:tcW w:w="0" w:type="auto"/>
          </w:tcPr>
          <w:p w14:paraId="32035CDE" w14:textId="77777777" w:rsidR="004344B4" w:rsidRDefault="00E73DAA">
            <w:pPr>
              <w:pStyle w:val="Compact"/>
            </w:pPr>
            <w:r>
              <w:lastRenderedPageBreak/>
              <w:t>16:25–16:30</w:t>
            </w:r>
          </w:p>
        </w:tc>
        <w:tc>
          <w:tcPr>
            <w:tcW w:w="0" w:type="auto"/>
          </w:tcPr>
          <w:p w14:paraId="460E8F48" w14:textId="77777777" w:rsidR="004344B4" w:rsidRDefault="00E73DAA">
            <w:pPr>
              <w:pStyle w:val="Compact"/>
            </w:pPr>
            <w:r>
              <w:rPr>
                <w:b/>
              </w:rPr>
              <w:t>Wageningen logistics.</w:t>
            </w:r>
            <w:r>
              <w:t xml:space="preserve"> </w:t>
            </w:r>
            <w:r>
              <w:t>Trade-off presentation format (Slick / worm plots / Kobe-style); decision-making protocol; daily report-out cadence.</w:t>
            </w:r>
          </w:p>
        </w:tc>
        <w:tc>
          <w:tcPr>
            <w:tcW w:w="0" w:type="auto"/>
          </w:tcPr>
          <w:p w14:paraId="379BA6CE" w14:textId="77777777" w:rsidR="004344B4" w:rsidRDefault="00E73DAA">
            <w:pPr>
              <w:pStyle w:val="Compact"/>
            </w:pPr>
            <w:r>
              <w:t>Chair</w:t>
            </w:r>
          </w:p>
        </w:tc>
        <w:tc>
          <w:tcPr>
            <w:tcW w:w="0" w:type="auto"/>
          </w:tcPr>
          <w:p w14:paraId="695B0B05" w14:textId="77777777" w:rsidR="004344B4" w:rsidRDefault="00E73DAA">
            <w:pPr>
              <w:pStyle w:val="Compact"/>
            </w:pPr>
            <w:r>
              <w:t>Format agreed; circulate Wageningen-week agenda within 48 h.</w:t>
            </w:r>
          </w:p>
        </w:tc>
      </w:tr>
    </w:tbl>
    <w:p w14:paraId="1A41815E" w14:textId="77777777" w:rsidR="004344B4" w:rsidRDefault="00E73DAA">
      <w:pPr>
        <w:pStyle w:val="Heading3"/>
      </w:pPr>
      <w:bookmarkStart w:id="4" w:name="decisions-to-be-recorded"/>
      <w:r>
        <w:t>Decisions to be recorded</w:t>
      </w:r>
      <w:bookmarkEnd w:id="4"/>
    </w:p>
    <w:p w14:paraId="5E0CB0BD" w14:textId="77777777" w:rsidR="004344B4" w:rsidRDefault="00E73DAA">
      <w:pPr>
        <w:pStyle w:val="Compact"/>
        <w:numPr>
          <w:ilvl w:val="0"/>
          <w:numId w:val="2"/>
        </w:numPr>
      </w:pPr>
      <w:r>
        <w:t>Stock-hypothesis treatment for advice.</w:t>
      </w:r>
    </w:p>
    <w:p w14:paraId="27E52857" w14:textId="77777777" w:rsidR="004344B4" w:rsidRDefault="00E73DAA">
      <w:pPr>
        <w:pStyle w:val="Compact"/>
        <w:numPr>
          <w:ilvl w:val="0"/>
          <w:numId w:val="2"/>
        </w:numPr>
      </w:pPr>
      <w:r>
        <w:t>Final performance-metrics list with time horizons and risk tolerance.</w:t>
      </w:r>
    </w:p>
    <w:p w14:paraId="1D4957BE" w14:textId="77777777" w:rsidR="004344B4" w:rsidRDefault="00E73DAA">
      <w:pPr>
        <w:pStyle w:val="Compact"/>
        <w:numPr>
          <w:ilvl w:val="0"/>
          <w:numId w:val="2"/>
        </w:numPr>
      </w:pPr>
      <w:r>
        <w:t>Frozen MP specifications (data, tuning, HCR, Buffer/K60).</w:t>
      </w:r>
    </w:p>
    <w:p w14:paraId="21B7C81A" w14:textId="77777777" w:rsidR="004344B4" w:rsidRDefault="00E73DAA">
      <w:pPr>
        <w:pStyle w:val="Compact"/>
        <w:numPr>
          <w:ilvl w:val="0"/>
          <w:numId w:val="2"/>
        </w:numPr>
      </w:pPr>
      <w:r>
        <w:t>Complete robustness-scenario matrix with pass/fail criteria.</w:t>
      </w:r>
    </w:p>
    <w:p w14:paraId="22844A24" w14:textId="77777777" w:rsidR="004344B4" w:rsidRDefault="00E73DAA">
      <w:pPr>
        <w:pStyle w:val="Compact"/>
        <w:numPr>
          <w:ilvl w:val="0"/>
          <w:numId w:val="2"/>
        </w:numPr>
      </w:pPr>
      <w:r>
        <w:t>Cross-platform validation owners and timeline.</w:t>
      </w:r>
    </w:p>
    <w:p w14:paraId="481CFF80" w14:textId="77777777" w:rsidR="004344B4" w:rsidRDefault="00E73DAA">
      <w:pPr>
        <w:pStyle w:val="Compact"/>
        <w:numPr>
          <w:ilvl w:val="0"/>
          <w:numId w:val="2"/>
        </w:numPr>
      </w:pPr>
      <w:r>
        <w:t>Wageningen trade-off presentation format and decision-making protocol.</w:t>
      </w:r>
    </w:p>
    <w:p w14:paraId="1B82A2BA" w14:textId="77777777" w:rsidR="004344B4" w:rsidRDefault="00E73DAA">
      <w:pPr>
        <w:pStyle w:val="Heading3"/>
      </w:pPr>
      <w:bookmarkStart w:id="5" w:name="Xeea43751d9f61f4a675a9e7df0fe2381f0072ba"/>
      <w:r>
        <w:t>Pre-circulated reading (deadline: COB Friday 6 June)</w:t>
      </w:r>
      <w:bookmarkEnd w:id="5"/>
    </w:p>
    <w:p w14:paraId="7DA96925" w14:textId="77777777" w:rsidR="004344B4" w:rsidRDefault="00E73DAA">
      <w:pPr>
        <w:pStyle w:val="Compact"/>
        <w:numPr>
          <w:ilvl w:val="0"/>
          <w:numId w:val="3"/>
        </w:numPr>
      </w:pPr>
      <w:r>
        <w:t xml:space="preserve">SCW17-Doc01 — Benchmark outcomes for MSE conditioning </w:t>
      </w:r>
      <w:r>
        <w:rPr>
          <w:i/>
        </w:rPr>
        <w:t>(Chair — draft)</w:t>
      </w:r>
    </w:p>
    <w:p w14:paraId="6733BDC1" w14:textId="77777777" w:rsidR="004344B4" w:rsidRDefault="00E73DAA">
      <w:pPr>
        <w:pStyle w:val="Compact"/>
        <w:numPr>
          <w:ilvl w:val="0"/>
          <w:numId w:val="3"/>
        </w:numPr>
      </w:pPr>
      <w:r>
        <w:t xml:space="preserve">SCW17-Paper-02 — Reference Points </w:t>
      </w:r>
      <w:r>
        <w:rPr>
          <w:i/>
        </w:rPr>
        <w:t>(Chair — published 29 May)</w:t>
      </w:r>
    </w:p>
    <w:p w14:paraId="470384FB" w14:textId="77777777" w:rsidR="004344B4" w:rsidRDefault="00E73DAA">
      <w:pPr>
        <w:pStyle w:val="Compact"/>
        <w:numPr>
          <w:ilvl w:val="0"/>
          <w:numId w:val="3"/>
        </w:numPr>
      </w:pPr>
      <w:r>
        <w:t xml:space="preserve">SCW17-Doc02 — OM conditioning and diagnostics </w:t>
      </w:r>
      <w:r>
        <w:rPr>
          <w:i/>
        </w:rPr>
        <w:t>(WMR — full draft)</w:t>
      </w:r>
    </w:p>
    <w:p w14:paraId="6D11724A" w14:textId="77777777" w:rsidR="004344B4" w:rsidRDefault="00E73DAA">
      <w:pPr>
        <w:pStyle w:val="Compact"/>
        <w:numPr>
          <w:ilvl w:val="0"/>
          <w:numId w:val="3"/>
        </w:numPr>
      </w:pPr>
      <w:r>
        <w:t xml:space="preserve">SCW17-Doc03 — Candidate MPs and performance metrics </w:t>
      </w:r>
      <w:r>
        <w:rPr>
          <w:i/>
        </w:rPr>
        <w:t>(WMR + Chile + Peru — full draft)</w:t>
      </w:r>
    </w:p>
    <w:p w14:paraId="515A6A4E" w14:textId="77777777" w:rsidR="004344B4" w:rsidRDefault="00E73DAA">
      <w:pPr>
        <w:pStyle w:val="Compact"/>
        <w:numPr>
          <w:ilvl w:val="0"/>
          <w:numId w:val="3"/>
        </w:numPr>
      </w:pPr>
      <w:r>
        <w:t xml:space="preserve">SCW17-Doc04 — Robustness scenarios and exceptional circumstances </w:t>
      </w:r>
      <w:r>
        <w:rPr>
          <w:i/>
        </w:rPr>
        <w:t>(WMR — full draft)</w:t>
      </w:r>
    </w:p>
    <w:p w14:paraId="14AD220F" w14:textId="77777777" w:rsidR="004344B4" w:rsidRDefault="00E73DAA">
      <w:pPr>
        <w:pStyle w:val="Compact"/>
        <w:numPr>
          <w:ilvl w:val="0"/>
          <w:numId w:val="3"/>
        </w:numPr>
      </w:pPr>
      <w:r>
        <w:t xml:space="preserve">Slick / trade-off prototype if available </w:t>
      </w:r>
      <w:r>
        <w:rPr>
          <w:i/>
        </w:rPr>
        <w:t>(WMR)</w:t>
      </w:r>
    </w:p>
    <w:p w14:paraId="51004641" w14:textId="77777777" w:rsidR="004344B4" w:rsidRDefault="00E73DAA">
      <w:pPr>
        <w:pStyle w:val="Compact"/>
        <w:numPr>
          <w:ilvl w:val="0"/>
          <w:numId w:val="3"/>
        </w:numPr>
      </w:pPr>
      <w:r>
        <w:t xml:space="preserve">Updated OM status note </w:t>
      </w:r>
      <w:r>
        <w:rPr>
          <w:i/>
        </w:rPr>
        <w:t>(WMR)</w:t>
      </w:r>
    </w:p>
    <w:p w14:paraId="12941D48" w14:textId="77777777" w:rsidR="004344B4" w:rsidRDefault="00E73DAA">
      <w:pPr>
        <w:pStyle w:val="FirstParagraph"/>
      </w:pPr>
      <w:r>
        <w:t>If any of the above is not in the shared folder by 14:00 CEST Monday 8 June, the chair will downgrade that agenda item from “conclude” to “best-available-state” and flag it as a risk to the Wageningen schedule.</w:t>
      </w:r>
    </w:p>
    <w:p w14:paraId="57341BB0" w14:textId="77777777" w:rsidR="004344B4" w:rsidRDefault="00E73DAA">
      <w:r>
        <w:rPr>
          <w:noProof/>
        </w:rPr>
        <w:pict w14:anchorId="6C78109B">
          <v:rect id="_x0000_i1029" alt="" style="width:468pt;height:.05pt;mso-width-percent:0;mso-height-percent:0;mso-width-percent:0;mso-height-percent:0" o:hralign="center" o:hrstd="t" o:hr="t"/>
        </w:pict>
      </w:r>
    </w:p>
    <w:p w14:paraId="05170230" w14:textId="77777777" w:rsidR="004344B4" w:rsidRDefault="00E73DAA">
      <w:pPr>
        <w:pStyle w:val="Heading2"/>
      </w:pPr>
      <w:bookmarkStart w:id="6" w:name="email-reminder-sequence"/>
      <w:bookmarkStart w:id="7" w:name="_Toc231418315"/>
      <w:r>
        <w:t>2. Email reminder sequence</w:t>
      </w:r>
      <w:bookmarkEnd w:id="6"/>
      <w:bookmarkEnd w:id="7"/>
    </w:p>
    <w:p w14:paraId="5EBB9758" w14:textId="77777777" w:rsidR="004344B4" w:rsidRDefault="00E73DAA">
      <w:pPr>
        <w:pStyle w:val="FirstParagraph"/>
      </w:pPr>
      <w:r>
        <w:t>Three staged reminders. Each is short. Copy/paste blocks below.</w:t>
      </w:r>
    </w:p>
    <w:p w14:paraId="5DA9F5BD" w14:textId="77777777" w:rsidR="004344B4" w:rsidRDefault="00E73DAA">
      <w:pPr>
        <w:pStyle w:val="Heading3"/>
      </w:pPr>
      <w:bookmarkStart w:id="8" w:name="reminder-1-friday-5-june-t-6-days"/>
      <w:r>
        <w:t>Reminder #1 — Friday 5 June (T-6 days)</w:t>
      </w:r>
      <w:bookmarkEnd w:id="8"/>
    </w:p>
    <w:p w14:paraId="5C454DA4" w14:textId="77777777" w:rsidR="004344B4" w:rsidRDefault="00E73DAA">
      <w:pPr>
        <w:pStyle w:val="FirstParagraph"/>
      </w:pPr>
      <w:r>
        <w:rPr>
          <w:b/>
        </w:rPr>
        <w:t>Subject:</w:t>
      </w:r>
      <w:r>
        <w:t xml:space="preserve"> TG-05 (11 June, 15:00 CEST) — read-aheads due Mon 8 Jun 14:00 CEST</w:t>
      </w:r>
    </w:p>
    <w:p w14:paraId="69C081B0" w14:textId="77777777" w:rsidR="004344B4" w:rsidRDefault="00E73DAA">
      <w:pPr>
        <w:pStyle w:val="BodyText"/>
      </w:pPr>
      <w:r>
        <w:t>Dear all,</w:t>
      </w:r>
    </w:p>
    <w:p w14:paraId="193C3979" w14:textId="77777777" w:rsidR="004344B4" w:rsidRDefault="00E73DAA">
      <w:pPr>
        <w:pStyle w:val="BodyText"/>
      </w:pPr>
      <w:r>
        <w:t xml:space="preserve">A reminder that </w:t>
      </w:r>
      <w:r>
        <w:rPr>
          <w:b/>
        </w:rPr>
        <w:t>TG-05 — Pre-Wageningen Final Preparation</w:t>
      </w:r>
      <w:r>
        <w:t xml:space="preserve"> is Thursday 11 June, 15:00–16:30 CEST (Zoom/Teams). This is the last Task Team call before the Wageningen MSE workshop (15–19 June). The purpose is to </w:t>
      </w:r>
      <w:r>
        <w:rPr>
          <w:b/>
        </w:rPr>
        <w:t>close</w:t>
      </w:r>
      <w:r>
        <w:t xml:space="preserve"> open items, not to reopen them.</w:t>
      </w:r>
    </w:p>
    <w:p w14:paraId="36758616" w14:textId="77777777" w:rsidR="004344B4" w:rsidRDefault="00E73DAA">
      <w:pPr>
        <w:pStyle w:val="BodyText"/>
      </w:pPr>
      <w:r>
        <w:t>The six items on the table:</w:t>
      </w:r>
    </w:p>
    <w:p w14:paraId="55A5DD7F" w14:textId="77777777" w:rsidR="004344B4" w:rsidRDefault="00E73DAA">
      <w:pPr>
        <w:pStyle w:val="Compact"/>
        <w:numPr>
          <w:ilvl w:val="0"/>
          <w:numId w:val="4"/>
        </w:numPr>
      </w:pPr>
      <w:r>
        <w:lastRenderedPageBreak/>
        <w:t>Conclude the stock-hypothesis treatment.</w:t>
      </w:r>
    </w:p>
    <w:p w14:paraId="572F335E" w14:textId="77777777" w:rsidR="004344B4" w:rsidRDefault="00E73DAA">
      <w:pPr>
        <w:pStyle w:val="Compact"/>
        <w:numPr>
          <w:ilvl w:val="0"/>
          <w:numId w:val="4"/>
        </w:numPr>
      </w:pPr>
      <w:r>
        <w:t>Finalise performance metrics, time horizons, and risk tolerance.</w:t>
      </w:r>
    </w:p>
    <w:p w14:paraId="48D27C02" w14:textId="77777777" w:rsidR="004344B4" w:rsidRDefault="00E73DAA">
      <w:pPr>
        <w:pStyle w:val="Compact"/>
        <w:numPr>
          <w:ilvl w:val="0"/>
          <w:numId w:val="4"/>
        </w:numPr>
      </w:pPr>
      <w:r>
        <w:t>Freeze MP specifications (data, tuning, HCR, Buffer/K60). No new MPs after TG-05.</w:t>
      </w:r>
    </w:p>
    <w:p w14:paraId="4DEC30EB" w14:textId="77777777" w:rsidR="004344B4" w:rsidRDefault="00E73DAA">
      <w:pPr>
        <w:pStyle w:val="Compact"/>
        <w:numPr>
          <w:ilvl w:val="0"/>
          <w:numId w:val="4"/>
        </w:numPr>
      </w:pPr>
      <w:r>
        <w:t>Agree the complete robustness scenario matrix.</w:t>
      </w:r>
    </w:p>
    <w:p w14:paraId="791D7931" w14:textId="77777777" w:rsidR="004344B4" w:rsidRDefault="00E73DAA">
      <w:pPr>
        <w:pStyle w:val="Compact"/>
        <w:numPr>
          <w:ilvl w:val="0"/>
          <w:numId w:val="4"/>
        </w:numPr>
      </w:pPr>
      <w:r>
        <w:t>Agree cross-platform validation protocol and assign responsibilities.</w:t>
      </w:r>
    </w:p>
    <w:p w14:paraId="7ABF3420" w14:textId="77777777" w:rsidR="004344B4" w:rsidRDefault="00E73DAA">
      <w:pPr>
        <w:pStyle w:val="Compact"/>
        <w:numPr>
          <w:ilvl w:val="0"/>
          <w:numId w:val="4"/>
        </w:numPr>
      </w:pPr>
      <w:r>
        <w:t>Agree Wageningen communication and decision-making format.</w:t>
      </w:r>
    </w:p>
    <w:p w14:paraId="143F9C0D" w14:textId="77777777" w:rsidR="004344B4" w:rsidRDefault="00E73DAA">
      <w:pPr>
        <w:pStyle w:val="FirstParagraph"/>
      </w:pPr>
      <w:r>
        <w:t xml:space="preserve">Per the working-papers plan, the following are due </w:t>
      </w:r>
      <w:r>
        <w:rPr>
          <w:b/>
        </w:rPr>
        <w:t>Saturday 6 June</w:t>
      </w:r>
      <w:r>
        <w:t xml:space="preserve"> and should appear in the shared folder no later than </w:t>
      </w:r>
      <w:r>
        <w:rPr>
          <w:b/>
        </w:rPr>
        <w:t>14:00 CEST Monday 8 June</w:t>
      </w:r>
      <w:r>
        <w:t xml:space="preserve"> </w:t>
      </w:r>
      <w:r>
        <w:t>so members can read before the call:</w:t>
      </w:r>
    </w:p>
    <w:p w14:paraId="67524BE7" w14:textId="77777777" w:rsidR="004344B4" w:rsidRDefault="00E73DAA">
      <w:pPr>
        <w:pStyle w:val="Compact"/>
        <w:numPr>
          <w:ilvl w:val="0"/>
          <w:numId w:val="5"/>
        </w:numPr>
      </w:pPr>
      <w:r>
        <w:t xml:space="preserve">Full draft </w:t>
      </w:r>
      <w:r>
        <w:rPr>
          <w:b/>
        </w:rPr>
        <w:t>MSE-01</w:t>
      </w:r>
      <w:r>
        <w:t xml:space="preserve"> (Candidate MPs) — WMR + Chile + Peru</w:t>
      </w:r>
    </w:p>
    <w:p w14:paraId="5B36CB10" w14:textId="77777777" w:rsidR="004344B4" w:rsidRDefault="00E73DAA">
      <w:pPr>
        <w:pStyle w:val="Compact"/>
        <w:numPr>
          <w:ilvl w:val="0"/>
          <w:numId w:val="5"/>
        </w:numPr>
      </w:pPr>
      <w:r>
        <w:t xml:space="preserve">Full draft </w:t>
      </w:r>
      <w:r>
        <w:rPr>
          <w:b/>
        </w:rPr>
        <w:t>MSE-02</w:t>
      </w:r>
      <w:r>
        <w:t xml:space="preserve"> (Performance metrics and trade-off framework) — Chair</w:t>
      </w:r>
    </w:p>
    <w:p w14:paraId="6018FF19" w14:textId="77777777" w:rsidR="004344B4" w:rsidRDefault="00E73DAA">
      <w:pPr>
        <w:pStyle w:val="Compact"/>
        <w:numPr>
          <w:ilvl w:val="0"/>
          <w:numId w:val="5"/>
        </w:numPr>
      </w:pPr>
      <w:r>
        <w:t xml:space="preserve">Full draft </w:t>
      </w:r>
      <w:r>
        <w:rPr>
          <w:b/>
        </w:rPr>
        <w:t>MSE-03</w:t>
      </w:r>
      <w:r>
        <w:t xml:space="preserve"> (Robustness testing design) — WMR</w:t>
      </w:r>
    </w:p>
    <w:p w14:paraId="39FF5D91" w14:textId="77777777" w:rsidR="004344B4" w:rsidRDefault="00E73DAA">
      <w:pPr>
        <w:pStyle w:val="Compact"/>
        <w:numPr>
          <w:ilvl w:val="0"/>
          <w:numId w:val="5"/>
        </w:numPr>
      </w:pPr>
      <w:r>
        <w:t>Updated OM status note — WMR</w:t>
      </w:r>
    </w:p>
    <w:p w14:paraId="14B54458" w14:textId="77777777" w:rsidR="004344B4" w:rsidRDefault="00E73DAA">
      <w:pPr>
        <w:pStyle w:val="Compact"/>
        <w:numPr>
          <w:ilvl w:val="0"/>
          <w:numId w:val="5"/>
        </w:numPr>
      </w:pPr>
      <w:r>
        <w:t>Slick / trade-off prototype if available — WMR</w:t>
      </w:r>
    </w:p>
    <w:p w14:paraId="090B8E15" w14:textId="77777777" w:rsidR="004344B4" w:rsidRDefault="00E73DAA">
      <w:pPr>
        <w:pStyle w:val="FirstParagraph"/>
      </w:pPr>
      <w:r>
        <w:t>All current SCW17 materials are at https://sprfmo.github.io/scw17/.</w:t>
      </w:r>
    </w:p>
    <w:p w14:paraId="1B567241" w14:textId="77777777" w:rsidR="004344B4" w:rsidRDefault="00E73DAA">
      <w:pPr>
        <w:pStyle w:val="BodyText"/>
      </w:pPr>
      <w:r>
        <w:t>If you cannot meet the deadline for the paper you lead, please flag it to me by reply today so we can plan around it.</w:t>
      </w:r>
    </w:p>
    <w:p w14:paraId="5E69EB0C" w14:textId="77777777" w:rsidR="004344B4" w:rsidRDefault="00E73DAA">
      <w:pPr>
        <w:pStyle w:val="BodyText"/>
      </w:pPr>
      <w:r>
        <w:t>Best, Jim</w:t>
      </w:r>
    </w:p>
    <w:p w14:paraId="206B177C" w14:textId="77777777" w:rsidR="004344B4" w:rsidRDefault="00E73DAA">
      <w:r>
        <w:rPr>
          <w:noProof/>
        </w:rPr>
        <w:pict w14:anchorId="519074F4">
          <v:rect id="_x0000_i1028" alt="" style="width:468pt;height:.05pt;mso-width-percent:0;mso-height-percent:0;mso-width-percent:0;mso-height-percent:0" o:hralign="center" o:hrstd="t" o:hr="t"/>
        </w:pict>
      </w:r>
    </w:p>
    <w:p w14:paraId="4770A7A5" w14:textId="77777777" w:rsidR="004344B4" w:rsidRDefault="00E73DAA">
      <w:pPr>
        <w:pStyle w:val="Heading3"/>
      </w:pPr>
      <w:bookmarkStart w:id="9" w:name="reminder-2-tuesday-9-june-t-2-days"/>
      <w:r>
        <w:t>Reminder #2 — Tuesday 9 June (T-2 days)</w:t>
      </w:r>
      <w:bookmarkEnd w:id="9"/>
    </w:p>
    <w:p w14:paraId="47DC363D" w14:textId="77777777" w:rsidR="004344B4" w:rsidRDefault="00E73DAA">
      <w:pPr>
        <w:pStyle w:val="FirstParagraph"/>
      </w:pPr>
      <w:r>
        <w:rPr>
          <w:b/>
        </w:rPr>
        <w:t>Subject:</w:t>
      </w:r>
      <w:r>
        <w:t xml:space="preserve"> TG-05 Thursday 15:00 CEST — agenda + what each member should bring</w:t>
      </w:r>
    </w:p>
    <w:p w14:paraId="66199F12" w14:textId="77777777" w:rsidR="004344B4" w:rsidRDefault="00E73DAA">
      <w:pPr>
        <w:pStyle w:val="BodyText"/>
      </w:pPr>
      <w:r>
        <w:t>Dear all,</w:t>
      </w:r>
    </w:p>
    <w:p w14:paraId="7FF8585E" w14:textId="77777777" w:rsidR="004344B4" w:rsidRDefault="00E73DAA">
      <w:pPr>
        <w:pStyle w:val="BodyText"/>
      </w:pPr>
      <w:r>
        <w:t>TG-05 is in two days. Detailed agenda below; please review and bring concrete positions on the items in your area of responsibility.</w:t>
      </w:r>
    </w:p>
    <w:p w14:paraId="7562FE63" w14:textId="77777777" w:rsidR="004344B4" w:rsidRDefault="00E73DAA">
      <w:pPr>
        <w:pStyle w:val="BodyText"/>
      </w:pPr>
      <w:r>
        <w:rPr>
          <w:b/>
        </w:rPr>
        <w:t>Agenda (90 minutes, strict time-boxes):</w:t>
      </w:r>
    </w:p>
    <w:p w14:paraId="71C61FE9" w14:textId="77777777" w:rsidR="004344B4" w:rsidRDefault="00E73DAA">
      <w:pPr>
        <w:pStyle w:val="Compact"/>
        <w:numPr>
          <w:ilvl w:val="0"/>
          <w:numId w:val="6"/>
        </w:numPr>
      </w:pPr>
      <w:r>
        <w:t>15:00–15:05 — Opening</w:t>
      </w:r>
    </w:p>
    <w:p w14:paraId="58C328E6" w14:textId="77777777" w:rsidR="004344B4" w:rsidRDefault="00E73DAA">
      <w:pPr>
        <w:pStyle w:val="Compact"/>
        <w:numPr>
          <w:ilvl w:val="0"/>
          <w:numId w:val="6"/>
        </w:numPr>
      </w:pPr>
      <w:r>
        <w:t>15:05–15:20 — Conclude stock-hypothesis treatment</w:t>
      </w:r>
    </w:p>
    <w:p w14:paraId="5204F81D" w14:textId="77777777" w:rsidR="004344B4" w:rsidRDefault="00E73DAA">
      <w:pPr>
        <w:pStyle w:val="Compact"/>
        <w:numPr>
          <w:ilvl w:val="0"/>
          <w:numId w:val="6"/>
        </w:numPr>
      </w:pPr>
      <w:r>
        <w:t>15:20–15:35 — Finalise performance metrics, time horizons, risk tolerance</w:t>
      </w:r>
    </w:p>
    <w:p w14:paraId="23AF5457" w14:textId="77777777" w:rsidR="004344B4" w:rsidRDefault="00E73DAA">
      <w:pPr>
        <w:pStyle w:val="Compact"/>
        <w:numPr>
          <w:ilvl w:val="0"/>
          <w:numId w:val="6"/>
        </w:numPr>
      </w:pPr>
      <w:r>
        <w:t>15:35–15:55 — Freeze MP specifications (no new MPs after this item)</w:t>
      </w:r>
    </w:p>
    <w:p w14:paraId="18436559" w14:textId="77777777" w:rsidR="004344B4" w:rsidRDefault="00E73DAA">
      <w:pPr>
        <w:pStyle w:val="Compact"/>
        <w:numPr>
          <w:ilvl w:val="0"/>
          <w:numId w:val="6"/>
        </w:numPr>
      </w:pPr>
      <w:r>
        <w:t>15:55–16:15 — Agree complete robustness scenario matrix</w:t>
      </w:r>
    </w:p>
    <w:p w14:paraId="6C93D5B4" w14:textId="77777777" w:rsidR="004344B4" w:rsidRDefault="00E73DAA">
      <w:pPr>
        <w:pStyle w:val="Compact"/>
        <w:numPr>
          <w:ilvl w:val="0"/>
          <w:numId w:val="6"/>
        </w:numPr>
      </w:pPr>
      <w:r>
        <w:t>16:15–16:25 — Cross-platform validation responsibilities and timeline</w:t>
      </w:r>
    </w:p>
    <w:p w14:paraId="7E7A5A71" w14:textId="77777777" w:rsidR="004344B4" w:rsidRDefault="00E73DAA">
      <w:pPr>
        <w:pStyle w:val="Compact"/>
        <w:numPr>
          <w:ilvl w:val="0"/>
          <w:numId w:val="6"/>
        </w:numPr>
      </w:pPr>
      <w:r>
        <w:t>16:25–16:30 — Wageningen logistics and close</w:t>
      </w:r>
    </w:p>
    <w:p w14:paraId="36EC8B3A" w14:textId="77777777" w:rsidR="004344B4" w:rsidRDefault="00E73DAA">
      <w:pPr>
        <w:pStyle w:val="FirstParagraph"/>
      </w:pPr>
      <w:r>
        <w:rPr>
          <w:b/>
        </w:rPr>
        <w:t>What each member should bring:</w:t>
      </w:r>
    </w:p>
    <w:p w14:paraId="2BA5F262" w14:textId="77777777" w:rsidR="004344B4" w:rsidRDefault="00E73DAA">
      <w:pPr>
        <w:pStyle w:val="Compact"/>
        <w:numPr>
          <w:ilvl w:val="0"/>
          <w:numId w:val="7"/>
        </w:numPr>
      </w:pPr>
      <w:r>
        <w:rPr>
          <w:b/>
        </w:rPr>
        <w:t>WMR (Iago, Karolina):</w:t>
      </w:r>
      <w:r>
        <w:t xml:space="preserve"> confirmation that MSE-01, MSE-03, and the updated OM status note are in the shared folder; the proposed MP register (one row per MP with </w:t>
      </w:r>
      <w:r>
        <w:lastRenderedPageBreak/>
        <w:t>data streams, tuning target, HCR, Buffer/K60); the proposed reference-set vs. robustness-set scenarios; the Slick / trade-off prototype if available.</w:t>
      </w:r>
    </w:p>
    <w:p w14:paraId="185069ED" w14:textId="77777777" w:rsidR="004344B4" w:rsidRDefault="00E73DAA">
      <w:pPr>
        <w:pStyle w:val="Compact"/>
        <w:numPr>
          <w:ilvl w:val="0"/>
          <w:numId w:val="7"/>
        </w:numPr>
      </w:pPr>
      <w:r>
        <w:rPr>
          <w:b/>
        </w:rPr>
        <w:t>Chile (Jose, Aquiles, Ignacio, Sebastian):</w:t>
      </w:r>
      <w:r>
        <w:t xml:space="preserve"> position on the stock-hypothesis treatment and, if applicable, on whether model-free / OpenMSE MPs from the Chilean contribution should enter the frozen MP register; commitment on Chile’s share of the FLR vs. RTMB/OpenMSE cross-platform validation.</w:t>
      </w:r>
    </w:p>
    <w:p w14:paraId="5FFC7825" w14:textId="77777777" w:rsidR="004344B4" w:rsidRDefault="00E73DAA">
      <w:pPr>
        <w:pStyle w:val="Compact"/>
        <w:numPr>
          <w:ilvl w:val="0"/>
          <w:numId w:val="7"/>
        </w:numPr>
      </w:pPr>
      <w:r>
        <w:rPr>
          <w:b/>
        </w:rPr>
        <w:t>Peru (Ana, Criscely, Gersson, Erich, Daniel):</w:t>
      </w:r>
      <w:r>
        <w:t xml:space="preserve"> position on the stock-hypothesis treatment; commitment on Peru’s share of cross-platform validation; any final Peru-specific input to robustness scenarios (e.g., Peru-acoustic uncertainty bands, far-north recruitment regime).</w:t>
      </w:r>
    </w:p>
    <w:p w14:paraId="739A157B" w14:textId="77777777" w:rsidR="004344B4" w:rsidRDefault="00E73DAA">
      <w:pPr>
        <w:pStyle w:val="Compact"/>
        <w:numPr>
          <w:ilvl w:val="0"/>
          <w:numId w:val="7"/>
        </w:numPr>
      </w:pPr>
      <w:r>
        <w:rPr>
          <w:b/>
        </w:rPr>
        <w:t>EU / PFA (Niels):</w:t>
      </w:r>
      <w:r>
        <w:t xml:space="preserve"> confirmation on performance-metric thresholds and risk tolerance from a Commission-decision perspective; any objections to the Chilean effort-creep treatment carried into the OM that must be tabled before Wageningen rather than at Wageningen.</w:t>
      </w:r>
    </w:p>
    <w:p w14:paraId="7936FB0D" w14:textId="77777777" w:rsidR="004344B4" w:rsidRDefault="00E73DAA">
      <w:pPr>
        <w:pStyle w:val="Compact"/>
        <w:numPr>
          <w:ilvl w:val="0"/>
          <w:numId w:val="7"/>
        </w:numPr>
      </w:pPr>
      <w:r>
        <w:rPr>
          <w:b/>
        </w:rPr>
        <w:t>Chair (Jim):</w:t>
      </w:r>
      <w:r>
        <w:t xml:space="preserve"> MSE-02 final draft (metrics, horizons, risk tolerance); proposed Wageningen presentation format and decision-making protocol; the consolidated “exceptional circumstances” meta-rules note (one page).</w:t>
      </w:r>
    </w:p>
    <w:p w14:paraId="4D4A2D2A" w14:textId="77777777" w:rsidR="004344B4" w:rsidRDefault="00E73DAA">
      <w:pPr>
        <w:pStyle w:val="FirstParagraph"/>
      </w:pPr>
      <w:r>
        <w:rPr>
          <w:b/>
        </w:rPr>
        <w:t>Ground rules for the call:</w:t>
      </w:r>
    </w:p>
    <w:p w14:paraId="31B37F72" w14:textId="77777777" w:rsidR="004344B4" w:rsidRDefault="00E73DAA">
      <w:pPr>
        <w:pStyle w:val="Compact"/>
        <w:numPr>
          <w:ilvl w:val="0"/>
          <w:numId w:val="8"/>
        </w:numPr>
      </w:pPr>
      <w:r>
        <w:t>Items 2–4 are CONCLUDE items. If we cannot conclude, we adopt the documented fallback rather than spilling into Wageningen.</w:t>
      </w:r>
    </w:p>
    <w:p w14:paraId="4E2D146D" w14:textId="77777777" w:rsidR="004344B4" w:rsidRDefault="00E73DAA">
      <w:pPr>
        <w:pStyle w:val="Compact"/>
        <w:numPr>
          <w:ilvl w:val="0"/>
          <w:numId w:val="8"/>
        </w:numPr>
      </w:pPr>
      <w:r>
        <w:t>No new MPs, no new metrics, no new OM axes will be added after this call. Items raised after TG-05 go to SC14 documentation, not Wageningen.</w:t>
      </w:r>
    </w:p>
    <w:p w14:paraId="32757589" w14:textId="77777777" w:rsidR="004344B4" w:rsidRDefault="00E73DAA">
      <w:pPr>
        <w:pStyle w:val="FirstParagraph"/>
      </w:pPr>
      <w:r>
        <w:t>All materials at https://sprfmo.github.io/scw17/. Joining link in the calendar invite.</w:t>
      </w:r>
    </w:p>
    <w:p w14:paraId="5F2ADDBD" w14:textId="77777777" w:rsidR="004344B4" w:rsidRDefault="00E73DAA">
      <w:pPr>
        <w:pStyle w:val="BodyText"/>
      </w:pPr>
      <w:r>
        <w:t>Best, Jim</w:t>
      </w:r>
    </w:p>
    <w:p w14:paraId="0A8974C1" w14:textId="77777777" w:rsidR="004344B4" w:rsidRDefault="00E73DAA">
      <w:r>
        <w:rPr>
          <w:noProof/>
        </w:rPr>
        <w:pict w14:anchorId="578E7959">
          <v:rect id="_x0000_i1027" alt="" style="width:468pt;height:.05pt;mso-width-percent:0;mso-height-percent:0;mso-width-percent:0;mso-height-percent:0" o:hralign="center" o:hrstd="t" o:hr="t"/>
        </w:pict>
      </w:r>
    </w:p>
    <w:p w14:paraId="5650C277" w14:textId="77777777" w:rsidR="004344B4" w:rsidRDefault="00E73DAA">
      <w:pPr>
        <w:pStyle w:val="Heading3"/>
      </w:pPr>
      <w:bookmarkStart w:id="10" w:name="Xd715da82609e9f960fa117921e246fbc05d39c8"/>
      <w:r>
        <w:t>Reminder #3 — Thursday 11 June, 08:00 CEST (morning of)</w:t>
      </w:r>
      <w:bookmarkEnd w:id="10"/>
    </w:p>
    <w:p w14:paraId="73412B77" w14:textId="77777777" w:rsidR="004344B4" w:rsidRDefault="00E73DAA">
      <w:pPr>
        <w:pStyle w:val="FirstParagraph"/>
      </w:pPr>
      <w:r>
        <w:rPr>
          <w:b/>
        </w:rPr>
        <w:t>Subject:</w:t>
      </w:r>
      <w:r>
        <w:t xml:space="preserve"> TG-05 today 15:00 CEST — joining link + last-minute items</w:t>
      </w:r>
    </w:p>
    <w:p w14:paraId="262D6513" w14:textId="77777777" w:rsidR="004344B4" w:rsidRDefault="00E73DAA">
      <w:pPr>
        <w:pStyle w:val="BodyText"/>
      </w:pPr>
      <w:r>
        <w:t>Quick reminder: TG-05 today, 15:00 CEST, 90 minutes. Joining link is in the calendar invite (and pasted below for anyone whose invite is missing).</w:t>
      </w:r>
    </w:p>
    <w:p w14:paraId="368B5282" w14:textId="77777777" w:rsidR="004344B4" w:rsidRDefault="00E73DAA">
      <w:pPr>
        <w:pStyle w:val="BodyText"/>
      </w:pPr>
      <w:r>
        <w:t xml:space="preserve">Please be ready at the start of the call with the </w:t>
      </w:r>
      <w:r>
        <w:rPr>
          <w:b/>
        </w:rPr>
        <w:t>one decision</w:t>
      </w:r>
      <w:r>
        <w:t xml:space="preserve"> in your area. The chair will move firmly through the time-boxes — if a topic is not concluded inside its slot, we adopt the documented fallback for that item and move on.</w:t>
      </w:r>
    </w:p>
    <w:p w14:paraId="19E91F71" w14:textId="77777777" w:rsidR="004344B4" w:rsidRDefault="00E73DAA">
      <w:pPr>
        <w:pStyle w:val="BodyText"/>
      </w:pPr>
      <w:r>
        <w:t>Outstanding items as of this morning:</w:t>
      </w:r>
    </w:p>
    <w:p w14:paraId="1F680034" w14:textId="77777777" w:rsidR="004344B4" w:rsidRDefault="00E73DAA">
      <w:pPr>
        <w:pStyle w:val="Compact"/>
        <w:numPr>
          <w:ilvl w:val="0"/>
          <w:numId w:val="9"/>
        </w:numPr>
      </w:pPr>
      <w:r>
        <w:rPr>
          <w:i/>
        </w:rPr>
        <w:t>(list any papers still missing from the shared folder, with the responsible lead and the fallback the chair will apply)</w:t>
      </w:r>
    </w:p>
    <w:p w14:paraId="73DC8FAC" w14:textId="77777777" w:rsidR="004344B4" w:rsidRDefault="00E73DAA">
      <w:pPr>
        <w:pStyle w:val="FirstParagraph"/>
      </w:pPr>
      <w:r>
        <w:t xml:space="preserve">Joining link: </w:t>
      </w:r>
      <w:r>
        <w:rPr>
          <w:i/>
        </w:rPr>
        <w:t>(paste link)</w:t>
      </w:r>
    </w:p>
    <w:p w14:paraId="6F80AFF2" w14:textId="77777777" w:rsidR="004344B4" w:rsidRDefault="00E73DAA">
      <w:pPr>
        <w:pStyle w:val="BodyText"/>
      </w:pPr>
      <w:r>
        <w:lastRenderedPageBreak/>
        <w:t>See you at 15:00.</w:t>
      </w:r>
    </w:p>
    <w:p w14:paraId="36EAB77F" w14:textId="77777777" w:rsidR="004344B4" w:rsidRDefault="00E73DAA">
      <w:pPr>
        <w:pStyle w:val="BodyText"/>
      </w:pPr>
      <w:r>
        <w:t>Jim</w:t>
      </w:r>
    </w:p>
    <w:p w14:paraId="658E6238" w14:textId="77777777" w:rsidR="004344B4" w:rsidRDefault="00E73DAA">
      <w:r>
        <w:rPr>
          <w:noProof/>
        </w:rPr>
        <w:pict w14:anchorId="3D091C6D">
          <v:rect id="_x0000_i1026" alt="" style="width:468pt;height:.05pt;mso-width-percent:0;mso-height-percent:0;mso-width-percent:0;mso-height-percent:0" o:hralign="center" o:hrstd="t" o:hr="t"/>
        </w:pict>
      </w:r>
    </w:p>
    <w:p w14:paraId="225AEB71" w14:textId="77777777" w:rsidR="004344B4" w:rsidRDefault="00E73DAA">
      <w:pPr>
        <w:pStyle w:val="Heading2"/>
      </w:pPr>
      <w:bookmarkStart w:id="11" w:name="Xdb9631e3a1f026df94efaea8d11115c83b57bff"/>
      <w:bookmarkStart w:id="12" w:name="_Toc231418316"/>
      <w:r>
        <w:t>3. Per-recipient focus points (for personalised reminders)</w:t>
      </w:r>
      <w:bookmarkEnd w:id="11"/>
      <w:bookmarkEnd w:id="12"/>
    </w:p>
    <w:p w14:paraId="15071383" w14:textId="77777777" w:rsidR="004344B4" w:rsidRDefault="00E73DAA">
      <w:pPr>
        <w:pStyle w:val="FirstParagraph"/>
      </w:pPr>
      <w:r>
        <w:t>Use these as one-liner additions to direct reminders if you want to nudge specific members.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31"/>
        <w:gridCol w:w="7529"/>
      </w:tblGrid>
      <w:tr w:rsidR="004344B4" w14:paraId="6651EBE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B844AAD" w14:textId="77777777" w:rsidR="004344B4" w:rsidRDefault="00E73DAA">
            <w:pPr>
              <w:pStyle w:val="Compact"/>
            </w:pPr>
            <w:r>
              <w:t>Recipient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31B0A1" w14:textId="77777777" w:rsidR="004344B4" w:rsidRDefault="00E73DAA">
            <w:pPr>
              <w:pStyle w:val="Compact"/>
            </w:pPr>
            <w:r>
              <w:t>Single most important thing to bring</w:t>
            </w:r>
          </w:p>
        </w:tc>
      </w:tr>
      <w:tr w:rsidR="004344B4" w14:paraId="2D570380" w14:textId="77777777">
        <w:tc>
          <w:tcPr>
            <w:tcW w:w="0" w:type="auto"/>
          </w:tcPr>
          <w:p w14:paraId="6FD3C778" w14:textId="77777777" w:rsidR="004344B4" w:rsidRDefault="00E73DAA">
            <w:pPr>
              <w:pStyle w:val="Compact"/>
            </w:pPr>
            <w:r>
              <w:t>Iago (WMR)</w:t>
            </w:r>
          </w:p>
        </w:tc>
        <w:tc>
          <w:tcPr>
            <w:tcW w:w="0" w:type="auto"/>
          </w:tcPr>
          <w:p w14:paraId="2A983C88" w14:textId="77777777" w:rsidR="004344B4" w:rsidRDefault="00E73DAA">
            <w:pPr>
              <w:pStyle w:val="Compact"/>
            </w:pPr>
            <w:r>
              <w:t>Frozen MP register table; robustness scenario matrix; Slick prototype.</w:t>
            </w:r>
          </w:p>
        </w:tc>
      </w:tr>
      <w:tr w:rsidR="004344B4" w14:paraId="7E8EEDC4" w14:textId="77777777">
        <w:tc>
          <w:tcPr>
            <w:tcW w:w="0" w:type="auto"/>
          </w:tcPr>
          <w:p w14:paraId="7E2E1405" w14:textId="77777777" w:rsidR="004344B4" w:rsidRDefault="00E73DAA">
            <w:pPr>
              <w:pStyle w:val="Compact"/>
            </w:pPr>
            <w:r>
              <w:t>Karolina (WMR)</w:t>
            </w:r>
          </w:p>
        </w:tc>
        <w:tc>
          <w:tcPr>
            <w:tcW w:w="0" w:type="auto"/>
          </w:tcPr>
          <w:p w14:paraId="48C311CE" w14:textId="77777777" w:rsidR="004344B4" w:rsidRDefault="00E73DAA">
            <w:pPr>
              <w:pStyle w:val="Compact"/>
            </w:pPr>
            <w:r>
              <w:t>Updated OM status note; confirmation of MSE-01/MSE-03 drafts in shared folder.</w:t>
            </w:r>
          </w:p>
        </w:tc>
      </w:tr>
      <w:tr w:rsidR="004344B4" w14:paraId="402FB5E1" w14:textId="77777777">
        <w:tc>
          <w:tcPr>
            <w:tcW w:w="0" w:type="auto"/>
          </w:tcPr>
          <w:p w14:paraId="4C44618D" w14:textId="77777777" w:rsidR="004344B4" w:rsidRDefault="00E73DAA">
            <w:pPr>
              <w:pStyle w:val="Compact"/>
            </w:pPr>
            <w:r>
              <w:t>Niels (PFA/EU)</w:t>
            </w:r>
          </w:p>
        </w:tc>
        <w:tc>
          <w:tcPr>
            <w:tcW w:w="0" w:type="auto"/>
          </w:tcPr>
          <w:p w14:paraId="765F46E5" w14:textId="77777777" w:rsidR="004344B4" w:rsidRDefault="00E73DAA">
            <w:pPr>
              <w:pStyle w:val="Compact"/>
            </w:pPr>
            <w:r>
              <w:t>EU position on performance-metric thresholds and risk tolerance; any reservations on the Chilean creep treatment carried into the OM.</w:t>
            </w:r>
          </w:p>
        </w:tc>
      </w:tr>
      <w:tr w:rsidR="004344B4" w14:paraId="3E0616D3" w14:textId="77777777">
        <w:tc>
          <w:tcPr>
            <w:tcW w:w="0" w:type="auto"/>
          </w:tcPr>
          <w:p w14:paraId="016147CB" w14:textId="77777777" w:rsidR="004344B4" w:rsidRDefault="00E73DAA">
            <w:pPr>
              <w:pStyle w:val="Compact"/>
            </w:pPr>
            <w:r>
              <w:t>Jose Zenteno (IFOP)</w:t>
            </w:r>
          </w:p>
        </w:tc>
        <w:tc>
          <w:tcPr>
            <w:tcW w:w="0" w:type="auto"/>
          </w:tcPr>
          <w:p w14:paraId="0C0BDC10" w14:textId="77777777" w:rsidR="004344B4" w:rsidRDefault="00E73DAA">
            <w:pPr>
              <w:pStyle w:val="Compact"/>
            </w:pPr>
            <w:r>
              <w:t>Confirmed Chilean position on stock-hypothesis treatment and on the design-based vs. spatio-temporal acoustic index for robustness.</w:t>
            </w:r>
          </w:p>
        </w:tc>
      </w:tr>
      <w:tr w:rsidR="004344B4" w14:paraId="376663A5" w14:textId="77777777">
        <w:tc>
          <w:tcPr>
            <w:tcW w:w="0" w:type="auto"/>
          </w:tcPr>
          <w:p w14:paraId="0AA666CC" w14:textId="77777777" w:rsidR="004344B4" w:rsidRDefault="00E73DAA">
            <w:pPr>
              <w:pStyle w:val="Compact"/>
            </w:pPr>
            <w:r>
              <w:t>Aquiles (INPESCA)</w:t>
            </w:r>
          </w:p>
        </w:tc>
        <w:tc>
          <w:tcPr>
            <w:tcW w:w="0" w:type="auto"/>
          </w:tcPr>
          <w:p w14:paraId="2CC25C94" w14:textId="77777777" w:rsidR="004344B4" w:rsidRDefault="00E73DAA">
            <w:pPr>
              <w:pStyle w:val="Compact"/>
            </w:pPr>
            <w:r>
              <w:t>INPESCA’s contribution to the robustness set (acoustic-modelling sensitivity).</w:t>
            </w:r>
          </w:p>
        </w:tc>
      </w:tr>
      <w:tr w:rsidR="004344B4" w14:paraId="43C0DA70" w14:textId="77777777">
        <w:tc>
          <w:tcPr>
            <w:tcW w:w="0" w:type="auto"/>
          </w:tcPr>
          <w:p w14:paraId="6E098E86" w14:textId="77777777" w:rsidR="004344B4" w:rsidRDefault="00E73DAA">
            <w:pPr>
              <w:pStyle w:val="Compact"/>
            </w:pPr>
            <w:r>
              <w:t>Ignacio Paya (IFOP)</w:t>
            </w:r>
          </w:p>
        </w:tc>
        <w:tc>
          <w:tcPr>
            <w:tcW w:w="0" w:type="auto"/>
          </w:tcPr>
          <w:p w14:paraId="7FADA5DC" w14:textId="77777777" w:rsidR="004344B4" w:rsidRDefault="00E73DAA">
            <w:pPr>
              <w:pStyle w:val="Compact"/>
            </w:pPr>
            <w:r>
              <w:t>Confirmed implementation of the effort-creep treatment for cross-check at Wageningen.</w:t>
            </w:r>
          </w:p>
        </w:tc>
      </w:tr>
      <w:tr w:rsidR="004344B4" w14:paraId="6C4BCB5F" w14:textId="77777777">
        <w:tc>
          <w:tcPr>
            <w:tcW w:w="0" w:type="auto"/>
          </w:tcPr>
          <w:p w14:paraId="5888DBB8" w14:textId="77777777" w:rsidR="004344B4" w:rsidRDefault="00E73DAA">
            <w:pPr>
              <w:pStyle w:val="Compact"/>
            </w:pPr>
            <w:r>
              <w:t>Ana Alegre (IMARPE)</w:t>
            </w:r>
          </w:p>
        </w:tc>
        <w:tc>
          <w:tcPr>
            <w:tcW w:w="0" w:type="auto"/>
          </w:tcPr>
          <w:p w14:paraId="1562044D" w14:textId="77777777" w:rsidR="004344B4" w:rsidRDefault="00E73DAA">
            <w:pPr>
              <w:pStyle w:val="Compact"/>
            </w:pPr>
            <w:r>
              <w:t>Peru’s position on stock-hypothesis treatment; commitment on cross-platform validation.</w:t>
            </w:r>
          </w:p>
        </w:tc>
      </w:tr>
      <w:tr w:rsidR="004344B4" w14:paraId="3136F101" w14:textId="77777777">
        <w:tc>
          <w:tcPr>
            <w:tcW w:w="0" w:type="auto"/>
          </w:tcPr>
          <w:p w14:paraId="32C5EDB4" w14:textId="77777777" w:rsidR="004344B4" w:rsidRDefault="00E73DAA">
            <w:pPr>
              <w:pStyle w:val="Compact"/>
            </w:pPr>
            <w:r>
              <w:t>Criscely (IMARPE)</w:t>
            </w:r>
          </w:p>
        </w:tc>
        <w:tc>
          <w:tcPr>
            <w:tcW w:w="0" w:type="auto"/>
          </w:tcPr>
          <w:p w14:paraId="6E3CE555" w14:textId="77777777" w:rsidR="004344B4" w:rsidRDefault="00E73DAA">
            <w:pPr>
              <w:pStyle w:val="Compact"/>
            </w:pPr>
            <w:r>
              <w:t>Peru length-frequency status and any update to far-north composition input.</w:t>
            </w:r>
          </w:p>
        </w:tc>
      </w:tr>
      <w:tr w:rsidR="004344B4" w14:paraId="6E2F81EA" w14:textId="77777777">
        <w:tc>
          <w:tcPr>
            <w:tcW w:w="0" w:type="auto"/>
          </w:tcPr>
          <w:p w14:paraId="23C88842" w14:textId="77777777" w:rsidR="004344B4" w:rsidRDefault="00E73DAA">
            <w:pPr>
              <w:pStyle w:val="Compact"/>
            </w:pPr>
            <w:r>
              <w:t>Gersson (IMARPE)</w:t>
            </w:r>
          </w:p>
        </w:tc>
        <w:tc>
          <w:tcPr>
            <w:tcW w:w="0" w:type="auto"/>
          </w:tcPr>
          <w:p w14:paraId="5F201E19" w14:textId="77777777" w:rsidR="004344B4" w:rsidRDefault="00E73DAA">
            <w:pPr>
              <w:pStyle w:val="Compact"/>
            </w:pPr>
            <w:r>
              <w:t>Final Peru CPUE input for cross-check at Wageningen.</w:t>
            </w:r>
          </w:p>
        </w:tc>
      </w:tr>
      <w:tr w:rsidR="004344B4" w14:paraId="48B39E52" w14:textId="77777777">
        <w:tc>
          <w:tcPr>
            <w:tcW w:w="0" w:type="auto"/>
          </w:tcPr>
          <w:p w14:paraId="2F97F03C" w14:textId="77777777" w:rsidR="004344B4" w:rsidRDefault="00E73DAA">
            <w:pPr>
              <w:pStyle w:val="Compact"/>
            </w:pPr>
            <w:r>
              <w:t>Qi Lee (UW, invited)</w:t>
            </w:r>
          </w:p>
        </w:tc>
        <w:tc>
          <w:tcPr>
            <w:tcW w:w="0" w:type="auto"/>
          </w:tcPr>
          <w:p w14:paraId="72E7FBCB" w14:textId="77777777" w:rsidR="004344B4" w:rsidRDefault="00E73DAA">
            <w:pPr>
              <w:pStyle w:val="Compact"/>
            </w:pPr>
            <w:r>
              <w:t>Independent read on the frozen MP set and on the cross-platform validation protocol.</w:t>
            </w:r>
          </w:p>
        </w:tc>
      </w:tr>
    </w:tbl>
    <w:p w14:paraId="2DCD8822" w14:textId="77777777" w:rsidR="004344B4" w:rsidRDefault="00E73DAA">
      <w:r>
        <w:rPr>
          <w:noProof/>
        </w:rPr>
        <w:pict w14:anchorId="54803FFC">
          <v:rect id="_x0000_i1025" alt="" style="width:468pt;height:.05pt;mso-width-percent:0;mso-height-percent:0;mso-width-percent:0;mso-height-percent:0" o:hralign="center" o:hrstd="t" o:hr="t"/>
        </w:pict>
      </w:r>
    </w:p>
    <w:p w14:paraId="40EC39BF" w14:textId="77777777" w:rsidR="004344B4" w:rsidRDefault="00E73DAA">
      <w:pPr>
        <w:pStyle w:val="Heading2"/>
      </w:pPr>
      <w:bookmarkStart w:id="13" w:name="fallbacks-if-read-aheads-slip"/>
      <w:bookmarkStart w:id="14" w:name="_Toc231418317"/>
      <w:r>
        <w:t>4. Fallbacks if read-aheads slip</w:t>
      </w:r>
      <w:bookmarkEnd w:id="13"/>
      <w:bookmarkEnd w:id="14"/>
    </w:p>
    <w:p w14:paraId="41703379" w14:textId="77777777" w:rsidR="004344B4" w:rsidRDefault="00E73DAA">
      <w:pPr>
        <w:pStyle w:val="FirstParagraph"/>
      </w:pPr>
      <w:r>
        <w:t>If one or more of MSE-01 / MSE-02 / MSE-03 is not in the shared folder by 14:00 CEST Monday 8 June, the chair will:</w:t>
      </w:r>
    </w:p>
    <w:p w14:paraId="08736FB1" w14:textId="77777777" w:rsidR="004344B4" w:rsidRDefault="00E73DAA">
      <w:pPr>
        <w:pStyle w:val="Compact"/>
        <w:numPr>
          <w:ilvl w:val="0"/>
          <w:numId w:val="10"/>
        </w:numPr>
      </w:pPr>
      <w:r>
        <w:t xml:space="preserve">For </w:t>
      </w:r>
      <w:r>
        <w:rPr>
          <w:b/>
        </w:rPr>
        <w:t>MSE-01 missing or partial:</w:t>
      </w:r>
      <w:r>
        <w:t xml:space="preserve"> carry the MP set frozen at TG-04 into Wageningen and add new MPs only as side-by-side comparison runs, not as candidates for SC14 recommendation.</w:t>
      </w:r>
    </w:p>
    <w:p w14:paraId="4F909EC2" w14:textId="77777777" w:rsidR="004344B4" w:rsidRDefault="00E73DAA">
      <w:pPr>
        <w:pStyle w:val="Compact"/>
        <w:numPr>
          <w:ilvl w:val="0"/>
          <w:numId w:val="10"/>
        </w:numPr>
      </w:pPr>
      <w:r>
        <w:t xml:space="preserve">For </w:t>
      </w:r>
      <w:r>
        <w:rPr>
          <w:b/>
        </w:rPr>
        <w:t>MSE-02 missing or partial:</w:t>
      </w:r>
      <w:r>
        <w:t xml:space="preserve"> adopt the metric list and risk tolerance from the March working-papers plan verbatim; revisit only the time horizons during the call.</w:t>
      </w:r>
    </w:p>
    <w:p w14:paraId="7A2760EC" w14:textId="77777777" w:rsidR="004344B4" w:rsidRDefault="00E73DAA">
      <w:pPr>
        <w:pStyle w:val="Compact"/>
        <w:numPr>
          <w:ilvl w:val="0"/>
          <w:numId w:val="10"/>
        </w:numPr>
      </w:pPr>
      <w:r>
        <w:t xml:space="preserve">For </w:t>
      </w:r>
      <w:r>
        <w:rPr>
          <w:b/>
        </w:rPr>
        <w:t>MSE-03 missing or partial:</w:t>
      </w:r>
      <w:r>
        <w:t xml:space="preserve"> carry the reference set from TG-04 with the ENSO offshore-drop scenario as the only robustness axis, and flag the missing scenarios as Wageningen-week work.</w:t>
      </w:r>
    </w:p>
    <w:p w14:paraId="53BE45E1" w14:textId="77777777" w:rsidR="004344B4" w:rsidRDefault="00E73DAA">
      <w:pPr>
        <w:pStyle w:val="Compact"/>
        <w:numPr>
          <w:ilvl w:val="0"/>
          <w:numId w:val="10"/>
        </w:numPr>
      </w:pPr>
      <w:r>
        <w:lastRenderedPageBreak/>
        <w:t xml:space="preserve">For </w:t>
      </w:r>
      <w:r>
        <w:rPr>
          <w:b/>
        </w:rPr>
        <w:t>Cross-platform validation:</w:t>
      </w:r>
      <w:r>
        <w:t xml:space="preserve"> if WMR/Chile/Peru cannot agree owners during the call, the chair appoints owners by name and confirms in the meeting minutes.</w:t>
      </w:r>
    </w:p>
    <w:p w14:paraId="458BA43A" w14:textId="77777777" w:rsidR="004344B4" w:rsidRDefault="00E73DAA">
      <w:pPr>
        <w:pStyle w:val="FirstParagraph"/>
      </w:pPr>
      <w:r>
        <w:t>These fallbacks are deliberately conservative — the point is to protect Wageningen’s schedule, not to penalise the leads.</w:t>
      </w:r>
    </w:p>
    <w:sectPr w:rsidR="004344B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31E3C" w14:textId="77777777" w:rsidR="00E73DAA" w:rsidRDefault="00E73DAA">
      <w:pPr>
        <w:spacing w:after="0"/>
      </w:pPr>
      <w:r>
        <w:separator/>
      </w:r>
    </w:p>
  </w:endnote>
  <w:endnote w:type="continuationSeparator" w:id="0">
    <w:p w14:paraId="430174C3" w14:textId="77777777" w:rsidR="00E73DAA" w:rsidRDefault="00E73D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AE4A5" w14:textId="77777777" w:rsidR="00E73DAA" w:rsidRDefault="00E73DAA">
      <w:r>
        <w:separator/>
      </w:r>
    </w:p>
  </w:footnote>
  <w:footnote w:type="continuationSeparator" w:id="0">
    <w:p w14:paraId="6BD77ADF" w14:textId="77777777" w:rsidR="00E73DAA" w:rsidRDefault="00E73D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646AC46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A86CBE6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0972B19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924802912">
    <w:abstractNumId w:val="1"/>
  </w:num>
  <w:num w:numId="2" w16cid:durableId="18076252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0294474">
    <w:abstractNumId w:val="2"/>
  </w:num>
  <w:num w:numId="4" w16cid:durableId="13396949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41653177">
    <w:abstractNumId w:val="2"/>
  </w:num>
  <w:num w:numId="6" w16cid:durableId="1635214767">
    <w:abstractNumId w:val="2"/>
  </w:num>
  <w:num w:numId="7" w16cid:durableId="97069514">
    <w:abstractNumId w:val="2"/>
  </w:num>
  <w:num w:numId="8" w16cid:durableId="2044624445">
    <w:abstractNumId w:val="2"/>
  </w:num>
  <w:num w:numId="9" w16cid:durableId="248277337">
    <w:abstractNumId w:val="2"/>
  </w:num>
  <w:num w:numId="10" w16cid:durableId="399209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67E5E"/>
    <w:rsid w:val="004344B4"/>
    <w:rsid w:val="004E29B3"/>
    <w:rsid w:val="00590D07"/>
    <w:rsid w:val="00600ECF"/>
    <w:rsid w:val="00784D58"/>
    <w:rsid w:val="008700DA"/>
    <w:rsid w:val="008D6863"/>
    <w:rsid w:val="00B86B75"/>
    <w:rsid w:val="00BC48D5"/>
    <w:rsid w:val="00C36279"/>
    <w:rsid w:val="00E315A3"/>
    <w:rsid w:val="00E73DA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546E5"/>
  <w15:docId w15:val="{6BF97EED-A941-EF45-A063-41941FCAB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600ECF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00EC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1422</Words>
  <Characters>8589</Characters>
  <Application>Microsoft Office Word</Application>
  <DocSecurity>0</DocSecurity>
  <Lines>140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TG-05 — Pre-Wageningen Final Preparation</vt:lpstr>
    </vt:vector>
  </TitlesOfParts>
  <Company>Alaska Fisheries Science Center</Company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TG-05 — Pre-Wageningen Final Preparation</dc:title>
  <dc:creator>J. Ianelli, JMWG Chair</dc:creator>
  <cp:keywords/>
  <cp:lastModifiedBy>James Ianelli</cp:lastModifiedBy>
  <cp:revision>2</cp:revision>
  <dcterms:created xsi:type="dcterms:W3CDTF">2026-06-06T13:54:00Z</dcterms:created>
  <dcterms:modified xsi:type="dcterms:W3CDTF">2026-06-06T13:54:00Z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June 2026</vt:lpwstr>
  </property>
</Properties>
</file>