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1.png" ContentType="image/png"/>
  <Override PartName="/word/media/rId32.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2026-06-19</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19 June 2026 12:27 CEST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bookmarkStart w:id="15" w:name="summary"/>
    <w:p>
      <w:pPr>
        <w:pStyle w:val="Heading1"/>
      </w:pPr>
      <w:r>
        <w:t xml:space="preserve">Summary</w:t>
      </w:r>
    </w:p>
    <w:p>
      <w:pPr>
        <w:numPr>
          <w:ilvl w:val="0"/>
          <w:numId w:val="1001"/>
        </w:numPr>
      </w:pPr>
      <w:r>
        <w:t xml:space="preserve">This report summarizes the current state of the 2026 Jack Mackerel Working Group Management Strategy Evaluation (MSE) workshop report, held in Wageningen, the Netherlands. The workshop continued the MSE programme advanced at SCW15 and focused on preparing operating models (OMs), candidate management procedures (CMPs), performance metrics,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alternatives or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use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The report records that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to identify data patterns associated with poor CMP performance, compare type I and type II error rates, and support a transparent process for determining whether observations fall outside the range of conditions represented in the MSE.</w:t>
      </w:r>
    </w:p>
    <w:bookmarkStart w:id="14" w:name="recommendations-and-conclusions"/>
    <w:p>
      <w:pPr>
        <w:pStyle w:val="Heading2"/>
      </w:pPr>
      <w:r>
        <w:t xml:space="preserve">Recommendations and Conclusions</w:t>
      </w:r>
    </w:p>
    <w:p>
      <w:pPr>
        <w:pStyle w:val="FirstParagraph"/>
      </w:pPr>
      <w:r>
        <w:t xml:space="preserve">The following recommendations and conclusions were identified for the summary of events:</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SC12 was retained as a robustness test. The 0.65 steepness OM and 0.8 steepness OM were weighted equally in the final performance statistics.</w:t>
      </w:r>
    </w:p>
    <w:p>
      <w:pPr>
        <w:pStyle w:val="Compact"/>
        <w:numPr>
          <w:ilvl w:val="0"/>
          <w:numId w:val="1002"/>
        </w:numPr>
      </w:pPr>
      <w:r>
        <w:rPr>
          <w:b/>
          <w:bCs/>
        </w:rPr>
        <w:t xml:space="preserve">OM conditioning:</w:t>
      </w:r>
      <w:r>
        <w:t xml:space="preserve"> </w:t>
      </w:r>
      <w:r>
        <w:t xml:space="preserve">The group included autocorrelation in recruitment deviations and cross-correlation between index deviations. A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on the basis of OM constant-F forecasts. Biomass status was defined as biomass relative to dynamic B</w:t>
      </w:r>
      <w:r>
        <w:rPr>
          <w:vertAlign w:val="subscript"/>
        </w:rPr>
        <w:t xml:space="preserve">0</w:t>
      </w:r>
      <w:r>
        <w:t xml:space="preserve">.</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expectations were accounted for through performance statistics on catches below 270 thousand tonnes per year. TAC caps of -15% and +20% were tested, with mirrored scenarios also included.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recruitment impacts and was considered sufficient for addressing ENSO-related impacts on the stock at this stage.</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further work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The group had not yet selected a smaller set of priority statistics.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4"/>
    <w:bookmarkEnd w:id="15"/>
    <w:bookmarkStart w:id="16"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6"/>
    <w:bookmarkStart w:id="19" w:name="developments-since-the-benchmark"/>
    <w:p>
      <w:pPr>
        <w:pStyle w:val="Heading1"/>
      </w:pPr>
      <w:r>
        <w:t xml:space="preserve">Developments Since the Benchmark</w:t>
      </w:r>
    </w:p>
    <w:bookmarkStart w:id="17"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17"/>
    <w:bookmarkStart w:id="18"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 and noted that naive merging of components should be avoided.</w:t>
      </w:r>
    </w:p>
    <w:p>
      <w:pPr>
        <w:numPr>
          <w:ilvl w:val="0"/>
          <w:numId w:val="1007"/>
        </w:numPr>
      </w:pPr>
      <w:r>
        <w:t xml:space="preserve">The two-stock configurations showed somewhat different MCMC behaviour but remained usable for comparison. The group noted that structurally divergent OMs are harder to tune jointly and require careful communication if they are included in the reference or robustness set.</w:t>
      </w:r>
    </w:p>
    <w:bookmarkEnd w:id="18"/>
    <w:bookmarkEnd w:id="19"/>
    <w:bookmarkStart w:id="25" w:name="operating-model-specifications"/>
    <w:p>
      <w:pPr>
        <w:pStyle w:val="Heading1"/>
      </w:pPr>
      <w:r>
        <w:t xml:space="preserve">Operating-Model Specifications</w:t>
      </w:r>
    </w:p>
    <w:bookmarkStart w:id="20"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On combining multiple indices in empirical rules, the group agreed that weighting by representativity was more appropriate than weighting by catch.</w:t>
      </w:r>
    </w:p>
    <w:bookmarkEnd w:id="20"/>
    <w:bookmarkStart w:id="21" w:name="operating-model-reference-set"/>
    <w:p>
      <w:pPr>
        <w:pStyle w:val="Heading2"/>
      </w:pPr>
      <w:r>
        <w:t xml:space="preserve">Operating-Model Reference Set</w:t>
      </w:r>
    </w:p>
    <w:p>
      <w:pPr>
        <w:numPr>
          <w:ilvl w:val="0"/>
          <w:numId w:val="1009"/>
        </w:numPr>
      </w:pPr>
      <w:r>
        <w:t xml:space="preserve">The composition of the OM reference set was debated, including the implications of model 0.00 as an optimistic high-biomass, low-exploitation outcome that could affect CMP tuning and communication. The practical approach was to focus immediate tuning work on model 0.16, while retaining model 0.00 and the SC13-era configuration as clearly labelled alternatives or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p>
      <w:pPr>
        <w:numPr>
          <w:ilvl w:val="0"/>
          <w:numId w:val="1009"/>
        </w:numPr>
      </w:pPr>
      <w:r>
        <w:t xml:space="preserve">The group discussed using cross-correlation among indices to simulate future recruitment deviations. Participants noted that historical correlations are approximate because the series include changes in catchability and selectivity, whereas the projection settings use the more recent period. Residual autocorrelation should also be represented where possible.</w:t>
      </w:r>
    </w:p>
    <w:p>
      <w:pPr>
        <w:numPr>
          <w:ilvl w:val="0"/>
          <w:numId w:val="1009"/>
        </w:numPr>
      </w:pPr>
      <w:r>
        <w:t xml:space="preserve">The group agreed to implement an approximate treatment rather than attempting a fully specified multivariate autocorrelated time-series model. The practical check is whether simulated deviations are consistent with the historical period and suitable for testing CMPs.</w:t>
      </w:r>
    </w:p>
    <w:bookmarkEnd w:id="21"/>
    <w:bookmarkStart w:id="22"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potentially through resampling high- and low-productivity historical periods, rather than as an integral component of the reference simulations.</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2"/>
    <w:bookmarkStart w:id="24"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1.14,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3"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3"/>
        </w:tc>
      </w:tr>
    </w:tbl>
    <w:bookmarkEnd w:id="24"/>
    <w:bookmarkEnd w:id="25"/>
    <w:bookmarkStart w:id="37"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and evaluating whether these constraints still allow the CMP to respond quickly enough to low-recruitment events. The group favored piecewise-linear terminology for these rules, while retaining existing code labels where needed.</w:t>
      </w:r>
    </w:p>
    <w:p>
      <w:pPr>
        <w:numPr>
          <w:ilvl w:val="0"/>
          <w:numId w:val="1012"/>
        </w:numPr>
      </w:pPr>
      <w:r>
        <w:t xml:space="preserve">There was also discussion of which indices should feed CMPs. The initial rules used a small set of indices, but participants discussed adding or comparing additional indices, including acoustic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29" w:name="fig-cmp-reference-base-tuning"/>
          <w:p>
            <w:pPr>
              <w:pStyle w:val="Compact"/>
              <w:jc w:val="center"/>
            </w:pPr>
            <w:r>
              <w:drawing>
                <wp:inline>
                  <wp:extent cx="5334000" cy="3048000"/>
                  <wp:effectExtent b="0" l="0" r="0" t="0"/>
                  <wp:docPr descr="" title="" id="27" name="Picture"/>
                  <a:graphic>
                    <a:graphicData uri="http://schemas.openxmlformats.org/drawingml/2006/picture">
                      <pic:pic>
                        <pic:nvPicPr>
                          <pic:cNvPr descr="figures/cmp-reference-base-tuning.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29"/>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P(kg)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Chile-requested variants with a 270 thousand tonne minimum catch, an asymmetric TAC-change constraint, and a special Chile-shape variant (</w:t>
      </w:r>
      <w:hyperlink w:anchor="tbl-cmp-second-set">
        <w:r>
          <w:rPr>
            <w:rStyle w:val="Hyperlink"/>
          </w:rPr>
          <w:t xml:space="preserve">Table 3</w:t>
        </w:r>
      </w:hyperlink>
      <w:r>
        <w:t xml:space="preserve">). This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0"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5" w:name="fig-hcr-faceted"/>
          <w:p>
            <w:pPr>
              <w:pStyle w:val="Compact"/>
              <w:jc w:val="center"/>
            </w:pPr>
            <w:r>
              <w:drawing>
                <wp:inline>
                  <wp:extent cx="5334000" cy="4267200"/>
                  <wp:effectExtent b="0" l="0" r="0" t="0"/>
                  <wp:docPr descr="" title="" id="33" name="Picture"/>
                  <a:graphic>
                    <a:graphicData uri="http://schemas.openxmlformats.org/drawingml/2006/picture">
                      <pic:pic>
                        <pic:nvPicPr>
                          <pic:cNvPr descr="SCW17-MSE-Workshop-report_files/figure-docx/fig-hcr-face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5"/>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6">
        <w:r>
          <w:rPr>
            <w:rStyle w:val="Hyperlink"/>
          </w:rPr>
          <w:t xml:space="preserve">SCW17/Paper-09: CMP test instructions</w:t>
        </w:r>
      </w:hyperlink>
      <w:r>
        <w:t xml:space="preserve">.</w:t>
      </w:r>
    </w:p>
    <w:bookmarkEnd w:id="37"/>
    <w:bookmarkStart w:id="49" w:name="Xf14104c8b0128a6d0b4aafde13bfb9db0923d6b"/>
    <w:p>
      <w:pPr>
        <w:pStyle w:val="Heading1"/>
      </w:pPr>
      <w:r>
        <w:t xml:space="preserve">Trade-offs, Robustness, and Performance Metrics</w:t>
      </w:r>
    </w:p>
    <w:bookmarkStart w:id="39"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38">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39"/>
    <w:bookmarkStart w:id="40"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p>
    <w:bookmarkEnd w:id="40"/>
    <w:bookmarkStart w:id="43"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1">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2">
        <w:r>
          <w:rPr>
            <w:rStyle w:val="Hyperlink"/>
          </w:rPr>
          <w:t xml:space="preserve">https://shiny.bluematterscience.com/app/slick</w:t>
        </w:r>
      </w:hyperlink>
      <w:r>
        <w:t xml:space="preserve">; the preliminary jack mackerel Slick object can be uploaded there for interactive review.</w:t>
      </w:r>
    </w:p>
    <w:bookmarkEnd w:id="43"/>
    <w:bookmarkStart w:id="48"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47" w:name="fig-ecp-preliminary"/>
          <w:p>
            <w:pPr>
              <w:pStyle w:val="Compact"/>
              <w:jc w:val="center"/>
            </w:pPr>
            <w:r>
              <w:drawing>
                <wp:inline>
                  <wp:extent cx="5334000" cy="3012578"/>
                  <wp:effectExtent b="0" l="0" r="0" t="0"/>
                  <wp:docPr descr="" title="" id="45" name="Picture"/>
                  <a:graphic>
                    <a:graphicData uri="http://schemas.openxmlformats.org/drawingml/2006/picture">
                      <pic:pic>
                        <pic:nvPicPr>
                          <pic:cNvPr descr="figures/ecp-preliminary-screenshot.png" id="46" name="Picture"/>
                          <pic:cNvPicPr>
                            <a:picLocks noChangeArrowheads="1" noChangeAspect="1"/>
                          </pic:cNvPicPr>
                        </pic:nvPicPr>
                        <pic:blipFill>
                          <a:blip r:embed="rId44"/>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47"/>
        </w:tc>
      </w:tr>
    </w:tbl>
    <w:bookmarkEnd w:id="48"/>
    <w:bookmarkEnd w:id="49"/>
    <w:bookmarkStart w:id="52" w:name="planning-for-sc14-and-next-steps"/>
    <w:p>
      <w:pPr>
        <w:pStyle w:val="Heading1"/>
      </w:pPr>
      <w:r>
        <w:t xml:space="preserve">Planning for SC14 and Next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Preliminary note</w:t>
            </w:r>
          </w:p>
        </w:tc>
      </w:tr>
      <w:tr>
        <w:trPr>
          <w:cantSplit/>
        </w:trPr>
        <w:tc>
          <w:tcPr>
            <w:tcMar>
              <w:top w:w="108" w:type="dxa"/>
              <w:bottom w:w="108" w:type="dxa"/>
            </w:tcMar>
          </w:tcPr>
          <w:p>
            <w:pPr>
              <w:pStyle w:val="BodyText"/>
            </w:pPr>
            <w:pPr>
              <w:spacing w:before="16"/>
            </w:pPr>
            <w:r>
              <w:t xml:space="preserve">The following planning notes are preliminary and will likely be deleted or stated elsewhere in the final workshop report.</w:t>
            </w:r>
          </w:p>
          <w:p>
            <w:pPr>
              <w:numPr>
                <w:ilvl w:val="0"/>
                <w:numId w:val="1019"/>
              </w:numPr>
            </w:pPr>
            <w:r>
              <w:t xml:space="preserve">The Day 2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1.14,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suggested 24 July 2026 as a potential date for a technical meeting before SC14. The purpose would be to review updated CMP performance summaries, robustness-test results, and any remaining implementation issues before materials are finalized for Scientific Committee consideration. The meeting should be a technical review of the narrowed CMP set, diagnostics, and suitability of the results rather than a reopening of the CMP design process.</w:t>
            </w:r>
          </w:p>
          <w:p>
            <w:pPr>
              <w:numPr>
                <w:ilvl w:val="0"/>
                <w:numId w:val="1019"/>
              </w:numPr>
            </w:pPr>
            <w:r>
              <w:t xml:space="preserve">The group noted that the tasks identified as needing to be completed during this workshop were completed. A second set of items was identified as material the group wished to see included in the MSE report to SC14, including the final CMP run list, updated CMP performance summaries, robustness-test results, documentation of recruitment and index simulation assumptions, documentation of remaining implementation choices, and clear presentation of the rationale for the CMP shortlist.</w:t>
            </w:r>
          </w:p>
          <w:p>
            <w:pPr>
              <w:numPr>
                <w:ilvl w:val="0"/>
                <w:numId w:val="1019"/>
              </w:numPr>
            </w:pPr>
            <w:r>
              <w:t xml:space="preserve">Follow-up actions from Day 1 included:</w:t>
            </w:r>
          </w:p>
          <w:p>
            <w:pPr>
              <w:pStyle w:val="Compact"/>
              <w:numPr>
                <w:ilvl w:val="0"/>
                <w:numId w:val="1020"/>
              </w:numPr>
            </w:pPr>
            <w:r>
              <w:t xml:space="preserve">The assessment team will provide model 0.16 diagnostics for comparison with other variants, reintroduce explicit effort constraints to limit implausible inter-annual effort spikes for Peru artisanal fisheries, display the previously submitted document on the Peru two-regime hypothesis, and add an F~35%-based comparison figure with documented selectivity assumptions and averaging windows.</w:t>
            </w:r>
          </w:p>
          <w:p>
            <w:pPr>
              <w:pStyle w:val="Compact"/>
              <w:numPr>
                <w:ilvl w:val="0"/>
                <w:numId w:val="1020"/>
              </w:numPr>
            </w:pPr>
            <w:r>
              <w:t xml:space="preserve">I. Paya will confirm whether model 0.00 matches the previous year’s spawning-biomass estimates.</w:t>
            </w:r>
          </w:p>
          <w:p>
            <w:pPr>
              <w:pStyle w:val="Compact"/>
              <w:numPr>
                <w:ilvl w:val="0"/>
                <w:numId w:val="1020"/>
              </w:numPr>
            </w:pPr>
            <w:r>
              <w:t xml:space="preserve">The Working Group will decide whether to freeze current data inputs and proceed with OM conditioning, and compare model configurations to assess robustness and the effect of Peruvian CPUE changes.</w:t>
            </w:r>
          </w:p>
          <w:p>
            <w:pPr>
              <w:pStyle w:val="Compact"/>
              <w:numPr>
                <w:ilvl w:val="0"/>
                <w:numId w:val="1020"/>
              </w:numPr>
            </w:pPr>
            <w:r>
              <w:t xml:space="preserve">Analysts will focus immediate CMP tuning work on model 0.16 and present model 0.00 as a labelled alternative.</w:t>
            </w:r>
          </w:p>
          <w:p>
            <w:pPr>
              <w:pStyle w:val="Compact"/>
              <w:numPr>
                <w:ilvl w:val="0"/>
                <w:numId w:val="1020"/>
              </w:numPr>
            </w:pPr>
            <w:r>
              <w:t xml:space="preserve">Workshop organizers will prepare final Paper 01 and the workshop report for Scientific Committee submission.</w:t>
            </w:r>
          </w:p>
          <w:p>
            <w:pPr>
              <w:pStyle w:val="Compact"/>
              <w:numPr>
                <w:ilvl w:val="0"/>
                <w:numId w:val="1021"/>
              </w:numPr>
            </w:pPr>
            <w:r>
              <w:t xml:space="preserve">Follow-up actions from Day 2 included:</w:t>
            </w:r>
          </w:p>
          <w:p>
            <w:pPr>
              <w:pStyle w:val="Compact"/>
              <w:numPr>
                <w:ilvl w:val="0"/>
                <w:numId w:val="1022"/>
              </w:numPr>
            </w:pPr>
            <w:r>
              <w:t xml:space="preserve">I. Mosqueira and team will implement approximate recruitment-deviation simulation with autocorrelation, compare simulations against the historical period, finalize and distribute the agreed OM set and naming conventions, and run the recruitment-deviation scenarios with the reference OM.</w:t>
            </w:r>
          </w:p>
          <w:p>
            <w:pPr>
              <w:pStyle w:val="Compact"/>
              <w:numPr>
                <w:ilvl w:val="0"/>
                <w:numId w:val="1022"/>
              </w:numPr>
            </w:pPr>
            <w:r>
              <w:t xml:space="preserve">The assessment team will clarify and fix the anomalous F forecast identified in the OM set.</w:t>
            </w:r>
          </w:p>
          <w:p>
            <w:pPr>
              <w:pStyle w:val="Compact"/>
              <w:numPr>
                <w:ilvl w:val="0"/>
                <w:numId w:val="1022"/>
              </w:numPr>
            </w:pPr>
            <w:r>
              <w:t xml:space="preserve">The Working Group will resolve how the northern stock can be handled by defining an appropriate F</w:t>
            </w:r>
            <w:r>
              <w:rPr>
                <w:vertAlign w:val="subscript"/>
              </w:rPr>
              <w:t xml:space="preserve">MSY</w:t>
            </w:r>
            <w:r>
              <w:t xml:space="preserve"> </w:t>
            </w:r>
            <w:r>
              <w:t xml:space="preserve">treatment inside the CMP.</w:t>
            </w:r>
          </w:p>
          <w:p>
            <w:pPr>
              <w:pStyle w:val="Compact"/>
              <w:numPr>
                <w:ilvl w:val="0"/>
                <w:numId w:val="1022"/>
              </w:numPr>
            </w:pPr>
            <w:r>
              <w:t xml:space="preserve">J. Ianelli and T. Carruthers will prepare a Scientific Committee presentation on climate treatment in the MSE.</w:t>
            </w:r>
          </w:p>
          <w:p>
            <w:pPr>
              <w:pStyle w:val="Compact"/>
              <w:numPr>
                <w:ilvl w:val="0"/>
                <w:numId w:val="1022"/>
              </w:numPr>
            </w:pPr>
            <w:r>
              <w:t xml:space="preserve">J. Ianelli and the assessment team will produce proxy-based Kobe plots and constant-F yield-curve reference-point calculations.</w:t>
            </w:r>
          </w:p>
          <w:p>
            <w:pPr>
              <w:pStyle w:val="Compact"/>
              <w:numPr>
                <w:ilvl w:val="0"/>
                <w:numId w:val="1023"/>
              </w:numPr>
            </w:pPr>
            <w:r>
              <w:t xml:space="preserve">Issues identified for further work during the remainder of SCW17 included the final composition and weighting of the OM reference set; the relative influence of Peruvian CPUE changes, effort-creep treatment, and alternative biological interpretations on model 0.16; how to simulate standardized CPUE and other indices in forward projections; whether structurally divergent OMs should be tuned jointly or treated separately; instability in dynamic reference points and apical-F metrics; the choice of running-average window for reference-point calculations; the effect of including optimistic alternatives on probability-of-green-zone tuning and Commission communication; the operational definition and response process for exceptional circumstances; the approximate nature of autocorrelated, multivariate recruitment simulation; the Scientific Committee framing of climate effects; the anomalous F forecast; the northern-stock F</w:t>
            </w:r>
            <w:r>
              <w:rPr>
                <w:vertAlign w:val="subscript"/>
              </w:rPr>
              <w:t xml:space="preserve">MSY</w:t>
            </w:r>
            <w:r>
              <w:t xml:space="preserve"> </w:t>
            </w:r>
            <w:r>
              <w:t xml:space="preserve">definition inside the CMP; and the total OM count and associated computational load.</w:t>
            </w:r>
          </w:p>
          <w:p/>
        </w:tc>
      </w:tr>
    </w:tbl>
    <w:bookmarkEnd w:id="52"/>
    <w:bookmarkStart w:id="60" w:name="references"/>
    <w:p>
      <w:pPr>
        <w:pStyle w:val="Heading1"/>
      </w:pPr>
      <w:r>
        <w:t xml:space="preserve">References</w:t>
      </w:r>
    </w:p>
    <w:p>
      <w:pPr>
        <w:pStyle w:val="Compact"/>
        <w:numPr>
          <w:ilvl w:val="0"/>
          <w:numId w:val="1024"/>
        </w:numPr>
      </w:pPr>
      <w:r>
        <w:t xml:space="preserve">SPRFMO. 2025. Report of the Management Strategy Evaluation Workshop (SCW15), 14-18 July 2025.</w:t>
      </w:r>
      <w:r>
        <w:t xml:space="preserve"> </w:t>
      </w:r>
      <w:hyperlink r:id="rId53">
        <w:r>
          <w:rPr>
            <w:rStyle w:val="Hyperlink"/>
          </w:rPr>
          <w:t xml:space="preserve">https://sprfmo.github.io/SCW15_report/</w:t>
        </w:r>
      </w:hyperlink>
    </w:p>
    <w:p>
      <w:pPr>
        <w:pStyle w:val="Compact"/>
        <w:numPr>
          <w:ilvl w:val="0"/>
          <w:numId w:val="1024"/>
        </w:numPr>
      </w:pPr>
      <w:r>
        <w:t xml:space="preserve">SPRFMO. 2026. JMWG Benchmark Meeting Report 2026, 18-22 May 2026, Lima.</w:t>
      </w:r>
      <w:r>
        <w:t xml:space="preserve"> </w:t>
      </w:r>
      <w:hyperlink r:id="rId54">
        <w:r>
          <w:rPr>
            <w:rStyle w:val="Hyperlink"/>
          </w:rPr>
          <w:t xml:space="preserve">https://sprfmo.github.io/JM_SCW_prep/JMWG-Benchmark-Meeting-report-2026.html</w:t>
        </w:r>
      </w:hyperlink>
    </w:p>
    <w:p>
      <w:pPr>
        <w:pStyle w:val="Compact"/>
        <w:numPr>
          <w:ilvl w:val="0"/>
          <w:numId w:val="1024"/>
        </w:numPr>
      </w:pPr>
      <w:r>
        <w:t xml:space="preserve">SPRFMO. 2026. SCW17 working documents.</w:t>
      </w:r>
      <w:r>
        <w:t xml:space="preserve"> </w:t>
      </w:r>
      <w:hyperlink r:id="rId55">
        <w:r>
          <w:rPr>
            <w:rStyle w:val="Hyperlink"/>
          </w:rPr>
          <w:t xml:space="preserve">https://sprfmo.github.io/scw17/</w:t>
        </w:r>
      </w:hyperlink>
    </w:p>
    <w:p>
      <w:pPr>
        <w:pStyle w:val="Compact"/>
        <w:numPr>
          <w:ilvl w:val="0"/>
          <w:numId w:val="1024"/>
        </w:numPr>
      </w:pPr>
      <w:r>
        <w:t xml:space="preserve">Carruthers, T. R. 2024a. Developing the Climate Test: Robustness Trials for Climate-Ready Management Procedures. SCRS/2024/104. Collect. Vol. Sci. Pap. ICCAT, 81(6): 1-26.</w:t>
      </w:r>
      <w:r>
        <w:t xml:space="preserve"> </w:t>
      </w:r>
      <w:hyperlink r:id="rId56">
        <w:r>
          <w:rPr>
            <w:rStyle w:val="Hyperlink"/>
          </w:rPr>
          <w:t xml:space="preserve">https://www.iccat.int/Documents/CVSP/CV081_2024/n_6/CV08106104.pdf</w:t>
        </w:r>
      </w:hyperlink>
    </w:p>
    <w:p>
      <w:pPr>
        <w:pStyle w:val="Compact"/>
        <w:numPr>
          <w:ilvl w:val="0"/>
          <w:numId w:val="1024"/>
        </w:numPr>
      </w:pPr>
      <w:r>
        <w:t xml:space="preserve">Carruthers, T. R. 2024b. Developing the Climate Test: Performance Metrics of Climate Robustness. SCRS/2024/148. Collect. Vol. Sci. Pap. ICCAT, 81(2): 1-7.</w:t>
      </w:r>
      <w:r>
        <w:t xml:space="preserve"> </w:t>
      </w:r>
      <w:hyperlink r:id="rId57">
        <w:r>
          <w:rPr>
            <w:rStyle w:val="Hyperlink"/>
          </w:rPr>
          <w:t xml:space="preserve">https://www.iccat.int/Documents/CVSP/CV081_2024/n_2/CV08102148.pdf</w:t>
        </w:r>
      </w:hyperlink>
    </w:p>
    <w:p>
      <w:pPr>
        <w:pStyle w:val="Compact"/>
        <w:numPr>
          <w:ilvl w:val="0"/>
          <w:numId w:val="1024"/>
        </w:numPr>
      </w:pPr>
      <w:r>
        <w:t xml:space="preserve">Carruthers, T. 2026. Developing the Climate Test: Climate Robustness as an Attribute of Management Procedures. Presentation to the SPRFMO Jack Mackerel MSE Workshop, 15 June 2026.</w:t>
      </w:r>
    </w:p>
    <w:p>
      <w:pPr>
        <w:pStyle w:val="Compact"/>
        <w:numPr>
          <w:ilvl w:val="0"/>
          <w:numId w:val="1024"/>
        </w:numPr>
      </w:pPr>
      <w:r>
        <w:t xml:space="preserve">Blue Matter Science. 2026a. ECP: Exceptional Circumstances Protocols for Adopted Management Procedures. R Shiny application.</w:t>
      </w:r>
      <w:r>
        <w:t xml:space="preserve"> </w:t>
      </w:r>
      <w:hyperlink r:id="rId58">
        <w:r>
          <w:rPr>
            <w:rStyle w:val="Hyperlink"/>
          </w:rPr>
          <w:t xml:space="preserve">https://shiny.bluematterscience.com/</w:t>
        </w:r>
      </w:hyperlink>
    </w:p>
    <w:p>
      <w:pPr>
        <w:pStyle w:val="Compact"/>
        <w:numPr>
          <w:ilvl w:val="0"/>
          <w:numId w:val="1024"/>
        </w:numPr>
      </w:pPr>
      <w:r>
        <w:t xml:space="preserve">Blue Matter Science. 2026b. Slick: Interactive Visualization of MSE Results. R package and Shiny application.</w:t>
      </w:r>
      <w:r>
        <w:t xml:space="preserve"> </w:t>
      </w:r>
      <w:hyperlink r:id="rId59">
        <w:r>
          <w:rPr>
            <w:rStyle w:val="Hyperlink"/>
          </w:rPr>
          <w:t xml:space="preserve">https://slick.bluematterscience.com/</w:t>
        </w:r>
      </w:hyperlink>
    </w:p>
    <w:p>
      <w:pPr>
        <w:pStyle w:val="Compact"/>
        <w:numPr>
          <w:ilvl w:val="0"/>
          <w:numId w:val="1024"/>
        </w:numPr>
      </w:pPr>
      <w:r>
        <w:t xml:space="preserve">Annex K. Original jack mackerel management procedure.</w:t>
      </w:r>
    </w:p>
    <w:bookmarkEnd w:id="60"/>
    <w:bookmarkStart w:id="64"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r>
              <w:t xml:space="preserve">Role</w:t>
            </w:r>
          </w:p>
        </w:tc>
      </w:tr>
      <w:tr>
        <w:tc>
          <w:tcPr/>
          <w:p>
            <w:pPr>
              <w:pStyle w:val="Compact"/>
            </w:pPr>
            <w:r>
              <w:t xml:space="preserve">Jim Ianelli</w:t>
            </w:r>
          </w:p>
        </w:tc>
        <w:tc>
          <w:tcPr/>
          <w:p>
            <w:pPr>
              <w:pStyle w:val="Compact"/>
            </w:pPr>
            <w:r>
              <w:t xml:space="preserve">NOAA Fisheries (USA)</w:t>
            </w:r>
          </w:p>
        </w:tc>
        <w:tc>
          <w:tcPr/>
          <w:p>
            <w:pPr>
              <w:pStyle w:val="Compact"/>
            </w:pPr>
            <w:r>
              <w:t xml:space="preserve">Chair / coordinator</w:t>
            </w:r>
          </w:p>
        </w:tc>
      </w:tr>
      <w:tr>
        <w:tc>
          <w:tcPr/>
          <w:p>
            <w:pPr>
              <w:pStyle w:val="Compact"/>
            </w:pPr>
            <w:r>
              <w:t xml:space="preserve">Niels Hintzen</w:t>
            </w:r>
          </w:p>
        </w:tc>
        <w:tc>
          <w:tcPr/>
          <w:p>
            <w:pPr>
              <w:pStyle w:val="Compact"/>
            </w:pPr>
            <w:r>
              <w:t xml:space="preserve">PFA (EU delegation)</w:t>
            </w:r>
          </w:p>
        </w:tc>
        <w:tc>
          <w:tcPr/>
          <w:p>
            <w:pPr>
              <w:pStyle w:val="Compact"/>
            </w:pPr>
            <w:r>
              <w:t xml:space="preserve">Local organizer / rapporteur</w:t>
            </w:r>
          </w:p>
        </w:tc>
      </w:tr>
      <w:tr>
        <w:tc>
          <w:tcPr/>
          <w:p>
            <w:pPr>
              <w:pStyle w:val="Compact"/>
            </w:pPr>
            <w:r>
              <w:t xml:space="preserve">Karolina Molla Gazi</w:t>
            </w:r>
          </w:p>
        </w:tc>
        <w:tc>
          <w:tcPr/>
          <w:p>
            <w:pPr>
              <w:pStyle w:val="Compact"/>
            </w:pPr>
            <w:r>
              <w:t xml:space="preserve">European Union delegation</w:t>
            </w:r>
          </w:p>
        </w:tc>
        <w:tc>
          <w:tcPr/>
          <w:p>
            <w:pPr>
              <w:pStyle w:val="Compact"/>
            </w:pPr>
            <w:r>
              <w:t xml:space="preserve">Member</w:t>
            </w:r>
          </w:p>
        </w:tc>
      </w:tr>
      <w:tr>
        <w:tc>
          <w:tcPr/>
          <w:p>
            <w:pPr>
              <w:pStyle w:val="Compact"/>
            </w:pPr>
            <w:r>
              <w:t xml:space="preserve">Iago Mosqueira</w:t>
            </w:r>
          </w:p>
        </w:tc>
        <w:tc>
          <w:tcPr/>
          <w:p>
            <w:pPr>
              <w:pStyle w:val="Compact"/>
            </w:pPr>
            <w:r>
              <w:t xml:space="preserve">MSE analyst (FLR / openMSE)</w:t>
            </w:r>
          </w:p>
        </w:tc>
        <w:tc>
          <w:tcPr/>
          <w:p>
            <w:pPr>
              <w:pStyle w:val="Compact"/>
            </w:pPr>
            <w:r>
              <w:t xml:space="preserve">Analyst</w:t>
            </w:r>
          </w:p>
        </w:tc>
      </w:tr>
      <w:tr>
        <w:tc>
          <w:tcPr/>
          <w:p>
            <w:pPr>
              <w:pStyle w:val="Compact"/>
            </w:pPr>
            <w:r>
              <w:t xml:space="preserve">Benoit Berges</w:t>
            </w:r>
          </w:p>
        </w:tc>
        <w:tc>
          <w:tcPr/>
          <w:p>
            <w:pPr>
              <w:pStyle w:val="Compact"/>
            </w:pPr>
            <w:r>
              <w:t xml:space="preserve">Wageningen Marine Research</w:t>
            </w:r>
          </w:p>
        </w:tc>
        <w:tc>
          <w:tcPr/>
          <w:p>
            <w:pPr>
              <w:pStyle w:val="Compact"/>
            </w:pPr>
            <w:r>
              <w:t xml:space="preserve">Member</w:t>
            </w:r>
          </w:p>
        </w:tc>
      </w:tr>
      <w:tr>
        <w:tc>
          <w:tcPr/>
          <w:p>
            <w:pPr>
              <w:pStyle w:val="Compact"/>
            </w:pPr>
            <w:r>
              <w:t xml:space="preserve">Ignacio Paya</w:t>
            </w:r>
          </w:p>
        </w:tc>
        <w:tc>
          <w:tcPr/>
          <w:p>
            <w:pPr>
              <w:pStyle w:val="Compact"/>
            </w:pPr>
            <w:r>
              <w:t xml:space="preserve">IFOP (Chile)</w:t>
            </w:r>
          </w:p>
        </w:tc>
        <w:tc>
          <w:tcPr/>
          <w:p>
            <w:pPr>
              <w:pStyle w:val="Compact"/>
            </w:pPr>
            <w:r>
              <w:t xml:space="preserve">Member</w:t>
            </w:r>
          </w:p>
        </w:tc>
      </w:tr>
      <w:tr>
        <w:tc>
          <w:tcPr/>
          <w:p>
            <w:pPr>
              <w:pStyle w:val="Compact"/>
            </w:pPr>
            <w:r>
              <w:t xml:space="preserve">Jose Zenteno</w:t>
            </w:r>
          </w:p>
        </w:tc>
        <w:tc>
          <w:tcPr/>
          <w:p>
            <w:pPr>
              <w:pStyle w:val="Compact"/>
            </w:pPr>
            <w:r>
              <w:t xml:space="preserve">IFOP (Chile)</w:t>
            </w:r>
          </w:p>
        </w:tc>
        <w:tc>
          <w:tcPr/>
          <w:p>
            <w:pPr>
              <w:pStyle w:val="Compact"/>
            </w:pPr>
            <w:r>
              <w:t xml:space="preserve">Member</w:t>
            </w:r>
          </w:p>
        </w:tc>
      </w:tr>
      <w:tr>
        <w:tc>
          <w:tcPr/>
          <w:p>
            <w:pPr>
              <w:pStyle w:val="Compact"/>
            </w:pPr>
            <w:r>
              <w:t xml:space="preserve">Aquiles Sepulveda</w:t>
            </w:r>
          </w:p>
        </w:tc>
        <w:tc>
          <w:tcPr/>
          <w:p>
            <w:pPr>
              <w:pStyle w:val="Compact"/>
            </w:pPr>
            <w:r>
              <w:t xml:space="preserve">INPESCA (Chile)</w:t>
            </w:r>
          </w:p>
        </w:tc>
        <w:tc>
          <w:tcPr/>
          <w:p>
            <w:pPr>
              <w:pStyle w:val="Compact"/>
            </w:pPr>
            <w:r>
              <w:t xml:space="preserve">Member</w:t>
            </w:r>
          </w:p>
        </w:tc>
      </w:tr>
      <w:tr>
        <w:tc>
          <w:tcPr/>
          <w:p>
            <w:pPr>
              <w:pStyle w:val="Compact"/>
            </w:pPr>
            <w:r>
              <w:t xml:space="preserve">Nicole Mermoud</w:t>
            </w:r>
          </w:p>
        </w:tc>
        <w:tc>
          <w:tcPr/>
          <w:p>
            <w:pPr>
              <w:pStyle w:val="Compact"/>
            </w:pPr>
            <w:r>
              <w:t xml:space="preserve">Subsecretaria de Pesca y Acuicultura (Chile)</w:t>
            </w:r>
          </w:p>
        </w:tc>
        <w:tc>
          <w:tcPr/>
          <w:p>
            <w:pPr>
              <w:pStyle w:val="Compact"/>
            </w:pPr>
            <w:r>
              <w:t xml:space="preserve">Head of delegation</w:t>
            </w:r>
          </w:p>
        </w:tc>
      </w:tr>
      <w:tr>
        <w:tc>
          <w:tcPr/>
          <w:p>
            <w:pPr>
              <w:pStyle w:val="Compact"/>
            </w:pPr>
            <w:r>
              <w:t xml:space="preserve">Criscely Lujan</w:t>
            </w:r>
          </w:p>
        </w:tc>
        <w:tc>
          <w:tcPr/>
          <w:p>
            <w:pPr>
              <w:pStyle w:val="Compact"/>
            </w:pPr>
            <w:r>
              <w:t xml:space="preserve">IMARPE (Peru)</w:t>
            </w:r>
          </w:p>
        </w:tc>
        <w:tc>
          <w:tcPr/>
          <w:p>
            <w:pPr>
              <w:pStyle w:val="Compact"/>
            </w:pPr>
            <w:r>
              <w:t xml:space="preserve">Member</w:t>
            </w:r>
          </w:p>
        </w:tc>
      </w:tr>
      <w:tr>
        <w:tc>
          <w:tcPr/>
          <w:p>
            <w:pPr>
              <w:pStyle w:val="Compact"/>
            </w:pPr>
            <w:r>
              <w:t xml:space="preserve">Miriam Geronimo</w:t>
            </w:r>
          </w:p>
        </w:tc>
        <w:tc>
          <w:tcPr/>
          <w:p>
            <w:pPr>
              <w:pStyle w:val="Compact"/>
            </w:pPr>
            <w:r>
              <w:t xml:space="preserve">IMARPE (Peru)</w:t>
            </w:r>
          </w:p>
        </w:tc>
        <w:tc>
          <w:tcPr/>
          <w:p>
            <w:pPr>
              <w:pStyle w:val="Compact"/>
            </w:pPr>
            <w:r>
              <w:t xml:space="preserve">Member</w:t>
            </w:r>
          </w:p>
        </w:tc>
      </w:tr>
      <w:tr>
        <w:tc>
          <w:tcPr/>
          <w:p>
            <w:pPr>
              <w:pStyle w:val="Compact"/>
            </w:pPr>
            <w:r>
              <w:t xml:space="preserve">David Miller</w:t>
            </w:r>
          </w:p>
        </w:tc>
        <w:tc>
          <w:tcPr/>
          <w:p>
            <w:pPr>
              <w:pStyle w:val="Compact"/>
            </w:pPr>
            <w:r>
              <w:t xml:space="preserve">ICES Secretariat</w:t>
            </w:r>
          </w:p>
        </w:tc>
        <w:tc>
          <w:tcPr/>
          <w:p>
            <w:pPr>
              <w:pStyle w:val="Compact"/>
            </w:pPr>
            <w:r>
              <w:t xml:space="preserve">External reviewer</w:t>
            </w:r>
          </w:p>
        </w:tc>
      </w:tr>
      <w:tr>
        <w:tc>
          <w:tcPr/>
          <w:p>
            <w:pPr>
              <w:pStyle w:val="Compact"/>
            </w:pPr>
            <w:r>
              <w:t xml:space="preserve">Rosana Ourens</w:t>
            </w:r>
          </w:p>
        </w:tc>
        <w:tc>
          <w:tcPr/>
          <w:p>
            <w:pPr>
              <w:pStyle w:val="Compact"/>
            </w:pPr>
            <w:r>
              <w:t xml:space="preserve">CEFAS (UK)</w:t>
            </w:r>
          </w:p>
        </w:tc>
        <w:tc>
          <w:tcPr/>
          <w:p>
            <w:pPr>
              <w:pStyle w:val="Compact"/>
            </w:pPr>
            <w:r>
              <w:t xml:space="preserve">External reviewer</w:t>
            </w:r>
          </w:p>
        </w:tc>
      </w:tr>
      <w:tr>
        <w:tc>
          <w:tcPr/>
          <w:p>
            <w:pPr>
              <w:pStyle w:val="Compact"/>
            </w:pPr>
            <w:r>
              <w:t xml:space="preserve">Tom Carruthers</w:t>
            </w:r>
          </w:p>
        </w:tc>
        <w:tc>
          <w:tcPr/>
          <w:p>
            <w:pPr>
              <w:pStyle w:val="Compact"/>
            </w:pPr>
            <w:r>
              <w:t xml:space="preserve">Blue Matter Science</w:t>
            </w:r>
          </w:p>
        </w:tc>
        <w:tc>
          <w:tcPr/>
          <w:p>
            <w:pPr>
              <w:pStyle w:val="Compact"/>
            </w:pPr>
            <w:r>
              <w:t xml:space="preserve">Invited expert</w:t>
            </w:r>
          </w:p>
        </w:tc>
      </w:tr>
      <w:tr>
        <w:tc>
          <w:tcPr/>
          <w:p>
            <w:pPr>
              <w:pStyle w:val="Compact"/>
            </w:pPr>
            <w:r>
              <w:t xml:space="preserve">Ash Wilson</w:t>
            </w:r>
          </w:p>
        </w:tc>
        <w:tc>
          <w:tcPr/>
          <w:p>
            <w:pPr>
              <w:pStyle w:val="Compact"/>
            </w:pPr>
            <w:r>
              <w:t xml:space="preserve">Pew Charitable Trusts</w:t>
            </w:r>
          </w:p>
        </w:tc>
        <w:tc>
          <w:tcPr/>
          <w:p>
            <w:pPr>
              <w:pStyle w:val="Compact"/>
            </w:pPr>
            <w:r>
              <w:t xml:space="preserve">Observer</w:t>
            </w:r>
          </w:p>
        </w:tc>
      </w:tr>
    </w:tbl>
    <w:bookmarkEnd w:id="64"/>
    <w:bookmarkStart w:id="65"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5"/>
        </w:numPr>
      </w:pPr>
      <w:r>
        <w:t xml:space="preserve">Developments since the benchmark.</w:t>
      </w:r>
    </w:p>
    <w:p>
      <w:pPr>
        <w:pStyle w:val="Compact"/>
        <w:numPr>
          <w:ilvl w:val="0"/>
          <w:numId w:val="1025"/>
        </w:numPr>
      </w:pPr>
      <w:r>
        <w:t xml:space="preserve">Operating-model specifications.</w:t>
      </w:r>
    </w:p>
    <w:p>
      <w:pPr>
        <w:pStyle w:val="Compact"/>
        <w:numPr>
          <w:ilvl w:val="0"/>
          <w:numId w:val="1025"/>
        </w:numPr>
      </w:pPr>
      <w:r>
        <w:t xml:space="preserve">Candidate management procedures.</w:t>
      </w:r>
    </w:p>
    <w:p>
      <w:pPr>
        <w:pStyle w:val="Compact"/>
        <w:numPr>
          <w:ilvl w:val="0"/>
          <w:numId w:val="1025"/>
        </w:numPr>
      </w:pPr>
      <w:r>
        <w:t xml:space="preserve">Trade-offs, robustness, and performance metrics.</w:t>
      </w:r>
    </w:p>
    <w:p>
      <w:pPr>
        <w:pStyle w:val="Compact"/>
        <w:numPr>
          <w:ilvl w:val="0"/>
          <w:numId w:val="1025"/>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5"/>
    <w:bookmarkStart w:id="75"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6">
              <w:r>
                <w:rPr>
                  <w:rStyle w:val="Hyperlink"/>
                </w:rPr>
                <w:t xml:space="preserve">Paper 00</w:t>
              </w:r>
            </w:hyperlink>
          </w:p>
        </w:tc>
        <w:tc>
          <w:tcPr/>
          <w:p>
            <w:pPr>
              <w:pStyle w:val="Compact"/>
            </w:pPr>
            <w:r>
              <w:t xml:space="preserve">Agenda and schedule</w:t>
            </w:r>
          </w:p>
        </w:tc>
      </w:tr>
      <w:tr>
        <w:tc>
          <w:tcPr/>
          <w:p>
            <w:pPr>
              <w:pStyle w:val="Compact"/>
            </w:pPr>
            <w:hyperlink r:id="rId67">
              <w:r>
                <w:rPr>
                  <w:rStyle w:val="Hyperlink"/>
                </w:rPr>
                <w:t xml:space="preserve">Paper 01</w:t>
              </w:r>
            </w:hyperlink>
          </w:p>
        </w:tc>
        <w:tc>
          <w:tcPr/>
          <w:p>
            <w:pPr>
              <w:pStyle w:val="Compact"/>
            </w:pPr>
            <w:r>
              <w:t xml:space="preserve">Model developments</w:t>
            </w:r>
          </w:p>
        </w:tc>
      </w:tr>
      <w:tr>
        <w:tc>
          <w:tcPr/>
          <w:p>
            <w:pPr>
              <w:pStyle w:val="Compact"/>
            </w:pPr>
            <w:hyperlink r:id="rId68">
              <w:r>
                <w:rPr>
                  <w:rStyle w:val="Hyperlink"/>
                </w:rPr>
                <w:t xml:space="preserve">Paper 01a</w:t>
              </w:r>
            </w:hyperlink>
          </w:p>
        </w:tc>
        <w:tc>
          <w:tcPr/>
          <w:p>
            <w:pPr>
              <w:pStyle w:val="Compact"/>
            </w:pPr>
            <w:r>
              <w:t xml:space="preserve">Far North model selectivity</w:t>
            </w:r>
          </w:p>
        </w:tc>
      </w:tr>
      <w:tr>
        <w:tc>
          <w:tcPr/>
          <w:p>
            <w:pPr>
              <w:pStyle w:val="Compact"/>
            </w:pPr>
            <w:hyperlink r:id="rId69">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0">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1">
              <w:r>
                <w:rPr>
                  <w:rStyle w:val="Hyperlink"/>
                </w:rPr>
                <w:t xml:space="preserve">Paper 04</w:t>
              </w:r>
            </w:hyperlink>
          </w:p>
        </w:tc>
        <w:tc>
          <w:tcPr/>
          <w:p>
            <w:pPr>
              <w:pStyle w:val="Compact"/>
            </w:pPr>
            <w:r>
              <w:t xml:space="preserve">MSE flow</w:t>
            </w:r>
          </w:p>
        </w:tc>
      </w:tr>
      <w:tr>
        <w:tc>
          <w:tcPr/>
          <w:p>
            <w:pPr>
              <w:pStyle w:val="Compact"/>
            </w:pPr>
            <w:hyperlink r:id="rId72">
              <w:r>
                <w:rPr>
                  <w:rStyle w:val="Hyperlink"/>
                </w:rPr>
                <w:t xml:space="preserve">Paper 05</w:t>
              </w:r>
            </w:hyperlink>
          </w:p>
        </w:tc>
        <w:tc>
          <w:tcPr/>
          <w:p>
            <w:pPr>
              <w:pStyle w:val="Compact"/>
            </w:pPr>
            <w:r>
              <w:t xml:space="preserve">Chile harvest-control-rule proposals</w:t>
            </w:r>
          </w:p>
        </w:tc>
      </w:tr>
      <w:tr>
        <w:tc>
          <w:tcPr/>
          <w:p>
            <w:pPr>
              <w:pStyle w:val="Compact"/>
            </w:pPr>
            <w:hyperlink r:id="rId73">
              <w:r>
                <w:rPr>
                  <w:rStyle w:val="Hyperlink"/>
                </w:rPr>
                <w:t xml:space="preserve">Paper 06</w:t>
              </w:r>
            </w:hyperlink>
          </w:p>
        </w:tc>
        <w:tc>
          <w:tcPr/>
          <w:p>
            <w:pPr>
              <w:pStyle w:val="Compact"/>
            </w:pPr>
            <w:r>
              <w:t xml:space="preserve">Evaluation of indices for CMP considerations</w:t>
            </w:r>
          </w:p>
        </w:tc>
      </w:tr>
      <w:tr>
        <w:tc>
          <w:tcPr/>
          <w:p>
            <w:pPr>
              <w:pStyle w:val="Compact"/>
            </w:pPr>
            <w:hyperlink r:id="rId74">
              <w:r>
                <w:rPr>
                  <w:rStyle w:val="Hyperlink"/>
                </w:rPr>
                <w:t xml:space="preserve">Paper 07</w:t>
              </w:r>
            </w:hyperlink>
          </w:p>
        </w:tc>
        <w:tc>
          <w:tcPr/>
          <w:p>
            <w:pPr>
              <w:pStyle w:val="Compact"/>
            </w:pPr>
            <w:r>
              <w:t xml:space="preserve">Projection evaluations</w:t>
            </w:r>
          </w:p>
        </w:tc>
      </w:tr>
    </w:tbl>
    <w:bookmarkEnd w:id="75"/>
    <w:bookmarkStart w:id="77" w:name="Xb9aa851defa400ff4d28650dfe7d983101a6615"/>
    <w:p>
      <w:pPr>
        <w:pStyle w:val="Heading1"/>
      </w:pPr>
      <w:r>
        <w:t xml:space="preserve">Appendix D. Comments from External Experts</w:t>
      </w:r>
    </w:p>
    <w:bookmarkStart w:id="76"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p>
      <w:pPr>
        <w:pStyle w:val="BodyText"/>
      </w:pPr>
      <w:r>
        <w:rPr>
          <w:i/>
          <w:iCs/>
        </w:rPr>
        <w:t xml:space="preserve">Draft working report - Day 1 of the SCW17 MSE workshop, 15 June 2026. Prepared for review and correction by participants before submission to the SPRFMO Scientific Committee.</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1" Target="media/rId61.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8"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9" Target="https://slick.bluematterscience.com/" TargetMode="External" /><Relationship Type="http://schemas.openxmlformats.org/officeDocument/2006/relationships/hyperlink" Id="rId54" Target="https://sprfmo.github.io/JM_SCW_prep/JMWG-Benchmark-Meeting-report-2026.html" TargetMode="External" /><Relationship Type="http://schemas.openxmlformats.org/officeDocument/2006/relationships/hyperlink" Id="rId53" Target="https://sprfmo.github.io/SCW15_report/" TargetMode="External" /><Relationship Type="http://schemas.openxmlformats.org/officeDocument/2006/relationships/hyperlink" Id="rId55"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7" Target="https://www.iccat.int/Documents/CVSP/CV081_2024/n_2/CV08102148.pdf" TargetMode="External" /><Relationship Type="http://schemas.openxmlformats.org/officeDocument/2006/relationships/hyperlink" Id="rId56"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8"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9" Target="https://slick.bluematterscience.com/" TargetMode="External" /><Relationship Type="http://schemas.openxmlformats.org/officeDocument/2006/relationships/hyperlink" Id="rId54" Target="https://sprfmo.github.io/JM_SCW_prep/JMWG-Benchmark-Meeting-report-2026.html" TargetMode="External" /><Relationship Type="http://schemas.openxmlformats.org/officeDocument/2006/relationships/hyperlink" Id="rId53" Target="https://sprfmo.github.io/SCW15_report/" TargetMode="External" /><Relationship Type="http://schemas.openxmlformats.org/officeDocument/2006/relationships/hyperlink" Id="rId55"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7" Target="https://www.iccat.int/Documents/CVSP/CV081_2024/n_2/CV08102148.pdf" TargetMode="External" /><Relationship Type="http://schemas.openxmlformats.org/officeDocument/2006/relationships/hyperlink" Id="rId56"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2026-06-19T10:27:16Z</dcterms:created>
  <dcterms:modified xsi:type="dcterms:W3CDTF">2026-06-19T10:27:16Z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2026-06-19</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