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and Validation of the Jumbo Squid Catch Database for Stock Assessment</w:t>
      </w:r>
    </w:p>
    <w:p>
      <w:pPr>
        <w:pStyle w:val="Subtitle"/>
      </w:pPr>
      <w:r>
        <w:t xml:space="preserve">Proposed database for discussion and agreement</w:t>
      </w:r>
    </w:p>
    <w:p>
      <w:pPr>
        <w:pStyle w:val="Author"/>
      </w:pPr>
      <w:r>
        <w:t xml:space="preserve">Ricardo Oliveros Ramos</w:t>
      </w:r>
    </w:p>
    <w:p>
      <w:pPr>
        <w:pStyle w:val="Date"/>
      </w:pPr>
      <w:r>
        <w:t xml:space="preserve">2026-07-20</w:t>
      </w:r>
    </w:p>
    <w:bookmarkStart w:id="9" w:name="summary"/>
    <w:p>
      <w:pPr>
        <w:pStyle w:val="Heading1"/>
      </w:pPr>
      <w:r>
        <w:t xml:space="preserve">Summary</w:t>
      </w:r>
    </w:p>
    <w:bookmarkEnd w:id="9"/>
    <w:bookmarkStart w:id="13" w:name="scope-and-intended-database"/>
    <w:p>
      <w:pPr>
        <w:pStyle w:val="Heading1"/>
      </w:pPr>
      <w:r>
        <w:t xml:space="preserve">1. Scope and Intended Database</w:t>
      </w:r>
    </w:p>
    <w:bookmarkStart w:id="10" w:name="assessment-period"/>
    <w:p>
      <w:pPr>
        <w:pStyle w:val="Heading2"/>
      </w:pPr>
      <w:r>
        <w:t xml:space="preserve">1.1 Assessment Period</w:t>
      </w:r>
    </w:p>
    <w:bookmarkEnd w:id="10"/>
    <w:bookmarkStart w:id="11" w:name="database-structure"/>
    <w:p>
      <w:pPr>
        <w:pStyle w:val="Heading2"/>
      </w:pPr>
      <w:r>
        <w:t xml:space="preserve">1.2 Database Structure</w:t>
      </w:r>
    </w:p>
    <w:bookmarkEnd w:id="11"/>
    <w:bookmarkStart w:id="12" w:name="terminology-and-attribution-rules"/>
    <w:p>
      <w:pPr>
        <w:pStyle w:val="Heading2"/>
      </w:pPr>
      <w:r>
        <w:t xml:space="preserve">1.3 Terminology and Attribution Rules</w:t>
      </w:r>
    </w:p>
    <w:bookmarkEnd w:id="12"/>
    <w:bookmarkEnd w:id="13"/>
    <w:bookmarkStart w:id="19" w:name="data-sources-and-source-hierarchy"/>
    <w:p>
      <w:pPr>
        <w:pStyle w:val="Heading1"/>
      </w:pPr>
      <w:r>
        <w:t xml:space="preserve">2. Data Sources and Source Hierarchy</w:t>
      </w:r>
    </w:p>
    <w:bookmarkStart w:id="14" w:name="member-submissions"/>
    <w:p>
      <w:pPr>
        <w:pStyle w:val="Heading2"/>
      </w:pPr>
      <w:r>
        <w:t xml:space="preserve">2.1 Member Submissions</w:t>
      </w:r>
    </w:p>
    <w:bookmarkEnd w:id="14"/>
    <w:bookmarkStart w:id="15" w:name="fao-area-87-reference-data"/>
    <w:p>
      <w:pPr>
        <w:pStyle w:val="Heading2"/>
      </w:pPr>
      <w:r>
        <w:t xml:space="preserve">2.2 FAO Area 87 Reference Data</w:t>
      </w:r>
    </w:p>
    <w:bookmarkEnd w:id="15"/>
    <w:bookmarkStart w:id="16" w:name="X306c920b4c90d962b75b4435647e252f42c0e45"/>
    <w:p>
      <w:pPr>
        <w:pStyle w:val="Heading2"/>
      </w:pPr>
      <w:r>
        <w:t xml:space="preserve">2.3 Additional National and Secondary Sources</w:t>
      </w:r>
    </w:p>
    <w:bookmarkEnd w:id="16"/>
    <w:bookmarkStart w:id="17" w:name="source-precedence-rules"/>
    <w:p>
      <w:pPr>
        <w:pStyle w:val="Heading2"/>
      </w:pPr>
      <w:r>
        <w:t xml:space="preserve">2.4 Source-Precedence Rules</w:t>
      </w:r>
    </w:p>
    <w:bookmarkEnd w:id="17"/>
    <w:bookmarkStart w:id="18" w:name="member-communications-and-confirmations"/>
    <w:p>
      <w:pPr>
        <w:pStyle w:val="Heading2"/>
      </w:pPr>
      <w:r>
        <w:t xml:space="preserve">2.5 Member Communications and Confirmations</w:t>
      </w:r>
    </w:p>
    <w:bookmarkEnd w:id="18"/>
    <w:bookmarkEnd w:id="19"/>
    <w:bookmarkStart w:id="23" w:name="validation-approach"/>
    <w:p>
      <w:pPr>
        <w:pStyle w:val="Heading1"/>
      </w:pPr>
      <w:r>
        <w:t xml:space="preserve">3. Validation Approach</w:t>
      </w:r>
    </w:p>
    <w:bookmarkStart w:id="20" w:name="annual-comparison-with-fao-area-87"/>
    <w:p>
      <w:pPr>
        <w:pStyle w:val="Heading2"/>
      </w:pPr>
      <w:r>
        <w:t xml:space="preserve">3.1 Annual Comparison with FAO Area 87</w:t>
      </w:r>
    </w:p>
    <w:bookmarkEnd w:id="20"/>
    <w:bookmarkStart w:id="21" w:name="diagnostic-criteria"/>
    <w:p>
      <w:pPr>
        <w:pStyle w:val="Heading2"/>
      </w:pPr>
      <w:r>
        <w:t xml:space="preserve">3.2 Diagnostic Criteria</w:t>
      </w:r>
    </w:p>
    <w:bookmarkEnd w:id="21"/>
    <w:bookmarkStart w:id="22" w:name="diagnostic-outputs"/>
    <w:p>
      <w:pPr>
        <w:pStyle w:val="Heading2"/>
      </w:pPr>
      <w:r>
        <w:t xml:space="preserve">3.3 Diagnostic Outputs</w:t>
      </w:r>
    </w:p>
    <w:bookmarkEnd w:id="22"/>
    <w:bookmarkEnd w:id="23"/>
    <w:bookmarkStart w:id="48" w:name="Xd4a6afcf8f28a0563d47964f99ca8d94b5a2425"/>
    <w:p>
      <w:pPr>
        <w:pStyle w:val="Heading1"/>
      </w:pPr>
      <w:r>
        <w:t xml:space="preserve">4. Validation and Proposed Treatment by Member</w:t>
      </w:r>
    </w:p>
    <w:bookmarkStart w:id="27" w:name="chile"/>
    <w:p>
      <w:pPr>
        <w:pStyle w:val="Heading2"/>
      </w:pPr>
      <w:r>
        <w:t xml:space="preserve">4.1 Chile</w:t>
      </w:r>
    </w:p>
    <w:bookmarkStart w:id="24" w:name="data-coverage"/>
    <w:p>
      <w:pPr>
        <w:pStyle w:val="Heading3"/>
      </w:pPr>
      <w:r>
        <w:t xml:space="preserve">4.1.1 Data Coverage</w:t>
      </w:r>
    </w:p>
    <w:bookmarkEnd w:id="24"/>
    <w:bookmarkStart w:id="25" w:name="fao-consistency"/>
    <w:p>
      <w:pPr>
        <w:pStyle w:val="Heading3"/>
      </w:pPr>
      <w:r>
        <w:t xml:space="preserve">4.1.2 FAO Consistency</w:t>
      </w:r>
    </w:p>
    <w:bookmarkEnd w:id="25"/>
    <w:bookmarkStart w:id="26" w:name="proposed-treatment"/>
    <w:p>
      <w:pPr>
        <w:pStyle w:val="Heading3"/>
      </w:pPr>
      <w:r>
        <w:t xml:space="preserve">4.1.3 Proposed Treatment</w:t>
      </w:r>
    </w:p>
    <w:bookmarkEnd w:id="26"/>
    <w:bookmarkEnd w:id="27"/>
    <w:bookmarkStart w:id="31" w:name="peru"/>
    <w:p>
      <w:pPr>
        <w:pStyle w:val="Heading2"/>
      </w:pPr>
      <w:r>
        <w:t xml:space="preserve">4.2 Peru</w:t>
      </w:r>
    </w:p>
    <w:bookmarkStart w:id="28" w:name="artisanal-component"/>
    <w:p>
      <w:pPr>
        <w:pStyle w:val="Heading3"/>
      </w:pPr>
      <w:r>
        <w:t xml:space="preserve">4.2.1 Artisanal Component</w:t>
      </w:r>
    </w:p>
    <w:bookmarkEnd w:id="28"/>
    <w:bookmarkStart w:id="29" w:name="industrial-component"/>
    <w:p>
      <w:pPr>
        <w:pStyle w:val="Heading3"/>
      </w:pPr>
      <w:r>
        <w:t xml:space="preserve">4.2.2 Industrial Component</w:t>
      </w:r>
    </w:p>
    <w:bookmarkEnd w:id="29"/>
    <w:bookmarkStart w:id="30" w:name="proposed-peru-series"/>
    <w:p>
      <w:pPr>
        <w:pStyle w:val="Heading3"/>
      </w:pPr>
      <w:r>
        <w:t xml:space="preserve">4.2.3 Proposed Peru Series</w:t>
      </w:r>
    </w:p>
    <w:bookmarkEnd w:id="30"/>
    <w:bookmarkEnd w:id="31"/>
    <w:bookmarkStart w:id="35" w:name="ecuador"/>
    <w:p>
      <w:pPr>
        <w:pStyle w:val="Heading2"/>
      </w:pPr>
      <w:r>
        <w:t xml:space="preserve">4.3 Ecuador</w:t>
      </w:r>
    </w:p>
    <w:bookmarkStart w:id="32" w:name="data-coverage-and-limitations"/>
    <w:p>
      <w:pPr>
        <w:pStyle w:val="Heading3"/>
      </w:pPr>
      <w:r>
        <w:t xml:space="preserve">4.3.1 Data Coverage and Limitations</w:t>
      </w:r>
    </w:p>
    <w:bookmarkEnd w:id="32"/>
    <w:bookmarkStart w:id="33" w:name="reconstruction-sources-and-approach"/>
    <w:p>
      <w:pPr>
        <w:pStyle w:val="Heading3"/>
      </w:pPr>
      <w:r>
        <w:t xml:space="preserve">4.3.2 Reconstruction Sources and Approach</w:t>
      </w:r>
    </w:p>
    <w:bookmarkEnd w:id="33"/>
    <w:bookmarkStart w:id="34" w:name="proposed-ecuador-series"/>
    <w:p>
      <w:pPr>
        <w:pStyle w:val="Heading3"/>
      </w:pPr>
      <w:r>
        <w:t xml:space="preserve">4.3.3 Proposed Ecuador Series</w:t>
      </w:r>
    </w:p>
    <w:bookmarkEnd w:id="34"/>
    <w:bookmarkEnd w:id="35"/>
    <w:bookmarkStart w:id="39" w:name="china"/>
    <w:p>
      <w:pPr>
        <w:pStyle w:val="Heading2"/>
      </w:pPr>
      <w:r>
        <w:t xml:space="preserve">4.4 China</w:t>
      </w:r>
    </w:p>
    <w:bookmarkStart w:id="36" w:name="data-coverage-1"/>
    <w:p>
      <w:pPr>
        <w:pStyle w:val="Heading3"/>
      </w:pPr>
      <w:r>
        <w:t xml:space="preserve">4.4.1 Data Coverage</w:t>
      </w:r>
    </w:p>
    <w:bookmarkEnd w:id="36"/>
    <w:bookmarkStart w:id="37" w:name="fao-consistency-1"/>
    <w:p>
      <w:pPr>
        <w:pStyle w:val="Heading3"/>
      </w:pPr>
      <w:r>
        <w:t xml:space="preserve">4.4.2 FAO Consistency</w:t>
      </w:r>
    </w:p>
    <w:bookmarkEnd w:id="37"/>
    <w:bookmarkStart w:id="38" w:name="proposed-treatment-1"/>
    <w:p>
      <w:pPr>
        <w:pStyle w:val="Heading3"/>
      </w:pPr>
      <w:r>
        <w:t xml:space="preserve">4.4.3 Proposed Treatment</w:t>
      </w:r>
    </w:p>
    <w:bookmarkEnd w:id="38"/>
    <w:bookmarkEnd w:id="39"/>
    <w:bookmarkStart w:id="43" w:name="korea"/>
    <w:p>
      <w:pPr>
        <w:pStyle w:val="Heading2"/>
      </w:pPr>
      <w:r>
        <w:t xml:space="preserve">4.5 Korea</w:t>
      </w:r>
    </w:p>
    <w:bookmarkStart w:id="40" w:name="historical-context-and-data-coverage"/>
    <w:p>
      <w:pPr>
        <w:pStyle w:val="Heading3"/>
      </w:pPr>
      <w:r>
        <w:t xml:space="preserve">4.5.1 Historical Context and Data Coverage</w:t>
      </w:r>
    </w:p>
    <w:bookmarkEnd w:id="40"/>
    <w:bookmarkStart w:id="41" w:name="fao-consistency-2"/>
    <w:p>
      <w:pPr>
        <w:pStyle w:val="Heading3"/>
      </w:pPr>
      <w:r>
        <w:t xml:space="preserve">4.5.2 FAO Consistency</w:t>
      </w:r>
    </w:p>
    <w:bookmarkEnd w:id="41"/>
    <w:bookmarkStart w:id="42" w:name="proposed-treatment-2"/>
    <w:p>
      <w:pPr>
        <w:pStyle w:val="Heading3"/>
      </w:pPr>
      <w:r>
        <w:t xml:space="preserve">4.5.3 Proposed Treatment</w:t>
      </w:r>
    </w:p>
    <w:bookmarkEnd w:id="42"/>
    <w:bookmarkEnd w:id="43"/>
    <w:bookmarkStart w:id="47" w:name="chinese-taipei"/>
    <w:p>
      <w:pPr>
        <w:pStyle w:val="Heading2"/>
      </w:pPr>
      <w:r>
        <w:t xml:space="preserve">4.6 Chinese Taipei</w:t>
      </w:r>
    </w:p>
    <w:bookmarkStart w:id="44" w:name="data-coverage-2"/>
    <w:p>
      <w:pPr>
        <w:pStyle w:val="Heading3"/>
      </w:pPr>
      <w:r>
        <w:t xml:space="preserve">4.6.1 Data Coverage</w:t>
      </w:r>
    </w:p>
    <w:bookmarkEnd w:id="44"/>
    <w:bookmarkStart w:id="45" w:name="fao-consistency-3"/>
    <w:p>
      <w:pPr>
        <w:pStyle w:val="Heading3"/>
      </w:pPr>
      <w:r>
        <w:t xml:space="preserve">4.6.2 FAO Consistency</w:t>
      </w:r>
    </w:p>
    <w:bookmarkEnd w:id="45"/>
    <w:bookmarkStart w:id="46" w:name="proposed-treatment-3"/>
    <w:p>
      <w:pPr>
        <w:pStyle w:val="Heading3"/>
      </w:pPr>
      <w:r>
        <w:t xml:space="preserve">4.6.3 Proposed Treatment</w:t>
      </w:r>
    </w:p>
    <w:bookmarkEnd w:id="46"/>
    <w:bookmarkEnd w:id="47"/>
    <w:bookmarkEnd w:id="48"/>
    <w:bookmarkStart w:id="51" w:name="reconstruction-and-temporal-imputation"/>
    <w:p>
      <w:pPr>
        <w:pStyle w:val="Heading1"/>
      </w:pPr>
      <w:r>
        <w:t xml:space="preserve">5. Reconstruction and Temporal Imputation</w:t>
      </w:r>
    </w:p>
    <w:bookmarkStart w:id="49" w:name="general-approach"/>
    <w:p>
      <w:pPr>
        <w:pStyle w:val="Heading2"/>
      </w:pPr>
      <w:r>
        <w:t xml:space="preserve">5.1 General Approach</w:t>
      </w:r>
    </w:p>
    <w:bookmarkEnd w:id="49"/>
    <w:bookmarkStart w:id="50" w:name="member-specific-applications"/>
    <w:p>
      <w:pPr>
        <w:pStyle w:val="Heading2"/>
      </w:pPr>
      <w:r>
        <w:t xml:space="preserve">5.2 Member-Specific Applications</w:t>
      </w:r>
    </w:p>
    <w:bookmarkEnd w:id="50"/>
    <w:bookmarkEnd w:id="51"/>
    <w:bookmarkStart w:id="56" w:name="proposed-final-database"/>
    <w:p>
      <w:pPr>
        <w:pStyle w:val="Heading1"/>
      </w:pPr>
      <w:r>
        <w:t xml:space="preserve">6. Proposed Final Database</w:t>
      </w:r>
    </w:p>
    <w:bookmarkStart w:id="52" w:name="coverage"/>
    <w:p>
      <w:pPr>
        <w:pStyle w:val="Heading2"/>
      </w:pPr>
      <w:r>
        <w:t xml:space="preserve">6.1 Coverage</w:t>
      </w:r>
    </w:p>
    <w:bookmarkEnd w:id="52"/>
    <w:bookmarkStart w:id="53" w:name="summary-of-modifications"/>
    <w:p>
      <w:pPr>
        <w:pStyle w:val="Heading2"/>
      </w:pPr>
      <w:r>
        <w:t xml:space="preserve">6.2 Summary of Modifications</w:t>
      </w:r>
    </w:p>
    <w:bookmarkEnd w:id="53"/>
    <w:bookmarkStart w:id="54" w:name="database-fields"/>
    <w:p>
      <w:pPr>
        <w:pStyle w:val="Heading2"/>
      </w:pPr>
      <w:r>
        <w:t xml:space="preserve">6.3 Database Fields</w:t>
      </w:r>
    </w:p>
    <w:bookmarkEnd w:id="54"/>
    <w:bookmarkStart w:id="55" w:name="provenance-and-versioning"/>
    <w:p>
      <w:pPr>
        <w:pStyle w:val="Heading2"/>
      </w:pPr>
      <w:r>
        <w:t xml:space="preserve">6.4 Provenance and Versioning</w:t>
      </w:r>
    </w:p>
    <w:bookmarkEnd w:id="55"/>
    <w:bookmarkEnd w:id="56"/>
    <w:bookmarkStart w:id="59" w:name="additional-spatial-and-operational-data"/>
    <w:p>
      <w:pPr>
        <w:pStyle w:val="Heading1"/>
      </w:pPr>
      <w:r>
        <w:t xml:space="preserve">7. Additional Spatial and Operational Data</w:t>
      </w:r>
    </w:p>
    <w:bookmarkStart w:id="57" w:name="national-data-sources"/>
    <w:p>
      <w:pPr>
        <w:pStyle w:val="Heading2"/>
      </w:pPr>
      <w:r>
        <w:t xml:space="preserve">7.1 National Data Sources</w:t>
      </w:r>
    </w:p>
    <w:bookmarkEnd w:id="57"/>
    <w:bookmarkStart w:id="58" w:name="sprfmo-open-data"/>
    <w:p>
      <w:pPr>
        <w:pStyle w:val="Heading2"/>
      </w:pPr>
      <w:r>
        <w:t xml:space="preserve">7.2 SPRFMO Open Data</w:t>
      </w:r>
    </w:p>
    <w:bookmarkEnd w:id="58"/>
    <w:bookmarkEnd w:id="59"/>
    <w:bookmarkStart w:id="67" w:name="future-work-and-recommendations"/>
    <w:p>
      <w:pPr>
        <w:pStyle w:val="Heading1"/>
      </w:pPr>
      <w:r>
        <w:t xml:space="preserve">8. Future Work and Recommendations</w:t>
      </w:r>
    </w:p>
    <w:bookmarkStart w:id="60" w:name="chile-1"/>
    <w:p>
      <w:pPr>
        <w:pStyle w:val="Heading2"/>
      </w:pPr>
      <w:r>
        <w:t xml:space="preserve">8.1 Chile</w:t>
      </w:r>
    </w:p>
    <w:bookmarkEnd w:id="60"/>
    <w:bookmarkStart w:id="61" w:name="peru-1"/>
    <w:p>
      <w:pPr>
        <w:pStyle w:val="Heading2"/>
      </w:pPr>
      <w:r>
        <w:t xml:space="preserve">8.2 Peru</w:t>
      </w:r>
    </w:p>
    <w:bookmarkEnd w:id="61"/>
    <w:bookmarkStart w:id="62" w:name="ecuador-1"/>
    <w:p>
      <w:pPr>
        <w:pStyle w:val="Heading2"/>
      </w:pPr>
      <w:r>
        <w:t xml:space="preserve">8.3 Ecuador</w:t>
      </w:r>
    </w:p>
    <w:bookmarkEnd w:id="62"/>
    <w:bookmarkStart w:id="63" w:name="china-1"/>
    <w:p>
      <w:pPr>
        <w:pStyle w:val="Heading2"/>
      </w:pPr>
      <w:r>
        <w:t xml:space="preserve">8.4 China</w:t>
      </w:r>
    </w:p>
    <w:bookmarkEnd w:id="63"/>
    <w:bookmarkStart w:id="64" w:name="korea-1"/>
    <w:p>
      <w:pPr>
        <w:pStyle w:val="Heading2"/>
      </w:pPr>
      <w:r>
        <w:t xml:space="preserve">8.5 Korea</w:t>
      </w:r>
    </w:p>
    <w:bookmarkEnd w:id="64"/>
    <w:bookmarkStart w:id="65" w:name="chinese-taipei-1"/>
    <w:p>
      <w:pPr>
        <w:pStyle w:val="Heading2"/>
      </w:pPr>
      <w:r>
        <w:t xml:space="preserve">8.6 Chinese Taipei</w:t>
      </w:r>
    </w:p>
    <w:bookmarkEnd w:id="65"/>
    <w:bookmarkStart w:id="66" w:name="group-wide-recommendations"/>
    <w:p>
      <w:pPr>
        <w:pStyle w:val="Heading2"/>
      </w:pPr>
      <w:r>
        <w:t xml:space="preserve">8.7 Group-Wide Recommendations</w:t>
      </w:r>
    </w:p>
    <w:bookmarkEnd w:id="66"/>
    <w:bookmarkEnd w:id="67"/>
    <w:bookmarkStart w:id="73" w:name="annexes"/>
    <w:p>
      <w:pPr>
        <w:pStyle w:val="Heading1"/>
      </w:pPr>
      <w:r>
        <w:t xml:space="preserve">9. Annexes</w:t>
      </w:r>
    </w:p>
    <w:bookmarkStart w:id="68" w:name="annex-a.-data-source-catalogue"/>
    <w:p>
      <w:pPr>
        <w:pStyle w:val="Heading2"/>
      </w:pPr>
      <w:r>
        <w:t xml:space="preserve">9.1 Annex A. Data-Source Catalogue</w:t>
      </w:r>
    </w:p>
    <w:bookmarkEnd w:id="68"/>
    <w:bookmarkStart w:id="69" w:name="annex-b.-availability-matrix"/>
    <w:p>
      <w:pPr>
        <w:pStyle w:val="Heading2"/>
      </w:pPr>
      <w:r>
        <w:t xml:space="preserve">9.2 Annex B. Availability Matrix</w:t>
      </w:r>
    </w:p>
    <w:bookmarkEnd w:id="69"/>
    <w:bookmarkStart w:id="70" w:name="annex-c.-fao-diagnostic-table"/>
    <w:p>
      <w:pPr>
        <w:pStyle w:val="Heading2"/>
      </w:pPr>
      <w:r>
        <w:t xml:space="preserve">9.3 Annex C. FAO Diagnostic Table</w:t>
      </w:r>
    </w:p>
    <w:bookmarkEnd w:id="70"/>
    <w:bookmarkStart w:id="71" w:name="annex-d.-modification-log"/>
    <w:p>
      <w:pPr>
        <w:pStyle w:val="Heading2"/>
      </w:pPr>
      <w:r>
        <w:t xml:space="preserve">9.4 Annex D. Modification Log</w:t>
      </w:r>
    </w:p>
    <w:bookmarkEnd w:id="71"/>
    <w:bookmarkStart w:id="72" w:name="annex-e.-communications-log"/>
    <w:p>
      <w:pPr>
        <w:pStyle w:val="Heading2"/>
      </w:pPr>
      <w:r>
        <w:t xml:space="preserve">9.5 Annex E. Communications Log</w:t>
      </w:r>
    </w:p>
    <w:bookmarkEnd w:id="72"/>
    <w:bookmarkEnd w:id="73"/>
    <w:sectPr w:rsidR="003738F5" w:rsidRPr="00E27D3B">
      <w:pgSz w:h="16838" w:w="11906"/>
      <w:pgMar w:bottom="1417" w:footer="709" w:gutter="0" w:header="709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D39456E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338533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38F5"/>
    <w:rsid w:val="003738F5"/>
    <w:rsid w:val="006E746D"/>
    <w:rsid w:val="007B02B1"/>
    <w:rsid w:val="00E27D3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val="000000"/>
        <w:sz w:val="22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0"/>
      <w:ind w:firstLine="255"/>
      <w:jc w:val="both"/>
    </w:pPr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spacing w:after="120" w:before="360"/>
      <w:jc w:val="left"/>
      <w:outlineLvl w:val="0"/>
    </w:pPr>
    <w:rPr>
      <w:b/>
      <w:bCs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80" w:before="280"/>
      <w:jc w:val="left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60" w:before="240"/>
      <w:jc w:val="left"/>
      <w:outlineLvl w:val="2"/>
    </w:pPr>
    <w:rPr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60" w:before="200"/>
      <w:jc w:val="left"/>
      <w:outlineLvl w:val="3"/>
    </w:pPr>
    <w:rPr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40" w:before="160"/>
      <w:jc w:val="left"/>
      <w:outlineLvl w:val="4"/>
    </w:pPr>
    <w:rPr>
      <w:b/>
      <w:i/>
      <w:iCs/>
      <w:sz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spacing w:after="40" w:before="160"/>
      <w:jc w:val="left"/>
      <w:outlineLvl w:val="5"/>
    </w:pPr>
    <w:rPr>
      <w:i/>
      <w:sz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spacing w:after="40" w:before="160"/>
      <w:jc w:val="left"/>
      <w:outlineLvl w:val="6"/>
    </w:pPr>
    <w:rPr>
      <w:b/>
      <w:sz w:val="20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spacing w:after="40" w:before="160"/>
      <w:jc w:val="left"/>
      <w:outlineLvl w:val="7"/>
    </w:pPr>
    <w:rPr>
      <w:i/>
      <w:sz w:val="20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spacing w:after="40" w:before="160"/>
      <w:jc w:val="left"/>
      <w:outlineLvl w:val="8"/>
    </w:pPr>
    <w:rPr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</w:style>
  <w:style w:styleId="Title" w:type="paragraph">
    <w:name w:val="Title"/>
    <w:basedOn w:val="Normal"/>
    <w:next w:val="BodyText"/>
    <w:qFormat/>
    <w:pPr>
      <w:keepNext/>
      <w:spacing w:after="16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rPr>
      <w:b w:val="0"/>
      <w:i/>
      <w:sz w:val="24"/>
      <w:szCs w:val="30"/>
    </w:rPr>
  </w:style>
  <w:style w:customStyle="1" w:styleId="Author" w:type="paragraph">
    <w:name w:val="Author"/>
    <w:next w:val="BodyText"/>
    <w:qFormat/>
    <w:pPr>
      <w:keepNext/>
      <w:spacing w:after="40"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spacing w:after="320"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spacing w:after="80"/>
      <w:jc w:val="center"/>
    </w:pPr>
    <w:rPr>
      <w:b/>
      <w:sz w:val="21"/>
      <w:szCs w:val="20"/>
    </w:rPr>
  </w:style>
  <w:style w:customStyle="1" w:styleId="Abstract" w:type="paragraph">
    <w:name w:val="Abstract"/>
    <w:basedOn w:val="Normal"/>
    <w:next w:val="BodyText"/>
    <w:qFormat/>
    <w:pPr>
      <w:spacing w:after="280"/>
      <w:ind w:firstLine="0" w:left="567" w:right="567"/>
    </w:pPr>
    <w:rPr>
      <w:sz w:val="20"/>
      <w:szCs w:val="20"/>
    </w:rPr>
  </w:style>
  <w:style w:styleId="Bibliography" w:type="paragraph">
    <w:name w:val="Bibliography"/>
    <w:basedOn w:val="Normal"/>
    <w:qFormat/>
    <w:rsid w:val="00E27D3B"/>
    <w:pPr>
      <w:spacing w:after="120"/>
      <w:ind w:hanging="397" w:left="397"/>
    </w:pPr>
    <w:rPr>
      <w:sz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firstLine="0" w:left="567" w:right="567"/>
    </w:pPr>
    <w:rPr>
      <w:sz w:val="21"/>
    </w:rPr>
  </w:style>
  <w:style w:styleId="FootnoteText" w:type="paragraph">
    <w:name w:val="footnote text"/>
    <w:basedOn w:val="Normal"/>
    <w:uiPriority w:val="9"/>
    <w:unhideWhenUsed/>
    <w:qFormat/>
    <w:pPr>
      <w:ind w:firstLine="0"/>
    </w:pPr>
    <w:rPr>
      <w:sz w:val="18"/>
    </w:rPr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  <w:rPr>
      <w:rFonts w:ascii="Times New Roman" w:cs="Times New Roman" w:eastAsia="Times New Roman" w:hAnsi="Times New Roman"/>
      <w:sz w:val="18"/>
    </w:rPr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sz w:val="20"/>
      <w:szCs w:val="20"/>
      <w:lang w:eastAsia="en-ZA" w:val="en-Z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before="120"/>
      <w:ind w:firstLine="0"/>
      <w:jc w:val="left"/>
    </w:pPr>
    <w:rPr>
      <w:b/>
    </w:rPr>
  </w:style>
  <w:style w:customStyle="1" w:styleId="Definition" w:type="paragraph">
    <w:name w:val="Definition"/>
    <w:basedOn w:val="Normal"/>
    <w:pPr>
      <w:ind w:firstLine="0" w:left="397"/>
    </w:pPr>
  </w:style>
  <w:style w:styleId="Caption" w:type="paragraph">
    <w:name w:val="caption"/>
    <w:basedOn w:val="Normal"/>
    <w:link w:val="CaptionChar"/>
    <w:pPr>
      <w:spacing w:after="120" w:before="120"/>
      <w:ind w:firstLine="0"/>
      <w:jc w:val="center"/>
    </w:pPr>
    <w:rPr>
      <w:i/>
      <w:sz w:val="20"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cs="Consolas" w:eastAsia="Consolas" w:hAnsi="Consolas"/>
      <w:b w:val="0"/>
      <w:i w:val="0"/>
      <w:color w:val="000000"/>
      <w:sz w:val="19"/>
    </w:rPr>
  </w:style>
  <w:style w:customStyle="1" w:styleId="SectionNumber" w:type="character">
    <w:name w:val="Section Number"/>
    <w:basedOn w:val="Caption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rFonts w:ascii="Times New Roman" w:cs="Times New Roman" w:eastAsia="Times New Roman" w:hAnsi="Times New Roman"/>
      <w:b w:val="0"/>
      <w:i w:val="0"/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outlineLvl w:val="9"/>
    </w:pPr>
    <w:rPr>
      <w:bCs w:val="0"/>
      <w:sz w:val="22"/>
    </w:rPr>
  </w:style>
  <w:style w:customStyle="1" w:styleId="SourceCode" w:type="paragraph">
    <w:name w:val="Source Code"/>
    <w:basedOn w:val="Normal"/>
    <w:pPr>
      <w:spacing w:after="120" w:before="120"/>
      <w:ind w:firstLine="0" w:left="283"/>
      <w:jc w:val="left"/>
    </w:pPr>
    <w:rPr>
      <w:rFonts w:ascii="Consolas" w:cs="Consolas" w:eastAsia="Consolas" w:hAnsi="Consolas"/>
      <w:sz w:val="19"/>
    </w:rPr>
  </w:style>
  <w:style w:type="character" w:customStyle="1" w:styleId="KeywordTok">
    <w:name w:val="KeywordTok"/>
    <w:basedOn w:val="VerbatimChar"/>
    <w:rPr>
      <w:color w:val="000000"/>
      <w:shd w:val="clear" w:fill="ffffff"/>
    </w:rPr>
  </w:style>
  <w:style w:type="character" w:customStyle="1" w:styleId="DataTypeTok">
    <w:name w:val="DataTypeTok"/>
    <w:basedOn w:val="VerbatimChar"/>
    <w:rPr>
      <w:color w:val="000000"/>
      <w:shd w:val="clear" w:fill="ffffff"/>
    </w:rPr>
  </w:style>
  <w:style w:type="character" w:customStyle="1" w:styleId="DecValTok">
    <w:name w:val="DecValTok"/>
    <w:basedOn w:val="VerbatimChar"/>
    <w:rPr>
      <w:color w:val="000000"/>
      <w:shd w:val="clear" w:fill="ffffff"/>
    </w:rPr>
  </w:style>
  <w:style w:type="character" w:customStyle="1" w:styleId="BaseNTok">
    <w:name w:val="BaseNTok"/>
    <w:basedOn w:val="VerbatimChar"/>
    <w:rPr>
      <w:color w:val="000000"/>
      <w:shd w:val="clear" w:fill="ffffff"/>
    </w:rPr>
  </w:style>
  <w:style w:type="character" w:customStyle="1" w:styleId="FloatTok">
    <w:name w:val="FloatTok"/>
    <w:basedOn w:val="VerbatimChar"/>
    <w:rPr>
      <w:color w:val="000000"/>
      <w:shd w:val="clear" w:fill="ffffff"/>
    </w:rPr>
  </w:style>
  <w:style w:type="character" w:customStyle="1" w:styleId="ConstantTok">
    <w:name w:val="ConstantTok"/>
    <w:basedOn w:val="VerbatimChar"/>
    <w:rPr>
      <w:color w:val="000000"/>
      <w:shd w:val="clear" w:fill="ffffff"/>
    </w:rPr>
  </w:style>
  <w:style w:type="character" w:customStyle="1" w:styleId="CharTok">
    <w:name w:val="CharTok"/>
    <w:basedOn w:val="VerbatimChar"/>
    <w:rPr>
      <w:color w:val="000000"/>
      <w:shd w:val="clear" w:fill="ffffff"/>
    </w:rPr>
  </w:style>
  <w:style w:type="character" w:customStyle="1" w:styleId="SpecialCharTok">
    <w:name w:val="SpecialCharTok"/>
    <w:basedOn w:val="VerbatimChar"/>
    <w:rPr>
      <w:color w:val="000000"/>
      <w:shd w:val="clear" w:fill="ffffff"/>
    </w:rPr>
  </w:style>
  <w:style w:type="character" w:customStyle="1" w:styleId="StringTok">
    <w:name w:val="StringTok"/>
    <w:basedOn w:val="VerbatimChar"/>
    <w:rPr>
      <w:color w:val="000000"/>
      <w:shd w:val="clear" w:fill="ffffff"/>
    </w:rPr>
  </w:style>
  <w:style w:type="character" w:customStyle="1" w:styleId="VerbatimStringTok">
    <w:name w:val="VerbatimStringTok"/>
    <w:basedOn w:val="VerbatimChar"/>
    <w:rPr>
      <w:color w:val="000000"/>
      <w:shd w:val="clear" w:fill="ffffff"/>
    </w:rPr>
  </w:style>
  <w:style w:type="character" w:customStyle="1" w:styleId="SpecialStringTok">
    <w:name w:val="SpecialStringTok"/>
    <w:basedOn w:val="VerbatimChar"/>
    <w:rPr>
      <w:color w:val="000000"/>
      <w:shd w:val="clear" w:fill="ffffff"/>
    </w:rPr>
  </w:style>
  <w:style w:type="character" w:customStyle="1" w:styleId="ImportTok">
    <w:name w:val="ImportTok"/>
    <w:basedOn w:val="VerbatimChar"/>
    <w:rPr>
      <w:color w:val="000000"/>
      <w:shd w:val="clear" w:fill="ffffff"/>
    </w:rPr>
  </w:style>
  <w:style w:type="character" w:customStyle="1" w:styleId="CommentTok">
    <w:name w:val="CommentTok"/>
    <w:basedOn w:val="VerbatimChar"/>
    <w:rPr>
      <w:i/>
      <w:color w:val="000000"/>
      <w:shd w:val="clear" w:fill="ffffff"/>
    </w:rPr>
  </w:style>
  <w:style w:type="character" w:customStyle="1" w:styleId="DocumentationTok">
    <w:name w:val="DocumentationTok"/>
    <w:basedOn w:val="VerbatimChar"/>
    <w:rPr>
      <w:i/>
      <w:color w:val="000000"/>
      <w:shd w:val="clear" w:fill="ffffff"/>
    </w:rPr>
  </w:style>
  <w:style w:type="character" w:customStyle="1" w:styleId="AnnotationTok">
    <w:name w:val="AnnotationTok"/>
    <w:basedOn w:val="VerbatimChar"/>
    <w:rPr>
      <w:i/>
      <w:color w:val="000000"/>
      <w:shd w:val="clear" w:fill="ffffff"/>
    </w:rPr>
  </w:style>
  <w:style w:type="character" w:customStyle="1" w:styleId="CommentVarTok">
    <w:name w:val="CommentVarTok"/>
    <w:basedOn w:val="VerbatimChar"/>
    <w:rPr>
      <w:i/>
      <w:color w:val="000000"/>
      <w:shd w:val="clear" w:fill="ffffff"/>
    </w:rPr>
  </w:style>
  <w:style w:type="character" w:customStyle="1" w:styleId="OtherTok">
    <w:name w:val="OtherTok"/>
    <w:basedOn w:val="VerbatimChar"/>
    <w:rPr>
      <w:color w:val="000000"/>
      <w:shd w:val="clear" w:fill="ffffff"/>
    </w:rPr>
  </w:style>
  <w:style w:type="character" w:customStyle="1" w:styleId="FunctionTok">
    <w:name w:val="FunctionTok"/>
    <w:basedOn w:val="VerbatimChar"/>
    <w:rPr>
      <w:color w:val="000000"/>
      <w:shd w:val="clear" w:fill="ffffff"/>
    </w:rPr>
  </w:style>
  <w:style w:type="character" w:customStyle="1" w:styleId="VariableTok">
    <w:name w:val="VariableTok"/>
    <w:basedOn w:val="VerbatimChar"/>
    <w:rPr>
      <w:color w:val="000000"/>
      <w:shd w:val="clear" w:fill="ffffff"/>
    </w:rPr>
  </w:style>
  <w:style w:type="character" w:customStyle="1" w:styleId="ControlFlowTok">
    <w:name w:val="ControlFlowTok"/>
    <w:basedOn w:val="VerbatimChar"/>
    <w:rPr>
      <w:color w:val="000000"/>
      <w:shd w:val="clear" w:fill="ffffff"/>
    </w:rPr>
  </w:style>
  <w:style w:type="character" w:customStyle="1" w:styleId="OperatorTok">
    <w:name w:val="OperatorTok"/>
    <w:basedOn w:val="VerbatimChar"/>
    <w:rPr>
      <w:color w:val="000000"/>
      <w:shd w:val="clear" w:fill="ffffff"/>
    </w:rPr>
  </w:style>
  <w:style w:type="character" w:customStyle="1" w:styleId="BuiltInTok">
    <w:name w:val="BuiltInTok"/>
    <w:basedOn w:val="VerbatimChar"/>
    <w:rPr>
      <w:color w:val="000000"/>
      <w:shd w:val="clear" w:fill="ffffff"/>
    </w:rPr>
  </w:style>
  <w:style w:type="character" w:customStyle="1" w:styleId="ExtensionTok">
    <w:name w:val="ExtensionTok"/>
    <w:basedOn w:val="VerbatimChar"/>
    <w:rPr>
      <w:color w:val="000000"/>
      <w:shd w:val="clear" w:fill="ffffff"/>
    </w:rPr>
  </w:style>
  <w:style w:type="character" w:customStyle="1" w:styleId="PreprocessorTok">
    <w:name w:val="PreprocessorTok"/>
    <w:basedOn w:val="VerbatimChar"/>
    <w:rPr>
      <w:color w:val="000000"/>
      <w:shd w:val="clear" w:fill="ffffff"/>
    </w:rPr>
  </w:style>
  <w:style w:type="character" w:customStyle="1" w:styleId="AttributeTok">
    <w:name w:val="AttributeTok"/>
    <w:basedOn w:val="VerbatimChar"/>
    <w:rPr>
      <w:color w:val="000000"/>
      <w:shd w:val="clear" w:fill="ffffff"/>
    </w:rPr>
  </w:style>
  <w:style w:type="character" w:customStyle="1" w:styleId="RegionMarkerTok">
    <w:name w:val="RegionMarkerTok"/>
    <w:basedOn w:val="VerbatimChar"/>
    <w:rPr>
      <w:color w:val="000000"/>
      <w:shd w:val="clear" w:fill="ffffff"/>
    </w:rPr>
  </w:style>
  <w:style w:type="character" w:customStyle="1" w:styleId="InformationTok">
    <w:name w:val="InformationTok"/>
    <w:basedOn w:val="VerbatimChar"/>
    <w:rPr>
      <w:i/>
      <w:color w:val="000000"/>
      <w:shd w:val="clear" w:fill="ffffff"/>
    </w:rPr>
  </w:style>
  <w:style w:type="character" w:customStyle="1" w:styleId="WarningTok">
    <w:name w:val="WarningTok"/>
    <w:basedOn w:val="VerbatimChar"/>
    <w:rPr>
      <w:i/>
      <w:color w:val="000000"/>
      <w:shd w:val="clear" w:fill="ffffff"/>
    </w:rPr>
  </w:style>
  <w:style w:type="character" w:customStyle="1" w:styleId="AlertTok">
    <w:name w:val="AlertTok"/>
    <w:basedOn w:val="VerbatimChar"/>
    <w:rPr>
      <w:color w:val="000000"/>
      <w:shd w:val="clear" w:fill="ffffff"/>
    </w:rPr>
  </w:style>
  <w:style w:type="character" w:customStyle="1" w:styleId="ErrorTok">
    <w:name w:val="ErrorTok"/>
    <w:basedOn w:val="VerbatimChar"/>
    <w:rPr>
      <w:color w:val="000000"/>
      <w:shd w:val="clear" w:fill="ffffff"/>
    </w:rPr>
  </w:style>
  <w:style w:type="character" w:customStyle="1" w:styleId="NormalTok">
    <w:name w:val="NormalTok"/>
    <w:basedOn w:val="VerbatimChar"/>
    <w:rPr>
      <w:color w:val="000000"/>
      <w:shd w:val="clear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and Validation of the Jumbo Squid Catch Database for Stock Assessment</dc:title>
  <dc:creator>Ricardo Oliveros Ramos</dc:creator>
  <cp:keywords/>
  <dcterms:created xsi:type="dcterms:W3CDTF">2026-07-21T02:03:07Z</dcterms:created>
  <dcterms:modified xsi:type="dcterms:W3CDTF">2026-07-21T02:03:07Z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nk-citations">
    <vt:lpwstr>True</vt:lpwstr>
  </property>
  <property fmtid="{D5CDD505-2E9C-101B-9397-08002B2CF9AE}" pid="12" name="nocite">
    <vt:lpwstr>@*</vt:lpwstr>
  </property>
  <property fmtid="{D5CDD505-2E9C-101B-9397-08002B2CF9AE}" pid="13" name="papersize">
    <vt:lpwstr>a4</vt:lpwstr>
  </property>
  <property fmtid="{D5CDD505-2E9C-101B-9397-08002B2CF9AE}" pid="14" name="resources">
    <vt:lpwstr/>
  </property>
  <property fmtid="{D5CDD505-2E9C-101B-9397-08002B2CF9AE}" pid="15" name="subtitle">
    <vt:lpwstr>Proposed database for discussion and agreement</vt:lpwstr>
  </property>
  <property fmtid="{D5CDD505-2E9C-101B-9397-08002B2CF9AE}" pid="16" name="toc-title">
    <vt:lpwstr>Table of contents</vt:lpwstr>
  </property>
</Properties>
</file>