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Agenda</w:t>
      </w:r>
    </w:p>
    <w:p>
      <w:pPr>
        <w:pStyle w:val="Date"/>
      </w:pPr>
      <w:r>
        <w:t xml:space="preserve">2026-07-20</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Review of available assessment data: catch, effort, CPUE, and auxiliary data, including size and biological data.</w:t>
      </w:r>
    </w:p>
    <w:p>
      <w:pPr>
        <w:pStyle w:val="Compact"/>
        <w:numPr>
          <w:ilvl w:val="0"/>
          <w:numId w:val="1002"/>
        </w:numPr>
      </w:pPr>
      <w:r>
        <w:t xml:space="preserve">Overview of assessment progress and available candidate stock assessment models.</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2026-07-21T02:36:05Z</dcterms:created>
  <dcterms:modified xsi:type="dcterms:W3CDTF">2026-07-21T02:36:05Z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2026-07-20</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resources">
    <vt:lpwstr/>
  </property>
  <property fmtid="{D5CDD505-2E9C-101B-9397-08002B2CF9AE}" pid="13" name="subtitle">
    <vt:lpwstr>Agenda</vt:lpwstr>
  </property>
  <property fmtid="{D5CDD505-2E9C-101B-9397-08002B2CF9AE}" pid="14" name="toc-title">
    <vt:lpwstr>Table of contents</vt:lpwstr>
  </property>
</Properties>
</file>