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Jumbo Squid Data for Stock Assessment: Validation, Reconstruction and Proposed Database for 1997–2025</w:t>
      </w:r>
    </w:p>
    <w:p>
      <w:pPr>
        <w:pStyle w:val="Subtitle"/>
      </w:pPr>
      <w:r>
        <w:t xml:space="preserve">Proposed database for discussion and agreement</w:t>
      </w:r>
    </w:p>
    <w:p>
      <w:pPr>
        <w:pStyle w:val="Author"/>
      </w:pPr>
      <w:r>
        <w:t xml:space="preserve">Ricardo Oliveros Ramos</w:t>
      </w:r>
    </w:p>
    <w:p>
      <w:pPr>
        <w:pStyle w:val="Date"/>
      </w:pPr>
      <w:r>
        <w:t xml:space="preserve">2026-07-22</w:t>
      </w:r>
    </w:p>
    <w:bookmarkStart w:id="9" w:name="summary"/>
    <w:p>
      <w:pPr>
        <w:pStyle w:val="Heading1"/>
      </w:pPr>
      <w:r>
        <w:t xml:space="preserve">Summary</w:t>
      </w:r>
    </w:p>
    <w:bookmarkEnd w:id="9"/>
    <w:bookmarkStart w:id="13" w:name="scope-and-intended-database"/>
    <w:p>
      <w:pPr>
        <w:pStyle w:val="Heading1"/>
      </w:pPr>
      <w:r>
        <w:t xml:space="preserve">1. Scope and Intended Database</w:t>
      </w:r>
    </w:p>
    <w:bookmarkStart w:id="10" w:name="assessment-period"/>
    <w:p>
      <w:pPr>
        <w:pStyle w:val="Heading2"/>
      </w:pPr>
      <w:r>
        <w:t xml:space="preserve">1.1 Assessment Period</w:t>
      </w:r>
    </w:p>
    <w:bookmarkEnd w:id="10"/>
    <w:bookmarkStart w:id="11" w:name="database-structure"/>
    <w:p>
      <w:pPr>
        <w:pStyle w:val="Heading2"/>
      </w:pPr>
      <w:r>
        <w:t xml:space="preserve">1.2 Database Structure</w:t>
      </w:r>
    </w:p>
    <w:bookmarkEnd w:id="11"/>
    <w:bookmarkStart w:id="12" w:name="terminology-and-attribution-rules"/>
    <w:p>
      <w:pPr>
        <w:pStyle w:val="Heading2"/>
      </w:pPr>
      <w:r>
        <w:t xml:space="preserve">1.3 Terminology and Attribution Rules</w:t>
      </w:r>
    </w:p>
    <w:bookmarkEnd w:id="12"/>
    <w:bookmarkEnd w:id="13"/>
    <w:bookmarkStart w:id="19" w:name="data-sources-and-source-hierarchy"/>
    <w:p>
      <w:pPr>
        <w:pStyle w:val="Heading1"/>
      </w:pPr>
      <w:r>
        <w:t xml:space="preserve">2. Data Sources and Source Hierarchy</w:t>
      </w:r>
    </w:p>
    <w:bookmarkStart w:id="14" w:name="member-submissions"/>
    <w:p>
      <w:pPr>
        <w:pStyle w:val="Heading2"/>
      </w:pPr>
      <w:r>
        <w:t xml:space="preserve">2.1 Member Submissions</w:t>
      </w:r>
    </w:p>
    <w:p>
      <w:pPr>
        <w:pStyle w:val="FirstParagraph"/>
      </w:pPr>
      <w:r>
        <w:t xml:space="preserve">Monthly data were received from Chile, China, Chinese Taipei, Ecuador, Korea and Peru. Most submissions used the common SPRFMO stock-assessment template, which records catches by Member, fleet type, fishing area, gear, year and month. Landings were reported in tonnes. Some submissions also included nominal effort, nominal catch per unit effort and standardised catch-rate information, although the present database compilation focuses on catches.</w:t>
      </w:r>
    </w:p>
    <w:p>
      <w:pPr>
        <w:pStyle w:val="BodyText"/>
      </w:pPr>
      <w:r>
        <w:t xml:space="preserve">The temporal and operational coverage of the submissions is summarised below.</w:t>
      </w:r>
    </w:p>
    <w:tbl>
      <w:tblPr>
        <w:tblStyle w:val="Table"/>
        <w:tblW w:type="pct" w:w="5000"/>
        <w:tblLayout w:type="fixed"/>
        <w:tblLook w:firstRow="1" w:lastRow="0" w:firstColumn="0" w:lastColumn="0" w:noHBand="0" w:noVBand="0" w:val="0020"/>
      </w:tblPr>
      <w:tblGrid>
        <w:gridCol w:w="554"/>
        <w:gridCol w:w="792"/>
        <w:gridCol w:w="6573"/>
      </w:tblGrid>
      <w:tr>
        <w:trPr>
          <w:tblHeader w:val="on"/>
        </w:trPr>
        <w:tc>
          <w:tcPr/>
          <w:p>
            <w:pPr>
              <w:pStyle w:val="Compact"/>
            </w:pPr>
            <w:r>
              <w:t xml:space="preserve">Member</w:t>
            </w:r>
          </w:p>
        </w:tc>
        <w:tc>
          <w:tcPr/>
          <w:p>
            <w:pPr>
              <w:pStyle w:val="Compact"/>
              <w:jc w:val="right"/>
            </w:pPr>
            <w:r>
              <w:t xml:space="preserve">Period covered</w:t>
            </w:r>
          </w:p>
        </w:tc>
        <w:tc>
          <w:tcPr/>
          <w:p>
            <w:pPr>
              <w:pStyle w:val="Compact"/>
            </w:pPr>
            <w:r>
              <w:t xml:space="preserve">Resolution and principal coverage</w:t>
            </w:r>
          </w:p>
        </w:tc>
      </w:tr>
      <w:tr>
        <w:tc>
          <w:tcPr/>
          <w:p>
            <w:pPr>
              <w:pStyle w:val="Compact"/>
            </w:pPr>
            <w:r>
              <w:t xml:space="preserve">Chile</w:t>
            </w:r>
          </w:p>
        </w:tc>
        <w:tc>
          <w:tcPr/>
          <w:p>
            <w:pPr>
              <w:pStyle w:val="Compact"/>
              <w:jc w:val="right"/>
            </w:pPr>
            <w:r>
              <w:t xml:space="preserve">2000–2025</w:t>
            </w:r>
          </w:p>
        </w:tc>
        <w:tc>
          <w:tcPr/>
          <w:p>
            <w:pPr>
              <w:pStyle w:val="Compact"/>
            </w:pPr>
            <w:r>
              <w:t xml:space="preserve">Monthly EEZ catches separated by fleet type and gear.</w:t>
            </w:r>
          </w:p>
        </w:tc>
      </w:tr>
      <w:tr>
        <w:tc>
          <w:tcPr/>
          <w:p>
            <w:pPr>
              <w:pStyle w:val="Compact"/>
            </w:pPr>
            <w:r>
              <w:t xml:space="preserve">China</w:t>
            </w:r>
          </w:p>
        </w:tc>
        <w:tc>
          <w:tcPr/>
          <w:p>
            <w:pPr>
              <w:pStyle w:val="Compact"/>
              <w:jc w:val="right"/>
            </w:pPr>
            <w:r>
              <w:t xml:space="preserve">2003–2025</w:t>
            </w:r>
          </w:p>
        </w:tc>
        <w:tc>
          <w:tcPr/>
          <w:p>
            <w:pPr>
              <w:pStyle w:val="Compact"/>
            </w:pPr>
            <w:r>
              <w:t xml:space="preserve">Monthly industrial squid-jigging catches in the SPRFMO Area. The 2025 data were identified as preliminary.</w:t>
            </w:r>
          </w:p>
        </w:tc>
      </w:tr>
      <w:tr>
        <w:tc>
          <w:tcPr/>
          <w:p>
            <w:pPr>
              <w:pStyle w:val="Compact"/>
            </w:pPr>
            <w:r>
              <w:t xml:space="preserve">Chinese Taipei</w:t>
            </w:r>
          </w:p>
        </w:tc>
        <w:tc>
          <w:tcPr/>
          <w:p>
            <w:pPr>
              <w:pStyle w:val="Compact"/>
              <w:jc w:val="right"/>
            </w:pPr>
            <w:r>
              <w:t xml:space="preserve">2002–2025</w:t>
            </w:r>
          </w:p>
        </w:tc>
        <w:tc>
          <w:tcPr/>
          <w:p>
            <w:pPr>
              <w:pStyle w:val="Compact"/>
            </w:pPr>
            <w:r>
              <w:t xml:space="preserve">Monthly industrial catches in the SPRFMO Area for months with fishing activity. Missing rows were subsequently confirmed to represent zero catch.</w:t>
            </w:r>
          </w:p>
        </w:tc>
      </w:tr>
      <w:tr>
        <w:tc>
          <w:tcPr/>
          <w:p>
            <w:pPr>
              <w:pStyle w:val="Compact"/>
            </w:pPr>
            <w:r>
              <w:t xml:space="preserve">Ecuador</w:t>
            </w:r>
          </w:p>
        </w:tc>
        <w:tc>
          <w:tcPr/>
          <w:p>
            <w:pPr>
              <w:pStyle w:val="Compact"/>
              <w:jc w:val="right"/>
            </w:pPr>
            <w:r>
              <w:t xml:space="preserve">2018–2022</w:t>
            </w:r>
          </w:p>
        </w:tc>
        <w:tc>
          <w:tcPr/>
          <w:p>
            <w:pPr>
              <w:pStyle w:val="Compact"/>
            </w:pPr>
            <w:r>
              <w:t xml:space="preserve">Monthly artisanal hand-jigging catches in the Ecuadorian EEZ, derived from the IPIAP monitoring series.</w:t>
            </w:r>
          </w:p>
        </w:tc>
      </w:tr>
      <w:tr>
        <w:tc>
          <w:tcPr/>
          <w:p>
            <w:pPr>
              <w:pStyle w:val="Compact"/>
            </w:pPr>
            <w:r>
              <w:t xml:space="preserve">Korea</w:t>
            </w:r>
          </w:p>
        </w:tc>
        <w:tc>
          <w:tcPr/>
          <w:p>
            <w:pPr>
              <w:pStyle w:val="Compact"/>
              <w:jc w:val="right"/>
            </w:pPr>
            <w:r>
              <w:t xml:space="preserve">2015–2024</w:t>
            </w:r>
          </w:p>
        </w:tc>
        <w:tc>
          <w:tcPr/>
          <w:p>
            <w:pPr>
              <w:pStyle w:val="Compact"/>
            </w:pPr>
            <w:r>
              <w:t xml:space="preserve">Monthly industrial catches in the SPRFMO Area for months with reported fishing activity. Korea subsequently confirmed zero catches for the missing years 2021–2023 and 2025.</w:t>
            </w:r>
          </w:p>
        </w:tc>
      </w:tr>
      <w:tr>
        <w:tc>
          <w:tcPr/>
          <w:p>
            <w:pPr>
              <w:pStyle w:val="Compact"/>
            </w:pPr>
            <w:r>
              <w:t xml:space="preserve">Peru</w:t>
            </w:r>
          </w:p>
        </w:tc>
        <w:tc>
          <w:tcPr/>
          <w:p>
            <w:pPr>
              <w:pStyle w:val="Compact"/>
              <w:jc w:val="right"/>
            </w:pPr>
            <w:r>
              <w:t xml:space="preserve">2000–2025</w:t>
            </w:r>
          </w:p>
        </w:tc>
        <w:tc>
          <w:tcPr/>
          <w:p>
            <w:pPr>
              <w:pStyle w:val="Compact"/>
            </w:pPr>
            <w:r>
              <w:t xml:space="preserve">Monthly artisanal hand-jigging catches in the Peruvian EEZ.</w:t>
            </w:r>
          </w:p>
        </w:tc>
      </w:tr>
    </w:tbl>
    <w:p>
      <w:pPr>
        <w:pStyle w:val="BodyText"/>
      </w:pPr>
      <w:r>
        <w:t xml:space="preserve">The periods shown in the table describe the records contained in the submitted files and do not, by themselves, indicate that the series are complete or suitable for direct use. Each submission was therefore aggregated to annual totals, compared with the corresponding FAO Area 87 series, and assessed together with available national statistics and Member clarifications. Where a submission was incomplete or inconsistent with the annual reference, the final database used an alternative source or a documented reconstruction.</w:t>
      </w:r>
    </w:p>
    <w:bookmarkEnd w:id="14"/>
    <w:bookmarkStart w:id="15" w:name="fao-area-87-reference-data"/>
    <w:p>
      <w:pPr>
        <w:pStyle w:val="Heading2"/>
      </w:pPr>
      <w:r>
        <w:t xml:space="preserve">2.2 FAO Area 87 Reference Data</w:t>
      </w:r>
    </w:p>
    <w:p>
      <w:pPr>
        <w:pStyle w:val="FirstParagraph"/>
      </w:pPr>
      <w:r>
        <w:t xml:space="preserve">Annual capture quantities for</w:t>
      </w:r>
      <w:r>
        <w:t xml:space="preserve"> </w:t>
      </w:r>
      <w:r>
        <w:rPr>
          <w:i/>
          <w:iCs/>
        </w:rPr>
        <w:t xml:space="preserve">Dosidicus gigas</w:t>
      </w:r>
      <w:r>
        <w:t xml:space="preserve"> </w:t>
      </w:r>
      <w:r>
        <w:t xml:space="preserve">in FAO Major Fishing Area 87 were used as the principal reference for evaluating the completeness and consistency of the submitted catch series. The reference file contains annual catches for Peru, China, Chile, Ecuador, the Republic of Korea, Chinese Taipei, Japan and the former USSR for the period 1950–2024. The present analysis uses the relevant portion of these series from 1997 onwards. FAO data were not yet available for 2025.</w:t>
      </w:r>
    </w:p>
    <w:p>
      <w:pPr>
        <w:pStyle w:val="BodyText"/>
      </w:pPr>
      <w:r>
        <w:t xml:space="preserve">For each Member, monthly catches were aggregated by year and compared with the corresponding FAO annual total. These comparisons were used to identify missing periods, substantial differences in annual magnitude and cases requiring correction or reconstruction. Where a monthly series was reconstructed, the FAO value could be used as the annual control total, while the monthly distribution was obtained from Member data, official national statistics or another documented source.</w:t>
      </w:r>
    </w:p>
    <w:p>
      <w:pPr>
        <w:pStyle w:val="BodyText"/>
      </w:pPr>
      <w:r>
        <w:t xml:space="preserve">For the historical Peruvian industrial component, the annual reference was constructed from the FAO catches reported by the Republic of Korea, Japan and the former USSR during the period in which these fleets operated in Peruvian waters. This attribution was applied through 2011, with Japan’s small 2012 catch also included in the Peruvian industrial component. Korean catches for 2012–2014 were treated separately as part of the Korean series.</w:t>
      </w:r>
    </w:p>
    <w:p>
      <w:pPr>
        <w:pStyle w:val="BodyText"/>
      </w:pPr>
      <w:r>
        <w:t xml:space="preserve">Because the FAO data are annual and organised by reporting country or flag, they do not provide the monthly distribution of catches or independently distinguish catches taken within national waters from those taken in the SPRFMO Area. They are therefore used as an annual validation and reconstruction reference rather than as the default source of monthly observations.</w:t>
      </w:r>
    </w:p>
    <w:bookmarkEnd w:id="15"/>
    <w:bookmarkStart w:id="16" w:name="X306c920b4c90d962b75b4435647e252f42c0e45"/>
    <w:p>
      <w:pPr>
        <w:pStyle w:val="Heading2"/>
      </w:pPr>
      <w:r>
        <w:t xml:space="preserve">2.3 Additional National and Secondary Sources</w:t>
      </w:r>
    </w:p>
    <w:bookmarkEnd w:id="16"/>
    <w:bookmarkStart w:id="17" w:name="source-precedence-rules"/>
    <w:p>
      <w:pPr>
        <w:pStyle w:val="Heading2"/>
      </w:pPr>
      <w:r>
        <w:t xml:space="preserve">2.4 Source-Precedence Rules</w:t>
      </w:r>
    </w:p>
    <w:bookmarkEnd w:id="17"/>
    <w:bookmarkStart w:id="18" w:name="member-communications-and-confirmations"/>
    <w:p>
      <w:pPr>
        <w:pStyle w:val="Heading2"/>
      </w:pPr>
      <w:r>
        <w:t xml:space="preserve">2.5 Member Communications and Confirmations</w:t>
      </w:r>
    </w:p>
    <w:bookmarkEnd w:id="18"/>
    <w:bookmarkEnd w:id="19"/>
    <w:bookmarkStart w:id="23" w:name="validation-approach"/>
    <w:p>
      <w:pPr>
        <w:pStyle w:val="Heading1"/>
      </w:pPr>
      <w:r>
        <w:t xml:space="preserve">3. Validation Approach</w:t>
      </w:r>
    </w:p>
    <w:bookmarkStart w:id="20" w:name="annual-comparison-with-fao-area-87"/>
    <w:p>
      <w:pPr>
        <w:pStyle w:val="Heading2"/>
      </w:pPr>
      <w:r>
        <w:t xml:space="preserve">3.1 Annual Comparison with FAO Area 87</w:t>
      </w:r>
    </w:p>
    <w:p>
      <w:pPr>
        <w:pStyle w:val="FirstParagraph"/>
      </w:pPr>
      <w:r>
        <w:t xml:space="preserve">For each Member submission, monthly catches were aggregated by calendar year and compared with the corresponding annual catch reported to FAO for Major Fishing Area 87. Comparisons were conducted over the years common to both series. Years without a Member record were retained in the diagnostic dataset so that confirmed zero catches could be distinguished from missing or incomplete information.</w:t>
      </w:r>
    </w:p>
    <w:p>
      <w:pPr>
        <w:pStyle w:val="BodyText"/>
      </w:pPr>
      <w:r>
        <w:t xml:space="preserve">The annual comparison considered both the absolute difference, calculated as the Member total minus the FAO total, and the relative difference expressed with respect to the FAO value. Positive differences indicate that the Member series exceeds the FAO total, while negative differences indicate that it is lower.</w:t>
      </w:r>
    </w:p>
    <w:p>
      <w:pPr>
        <w:pStyle w:val="BodyText"/>
      </w:pPr>
      <w:r>
        <w:t xml:space="preserve">Where several fleet or area components were included in a submission, these were first combined to obtain a Member-level annual total for comparison with FAO. Component-level information was retained for subsequent interpretation and database construction.</w:t>
      </w:r>
    </w:p>
    <w:p>
      <w:pPr>
        <w:pStyle w:val="BodyText"/>
      </w:pPr>
      <w:r>
        <w:t xml:space="preserve">The comparison with FAO was used as a diagnostic rather than as an automatic replacement rule. Differences were interpreted together with the temporal coverage of the submission, national statistics, known area or fleet distinctions, and clarifications received from Members.</w:t>
      </w:r>
    </w:p>
    <w:bookmarkEnd w:id="20"/>
    <w:bookmarkStart w:id="21" w:name="diagnostic-criteria"/>
    <w:p>
      <w:pPr>
        <w:pStyle w:val="Heading2"/>
      </w:pPr>
      <w:r>
        <w:t xml:space="preserve">3.2 Diagnostic Criteria</w:t>
      </w:r>
    </w:p>
    <w:p>
      <w:pPr>
        <w:pStyle w:val="FirstParagraph"/>
      </w:pPr>
      <w:r>
        <w:t xml:space="preserve">The diagnostic review focused primarily on years where the absolute relative difference between the Member and FAO annual totals exceeded 5%. Smaller relative differences were generally considered compatible with rounding, revisions between reporting systems, or minor differences in data processing.</w:t>
      </w:r>
    </w:p>
    <w:p>
      <w:pPr>
        <w:pStyle w:val="BodyText"/>
      </w:pPr>
      <w:r>
        <w:t xml:space="preserve">The 5% threshold was used to prioritise review and reporting, rather than as a strict acceptance criterion. Differences below this threshold were retained where the absolute quantity was important, where they formed part of a persistent pattern, or where they affected the attribution of catches among fleets, areas, or Members.</w:t>
      </w:r>
    </w:p>
    <w:bookmarkEnd w:id="21"/>
    <w:bookmarkStart w:id="22" w:name="diagnostic-outputs"/>
    <w:p>
      <w:pPr>
        <w:pStyle w:val="Heading2"/>
      </w:pPr>
      <w:r>
        <w:t xml:space="preserve">3.3 Diagnostic Outputs</w:t>
      </w:r>
    </w:p>
    <w:p>
      <w:pPr>
        <w:pStyle w:val="FirstParagraph"/>
      </w:pPr>
      <w:r>
        <w:t xml:space="preserve">The validation produced three main outputs:</w:t>
      </w:r>
    </w:p>
    <w:p>
      <w:pPr>
        <w:pStyle w:val="Compact"/>
        <w:numPr>
          <w:ilvl w:val="0"/>
          <w:numId w:val="1001"/>
        </w:numPr>
      </w:pPr>
      <w:r>
        <w:t xml:space="preserve">annual comparison tables containing Member totals, FAO totals, absolute differences and relative differences;</w:t>
      </w:r>
    </w:p>
    <w:p>
      <w:pPr>
        <w:pStyle w:val="Compact"/>
        <w:numPr>
          <w:ilvl w:val="0"/>
          <w:numId w:val="1001"/>
        </w:numPr>
      </w:pPr>
      <w:r>
        <w:t xml:space="preserve">figures showing annual relative differences between Member submissions and FAO Area 87; and</w:t>
      </w:r>
    </w:p>
    <w:p>
      <w:pPr>
        <w:pStyle w:val="Compact"/>
        <w:numPr>
          <w:ilvl w:val="0"/>
          <w:numId w:val="1001"/>
        </w:numPr>
      </w:pPr>
      <w:r>
        <w:t xml:space="preserve">a consolidated CSV file containing the annual diagnostics for all Members.</w:t>
      </w:r>
    </w:p>
    <w:p>
      <w:pPr>
        <w:pStyle w:val="FirstParagraph"/>
      </w:pPr>
      <w:r>
        <w:t xml:space="preserve">These outputs support the identification of years requiring correction, reconstruction or further clarification and provide the basis for documenting the treatment applied in the proposed database.</w:t>
      </w:r>
    </w:p>
    <w:bookmarkEnd w:id="22"/>
    <w:bookmarkEnd w:id="23"/>
    <w:bookmarkStart w:id="31" w:name="Xd4a6afcf8f28a0563d47964f99ca8d94b5a2425"/>
    <w:p>
      <w:pPr>
        <w:pStyle w:val="Heading1"/>
      </w:pPr>
      <w:r>
        <w:t xml:space="preserve">4. Validation and Proposed Treatment by Member</w:t>
      </w:r>
    </w:p>
    <w:p>
      <w:pPr>
        <w:pStyle w:val="FirstParagraph"/>
      </w:pPr>
      <w:r>
        <w:t xml:space="preserve">Annual totals derived from the Member submissions were compared with the corresponding FAO Area 87 catches through 2024. FAO data were not yet available for 2025. Four submissions were suitable for direct use with limited adjustments or reconstruction of missing periods, whereas the Peru and Ecuador submissions were not considered representative of total national catches.</w:t>
      </w:r>
    </w:p>
    <w:bookmarkStart w:id="24" w:name="chile"/>
    <w:p>
      <w:pPr>
        <w:pStyle w:val="Heading2"/>
      </w:pPr>
      <w:r>
        <w:t xml:space="preserve">4.1 Chile</w:t>
      </w:r>
    </w:p>
    <w:p>
      <w:pPr>
        <w:pStyle w:val="FirstParagraph"/>
      </w:pPr>
      <w:r>
        <w:t xml:space="preserve">The Chile submission covers 2000–2025 at monthly resolution. Annual totals for 2000–2002 were substantially below the corresponding FAO values, with relative differences of −25.3%, −88.3% and −75.1%, respectively. From 2003 to 2024, the series was consistent with FAO: the mean absolute relative difference was 0.8%, and no annual difference exceeded 5%.</w:t>
      </w:r>
    </w:p>
    <w:p>
      <w:pPr>
        <w:pStyle w:val="BodyText"/>
      </w:pPr>
      <w:r>
        <w:t xml:space="preserve">The submission therefore provides a consistent monthly series from 2003 onwards, while the earlier years require reconstruction from other available sources.</w:t>
      </w:r>
    </w:p>
    <w:bookmarkEnd w:id="24"/>
    <w:bookmarkStart w:id="25" w:name="peru"/>
    <w:p>
      <w:pPr>
        <w:pStyle w:val="Heading2"/>
      </w:pPr>
      <w:r>
        <w:t xml:space="preserve">4.2 Peru</w:t>
      </w:r>
    </w:p>
    <w:p>
      <w:pPr>
        <w:pStyle w:val="FirstParagraph"/>
      </w:pPr>
      <w:r>
        <w:t xml:space="preserve">The Peru submission covers 2000–2025 and contains monthly artisanal landings from the Peruvian EEZ. Annual totals were below FAO in every comparable year. Relative differences ranged from −35.8% to −97.1%, with a median difference of −69.0%. Over the complete overlapping period, the submitted series represented approximately 32% of the cumulative FAO total.</w:t>
      </w:r>
    </w:p>
    <w:p>
      <w:pPr>
        <w:pStyle w:val="BodyText"/>
      </w:pPr>
      <w:r>
        <w:t xml:space="preserve">The magnitude and persistence of these differences indicate that the submission does not represent total Peruvian catches and cannot be used as the national catch series. Reconstruction from other official national sources is required, including separate treatment of the artisanal and historical industrial components.</w:t>
      </w:r>
    </w:p>
    <w:bookmarkEnd w:id="25"/>
    <w:bookmarkStart w:id="26" w:name="ecuador"/>
    <w:p>
      <w:pPr>
        <w:pStyle w:val="Heading2"/>
      </w:pPr>
      <w:r>
        <w:t xml:space="preserve">4.3 Ecuador</w:t>
      </w:r>
    </w:p>
    <w:p>
      <w:pPr>
        <w:pStyle w:val="FirstParagraph"/>
      </w:pPr>
      <w:r>
        <w:t xml:space="preserve">The Ecuador submission contains monthly artisanal catches for 2018–2022 derived from the IPIAP monitoring series. The relationship with FAO varied substantially among years. Relative differences ranged from −93.9% in 2018 to +8.2% in 2022, and exceeded 5% in every submitted year.</w:t>
      </w:r>
    </w:p>
    <w:p>
      <w:pPr>
        <w:pStyle w:val="BodyText"/>
      </w:pPr>
      <w:r>
        <w:t xml:space="preserve">The variable level of coverage confirms that the submission is a monitoring series rather than a complete national catch series. It cannot be used directly to represent annual or monthly national catches, and a new series must be reconstructed from other official national sources.</w:t>
      </w:r>
    </w:p>
    <w:bookmarkEnd w:id="26"/>
    <w:bookmarkStart w:id="27" w:name="china"/>
    <w:p>
      <w:pPr>
        <w:pStyle w:val="Heading2"/>
      </w:pPr>
      <w:r>
        <w:t xml:space="preserve">4.4 China</w:t>
      </w:r>
    </w:p>
    <w:p>
      <w:pPr>
        <w:pStyle w:val="FirstParagraph"/>
      </w:pPr>
      <w:r>
        <w:t xml:space="preserve">The China submission provides complete monthly coverage for 2003–2025. Annual totals were generally consistent with FAO. The only relative difference exceeding 5% occurred in 2005, when the submitted total was 75,300 t compared with 86,000 t in FAO, a difference of −12.4%. In 2023, the absolute difference was larger, at −16,393 t, but represented only −3.3% of the FAO total.</w:t>
      </w:r>
    </w:p>
    <w:p>
      <w:pPr>
        <w:pStyle w:val="BodyText"/>
      </w:pPr>
      <w:r>
        <w:t xml:space="preserve">The submitted monthly series is therefore suitable for direct use, except for 2005, when the monthly values should be adjusted proportionally to match the FAO annual total. The years before the Member series require completion from FAO and available monthly information.</w:t>
      </w:r>
    </w:p>
    <w:bookmarkEnd w:id="27"/>
    <w:bookmarkStart w:id="28" w:name="korea"/>
    <w:p>
      <w:pPr>
        <w:pStyle w:val="Heading2"/>
      </w:pPr>
      <w:r>
        <w:t xml:space="preserve">4.5 Korea</w:t>
      </w:r>
    </w:p>
    <w:p>
      <w:pPr>
        <w:pStyle w:val="FirstParagraph"/>
      </w:pPr>
      <w:r>
        <w:t xml:space="preserve">The Korea submission contains monthly records for 2015–2020 and 2024. Annual totals were generally consistent with FAO. The largest relative difference occurred in 2024, at +9.9%, but this represented only 11.6 t because the annual catch was small. The other comparable years were within 5%, including a difference of +4.3% in 2018.</w:t>
      </w:r>
    </w:p>
    <w:p>
      <w:pPr>
        <w:pStyle w:val="BodyText"/>
      </w:pPr>
      <w:r>
        <w:t xml:space="preserve">The submitted monthly data can therefore be retained without adjustment. Monthly catches for 2012–2014 require reconstruction, while the missing years 2021–2023 and 2025 are treated as confirmed zero catches.</w:t>
      </w:r>
    </w:p>
    <w:bookmarkEnd w:id="28"/>
    <w:bookmarkStart w:id="29" w:name="chinese-taipei"/>
    <w:p>
      <w:pPr>
        <w:pStyle w:val="Heading2"/>
      </w:pPr>
      <w:r>
        <w:t xml:space="preserve">4.6 Chinese Taipei</w:t>
      </w:r>
    </w:p>
    <w:p>
      <w:pPr>
        <w:pStyle w:val="FirstParagraph"/>
      </w:pPr>
      <w:r>
        <w:t xml:space="preserve">The Chinese Taipei submission covers 2002–2025 and contains monthly records for periods with fishing activity. Annual totals agree with FAO to rounding precision: the maximum absolute difference was less than 0.5 t, and the maximum relative difference was 0.03%.</w:t>
      </w:r>
    </w:p>
    <w:p>
      <w:pPr>
        <w:pStyle w:val="BodyText"/>
      </w:pPr>
      <w:r>
        <w:t xml:space="preserve">The submitted monthly series can therefore be retained as provided. Missing rows are treated as zero catches, consistent with the clarification provided by Chinese Taipei.</w:t>
      </w:r>
    </w:p>
    <w:bookmarkEnd w:id="29"/>
    <w:bookmarkStart w:id="30" w:name="proposed-treatment"/>
    <w:p>
      <w:pPr>
        <w:pStyle w:val="Heading2"/>
      </w:pPr>
      <w:r>
        <w:t xml:space="preserve">4.7 Proposed Treatment</w:t>
      </w:r>
    </w:p>
    <w:tbl>
      <w:tblPr>
        <w:tblStyle w:val="Table"/>
        <w:tblW w:type="pct" w:w="5000"/>
        <w:tblLayout w:type="fixed"/>
        <w:tblLook w:firstRow="1" w:lastRow="0" w:firstColumn="0" w:lastColumn="0" w:noHBand="0" w:noVBand="0" w:val="0020"/>
      </w:tblPr>
      <w:tblGrid>
        <w:gridCol w:w="693"/>
        <w:gridCol w:w="2079"/>
        <w:gridCol w:w="5148"/>
      </w:tblGrid>
      <w:tr>
        <w:trPr>
          <w:tblHeader w:val="on"/>
        </w:trPr>
        <w:tc>
          <w:tcPr/>
          <w:p>
            <w:pPr>
              <w:pStyle w:val="Compact"/>
            </w:pPr>
            <w:r>
              <w:t xml:space="preserve">Member</w:t>
            </w:r>
          </w:p>
        </w:tc>
        <w:tc>
          <w:tcPr/>
          <w:p>
            <w:pPr>
              <w:pStyle w:val="Compact"/>
            </w:pPr>
            <w:r>
              <w:t xml:space="preserve">Member data retained</w:t>
            </w:r>
          </w:p>
        </w:tc>
        <w:tc>
          <w:tcPr/>
          <w:p>
            <w:pPr>
              <w:pStyle w:val="Compact"/>
            </w:pPr>
            <w:r>
              <w:t xml:space="preserve">Reconstruction or adjustment</w:t>
            </w:r>
          </w:p>
        </w:tc>
      </w:tr>
      <w:tr>
        <w:tc>
          <w:tcPr/>
          <w:p>
            <w:pPr>
              <w:pStyle w:val="Compact"/>
            </w:pPr>
            <w:r>
              <w:t xml:space="preserve">Chile</w:t>
            </w:r>
          </w:p>
        </w:tc>
        <w:tc>
          <w:tcPr/>
          <w:p>
            <w:pPr>
              <w:pStyle w:val="Compact"/>
            </w:pPr>
            <w:r>
              <w:t xml:space="preserve">Monthly Member data from 2003–2025</w:t>
            </w:r>
          </w:p>
        </w:tc>
        <w:tc>
          <w:tcPr/>
          <w:p>
            <w:pPr>
              <w:pStyle w:val="Compact"/>
            </w:pPr>
            <w:r>
              <w:t xml:space="preserve">Reconstruct 1998–2002; assign zero catch to 1997</w:t>
            </w:r>
          </w:p>
        </w:tc>
      </w:tr>
      <w:tr>
        <w:tc>
          <w:tcPr/>
          <w:p>
            <w:pPr>
              <w:pStyle w:val="Compact"/>
            </w:pPr>
            <w:r>
              <w:t xml:space="preserve">Peru</w:t>
            </w:r>
          </w:p>
        </w:tc>
        <w:tc>
          <w:tcPr/>
          <w:p>
            <w:pPr>
              <w:pStyle w:val="Compact"/>
            </w:pPr>
            <w:r>
              <w:t xml:space="preserve">None as the national catch series</w:t>
            </w:r>
          </w:p>
        </w:tc>
        <w:tc>
          <w:tcPr/>
          <w:p>
            <w:pPr>
              <w:pStyle w:val="Compact"/>
            </w:pPr>
            <w:r>
              <w:t xml:space="preserve">Reconstruct the series from other official national sources and validate annual totals against FAO again</w:t>
            </w:r>
          </w:p>
        </w:tc>
      </w:tr>
      <w:tr>
        <w:tc>
          <w:tcPr/>
          <w:p>
            <w:pPr>
              <w:pStyle w:val="Compact"/>
            </w:pPr>
            <w:r>
              <w:t xml:space="preserve">Ecuador</w:t>
            </w:r>
          </w:p>
        </w:tc>
        <w:tc>
          <w:tcPr/>
          <w:p>
            <w:pPr>
              <w:pStyle w:val="Compact"/>
            </w:pPr>
            <w:r>
              <w:t xml:space="preserve">None as the national catch series</w:t>
            </w:r>
          </w:p>
        </w:tc>
        <w:tc>
          <w:tcPr/>
          <w:p>
            <w:pPr>
              <w:pStyle w:val="Compact"/>
            </w:pPr>
            <w:r>
              <w:t xml:space="preserve">Reconstruct the series from other official national sources and validate annual totals against FAO again</w:t>
            </w:r>
          </w:p>
        </w:tc>
      </w:tr>
      <w:tr>
        <w:tc>
          <w:tcPr/>
          <w:p>
            <w:pPr>
              <w:pStyle w:val="Compact"/>
            </w:pPr>
            <w:r>
              <w:t xml:space="preserve">China</w:t>
            </w:r>
          </w:p>
        </w:tc>
        <w:tc>
          <w:tcPr/>
          <w:p>
            <w:pPr>
              <w:pStyle w:val="Compact"/>
            </w:pPr>
            <w:r>
              <w:t xml:space="preserve">Monthly Member data from 2003–2025</w:t>
            </w:r>
          </w:p>
        </w:tc>
        <w:tc>
          <w:tcPr/>
          <w:p>
            <w:pPr>
              <w:pStyle w:val="Compact"/>
            </w:pPr>
            <w:r>
              <w:t xml:space="preserve">Proportionally adjust 2005 to the FAO total; reconstruct 2001–2002; assign zero catch to 1997–2000</w:t>
            </w:r>
          </w:p>
        </w:tc>
      </w:tr>
      <w:tr>
        <w:tc>
          <w:tcPr/>
          <w:p>
            <w:pPr>
              <w:pStyle w:val="Compact"/>
            </w:pPr>
            <w:r>
              <w:t xml:space="preserve">Korea</w:t>
            </w:r>
          </w:p>
        </w:tc>
        <w:tc>
          <w:tcPr/>
          <w:p>
            <w:pPr>
              <w:pStyle w:val="Compact"/>
            </w:pPr>
            <w:r>
              <w:t xml:space="preserve">Monthly Member data for 2015–2020 and 2024</w:t>
            </w:r>
          </w:p>
        </w:tc>
        <w:tc>
          <w:tcPr/>
          <w:p>
            <w:pPr>
              <w:pStyle w:val="Compact"/>
            </w:pPr>
            <w:r>
              <w:t xml:space="preserve">Reconstruct 2012–2014; assign confirmed zero catches to 2021–2023 and 2025</w:t>
            </w:r>
          </w:p>
        </w:tc>
      </w:tr>
      <w:tr>
        <w:tc>
          <w:tcPr/>
          <w:p>
            <w:pPr>
              <w:pStyle w:val="Compact"/>
            </w:pPr>
            <w:r>
              <w:t xml:space="preserve">Chinese Taipei</w:t>
            </w:r>
          </w:p>
        </w:tc>
        <w:tc>
          <w:tcPr/>
          <w:p>
            <w:pPr>
              <w:pStyle w:val="Compact"/>
            </w:pPr>
            <w:r>
              <w:t xml:space="preserve">Monthly Member data from 2002–2025</w:t>
            </w:r>
          </w:p>
        </w:tc>
        <w:tc>
          <w:tcPr/>
          <w:p>
            <w:pPr>
              <w:pStyle w:val="Compact"/>
            </w:pPr>
            <w:r>
              <w:t xml:space="preserve">Assign zero catch to omitted months and confirmed zero years</w:t>
            </w:r>
          </w:p>
        </w:tc>
      </w:tr>
    </w:tbl>
    <w:p>
      <w:pPr>
        <w:pStyle w:val="BodyText"/>
      </w:pPr>
      <w:r>
        <w:t xml:space="preserve">The reconstruction of Peru and Ecuador requires further evaluation of official national monthly sources. The remaining treatments can be implemented directly from the Member submissions, FAO annual totals and confirmed zero-catch information.</w:t>
      </w:r>
    </w:p>
    <w:bookmarkEnd w:id="30"/>
    <w:bookmarkEnd w:id="31"/>
    <w:bookmarkStart w:id="34" w:name="proposed-final-database"/>
    <w:p>
      <w:pPr>
        <w:pStyle w:val="Heading1"/>
      </w:pPr>
      <w:r>
        <w:t xml:space="preserve">5. Proposed Final Database</w:t>
      </w:r>
    </w:p>
    <w:bookmarkStart w:id="32" w:name="coverage"/>
    <w:p>
      <w:pPr>
        <w:pStyle w:val="Heading2"/>
      </w:pPr>
      <w:r>
        <w:t xml:space="preserve">5.1 Coverage</w:t>
      </w:r>
    </w:p>
    <w:p>
      <w:pPr>
        <w:pStyle w:val="FirstParagraph"/>
      </w:pPr>
      <w:r>
        <w:t xml:space="preserve">The proposed database integrates the final submitted and reconstructed series for Chile, China, Ecuador, the Republic of Korea, Peru and Chinese Taipei. It covers January 1997 to December 2025 and retains separate records by Member, fleet type, fishing area and gear where these distinctions are available. The final long-format database contains 3,794 records, while the corresponding catch table provides one total catch value per Member and month.</w:t>
      </w:r>
    </w:p>
    <w:tbl>
      <w:tblPr>
        <w:tblStyle w:val="Table"/>
        <w:tblW w:type="pct" w:w="5000"/>
        <w:tblLayout w:type="fixed"/>
        <w:tblLook w:firstRow="1" w:lastRow="0" w:firstColumn="0" w:lastColumn="0" w:noHBand="0" w:noVBand="0" w:val="0020"/>
      </w:tblPr>
      <w:tblGrid>
        <w:gridCol w:w="277"/>
        <w:gridCol w:w="1544"/>
        <w:gridCol w:w="1108"/>
        <w:gridCol w:w="118"/>
        <w:gridCol w:w="4870"/>
      </w:tblGrid>
      <w:tr>
        <w:trPr>
          <w:tblHeader w:val="on"/>
        </w:trPr>
        <w:tc>
          <w:tcPr/>
          <w:p>
            <w:pPr>
              <w:pStyle w:val="Compact"/>
            </w:pPr>
            <w:r>
              <w:t xml:space="preserve">Member</w:t>
            </w:r>
          </w:p>
        </w:tc>
        <w:tc>
          <w:tcPr/>
          <w:p>
            <w:pPr>
              <w:pStyle w:val="Compact"/>
            </w:pPr>
            <w:r>
              <w:t xml:space="preserve">Fleet and gear</w:t>
            </w:r>
          </w:p>
        </w:tc>
        <w:tc>
          <w:tcPr/>
          <w:p>
            <w:pPr>
              <w:pStyle w:val="Compact"/>
            </w:pPr>
            <w:r>
              <w:t xml:space="preserve">Area</w:t>
            </w:r>
          </w:p>
        </w:tc>
        <w:tc>
          <w:tcPr/>
          <w:p>
            <w:pPr>
              <w:pStyle w:val="Compact"/>
            </w:pPr>
            <w:r>
              <w:t xml:space="preserve">Period</w:t>
            </w:r>
          </w:p>
        </w:tc>
        <w:tc>
          <w:tcPr/>
          <w:p>
            <w:pPr>
              <w:pStyle w:val="Compact"/>
            </w:pPr>
            <w:r>
              <w:t xml:space="preserve">Data status</w:t>
            </w:r>
          </w:p>
        </w:tc>
      </w:tr>
      <w:tr>
        <w:tc>
          <w:tcPr/>
          <w:p>
            <w:pPr>
              <w:pStyle w:val="Compact"/>
            </w:pPr>
            <w:r>
              <w:rPr>
                <w:b/>
                <w:bCs/>
              </w:rPr>
              <w:t xml:space="preserve">Chile</w:t>
            </w:r>
          </w:p>
        </w:tc>
        <w:tc>
          <w:tcPr/>
          <w:p>
            <w:pPr>
              <w:pStyle w:val="Compact"/>
            </w:pPr>
            <w:r>
              <w:rPr>
                <w:rStyle w:val="VerbatimChar"/>
              </w:rPr>
              <w:t xml:space="preserve">Art_Boat</w:t>
            </w:r>
            <w:r>
              <w:t xml:space="preserve">,</w:t>
            </w:r>
            <w:r>
              <w:t xml:space="preserve"> </w:t>
            </w:r>
            <w:r>
              <w:rPr>
                <w:rStyle w:val="VerbatimChar"/>
              </w:rPr>
              <w:t xml:space="preserve">Art_Launch</w:t>
            </w:r>
            <w:r>
              <w:t xml:space="preserve">,</w:t>
            </w:r>
            <w:r>
              <w:t xml:space="preserve"> </w:t>
            </w:r>
            <w:r>
              <w:rPr>
                <w:rStyle w:val="VerbatimChar"/>
              </w:rPr>
              <w:t xml:space="preserve">Art_Others</w:t>
            </w:r>
            <w:r>
              <w:t xml:space="preserve"> </w:t>
            </w:r>
            <w:r>
              <w:t xml:space="preserve">and</w:t>
            </w:r>
            <w:r>
              <w:t xml:space="preserve"> </w:t>
            </w:r>
            <w:r>
              <w:rPr>
                <w:rStyle w:val="VerbatimChar"/>
              </w:rPr>
              <w:t xml:space="preserve">Industrial</w:t>
            </w:r>
            <w:r>
              <w:t xml:space="preserve">; jigging, purse seine, trawl, mid-water trawl and other gears</w:t>
            </w:r>
          </w:p>
        </w:tc>
        <w:tc>
          <w:tcPr/>
          <w:p>
            <w:pPr>
              <w:pStyle w:val="Compact"/>
            </w:pPr>
            <w:r>
              <w:t xml:space="preserve">EEZ</w:t>
            </w:r>
          </w:p>
        </w:tc>
        <w:tc>
          <w:tcPr/>
          <w:p>
            <w:pPr>
              <w:pStyle w:val="Compact"/>
            </w:pPr>
            <w:r>
              <w:t xml:space="preserve">1997–2025</w:t>
            </w:r>
          </w:p>
        </w:tc>
        <w:tc>
          <w:tcPr/>
          <w:p>
            <w:pPr>
              <w:pStyle w:val="Compact"/>
            </w:pPr>
            <w:r>
              <w:t xml:space="preserve">Zero catch was assigned for 1997–1999. The 2000 submission was retained. The 2001–2002 series combines submitted records with reconstructed</w:t>
            </w:r>
            <w:r>
              <w:t xml:space="preserve"> </w:t>
            </w:r>
            <w:r>
              <w:rPr>
                <w:rStyle w:val="VerbatimChar"/>
              </w:rPr>
              <w:t xml:space="preserve">Art_Others</w:t>
            </w:r>
            <w:r>
              <w:t xml:space="preserve"> </w:t>
            </w:r>
            <w:r>
              <w:t xml:space="preserve">catches. Records from 2003 onwards were retained from the revised Member submission.</w:t>
            </w:r>
          </w:p>
        </w:tc>
      </w:tr>
      <w:tr>
        <w:tc>
          <w:tcPr/>
          <w:p>
            <w:pPr>
              <w:pStyle w:val="Compact"/>
            </w:pPr>
            <w:r>
              <w:rPr>
                <w:b/>
                <w:bCs/>
              </w:rPr>
              <w:t xml:space="preserve">China</w:t>
            </w:r>
          </w:p>
        </w:tc>
        <w:tc>
          <w:tcPr/>
          <w:p>
            <w:pPr>
              <w:pStyle w:val="Compact"/>
            </w:pPr>
            <w:r>
              <w:t xml:space="preserve">Industrial; squid jigger</w:t>
            </w:r>
          </w:p>
        </w:tc>
        <w:tc>
          <w:tcPr/>
          <w:p>
            <w:pPr>
              <w:pStyle w:val="Compact"/>
            </w:pPr>
            <w:r>
              <w:t xml:space="preserve">Area not specified for 1997–2002; SPRFMO Area for 2003–2025</w:t>
            </w:r>
          </w:p>
        </w:tc>
        <w:tc>
          <w:tcPr/>
          <w:p>
            <w:pPr>
              <w:pStyle w:val="Compact"/>
            </w:pPr>
            <w:r>
              <w:t xml:space="preserve">1997–2025</w:t>
            </w:r>
          </w:p>
        </w:tc>
        <w:tc>
          <w:tcPr/>
          <w:p>
            <w:pPr>
              <w:pStyle w:val="Compact"/>
            </w:pPr>
            <w:r>
              <w:t xml:space="preserve">Zero catch was assigned for 1997–2000. Monthly catches for 2001–2002 were reconstructed from FAO annual totals and the mean 2003–2004 seasonality. Records from 2003 onwards were retained from the Member submission.</w:t>
            </w:r>
          </w:p>
        </w:tc>
      </w:tr>
      <w:tr>
        <w:tc>
          <w:tcPr/>
          <w:p>
            <w:pPr>
              <w:pStyle w:val="Compact"/>
            </w:pPr>
            <w:r>
              <w:rPr>
                <w:b/>
                <w:bCs/>
              </w:rPr>
              <w:t xml:space="preserve">Ecuador</w:t>
            </w:r>
          </w:p>
        </w:tc>
        <w:tc>
          <w:tcPr/>
          <w:p>
            <w:pPr>
              <w:pStyle w:val="Compact"/>
            </w:pPr>
            <w:r>
              <w:t xml:space="preserve">Artisanal; other gear</w:t>
            </w:r>
          </w:p>
        </w:tc>
        <w:tc>
          <w:tcPr/>
          <w:p>
            <w:pPr>
              <w:pStyle w:val="Compact"/>
            </w:pPr>
            <w:r>
              <w:t xml:space="preserve">EEZ</w:t>
            </w:r>
          </w:p>
        </w:tc>
        <w:tc>
          <w:tcPr/>
          <w:p>
            <w:pPr>
              <w:pStyle w:val="Compact"/>
            </w:pPr>
            <w:r>
              <w:t xml:space="preserve">1997–2025</w:t>
            </w:r>
          </w:p>
        </w:tc>
        <w:tc>
          <w:tcPr/>
          <w:p>
            <w:pPr>
              <w:pStyle w:val="Compact"/>
            </w:pPr>
            <w:r>
              <w:t xml:space="preserve">Public monthly patterns were retained and rescaled for years with available monthly information. Other years were reconstructed using the median seasonal pattern and the selected annual reference. Years without an annual reference were assigned zero catch. The 2013 total was corrected to 9,506 t and the 2025 total was estimated at 3,921 t.</w:t>
            </w:r>
          </w:p>
        </w:tc>
      </w:tr>
      <w:tr>
        <w:tc>
          <w:tcPr/>
          <w:p>
            <w:pPr>
              <w:pStyle w:val="Compact"/>
            </w:pPr>
            <w:r>
              <w:rPr>
                <w:b/>
                <w:bCs/>
              </w:rPr>
              <w:t xml:space="preserve">Republic of Korea</w:t>
            </w:r>
          </w:p>
        </w:tc>
        <w:tc>
          <w:tcPr/>
          <w:p>
            <w:pPr>
              <w:pStyle w:val="Compact"/>
            </w:pPr>
            <w:r>
              <w:t xml:space="preserve">Industrial; squid jigger</w:t>
            </w:r>
          </w:p>
        </w:tc>
        <w:tc>
          <w:tcPr/>
          <w:p>
            <w:pPr>
              <w:pStyle w:val="Compact"/>
            </w:pPr>
            <w:r>
              <w:t xml:space="preserve">SPRFMO Area where reported; area left blank for reconstructed and zero-catch records</w:t>
            </w:r>
          </w:p>
        </w:tc>
        <w:tc>
          <w:tcPr/>
          <w:p>
            <w:pPr>
              <w:pStyle w:val="Compact"/>
            </w:pPr>
            <w:r>
              <w:t xml:space="preserve">1997–2025</w:t>
            </w:r>
          </w:p>
        </w:tc>
        <w:tc>
          <w:tcPr/>
          <w:p>
            <w:pPr>
              <w:pStyle w:val="Compact"/>
            </w:pPr>
            <w:r>
              <w:t xml:space="preserve">Zero catch was assigned for 1997–2011 to avoid double counting catches included in the Peruvian industrial reconstruction. Monthly catches for 2012–2014 were reconstructed from FAO totals and the mean 2015–2016 seasonality. Submitted records were retained for 2015–2020 and 2024, with omitted months represented as zero. Zero catch was confirmed for 2021–2023 and 2025.</w:t>
            </w:r>
          </w:p>
        </w:tc>
      </w:tr>
      <w:tr>
        <w:tc>
          <w:tcPr/>
          <w:p>
            <w:pPr>
              <w:pStyle w:val="Compact"/>
            </w:pPr>
            <w:r>
              <w:rPr>
                <w:b/>
                <w:bCs/>
              </w:rPr>
              <w:t xml:space="preserve">Peru</w:t>
            </w:r>
          </w:p>
        </w:tc>
        <w:tc>
          <w:tcPr/>
          <w:p>
            <w:pPr>
              <w:pStyle w:val="Compact"/>
            </w:pPr>
            <w:r>
              <w:t xml:space="preserve">Artisanal, hand jigger</w:t>
            </w:r>
          </w:p>
        </w:tc>
        <w:tc>
          <w:tcPr/>
          <w:p>
            <w:pPr>
              <w:pStyle w:val="Compact"/>
            </w:pPr>
            <w:r>
              <w:t xml:space="preserve">EEZ</w:t>
            </w:r>
          </w:p>
        </w:tc>
        <w:tc>
          <w:tcPr/>
          <w:p>
            <w:pPr>
              <w:pStyle w:val="Compact"/>
            </w:pPr>
            <w:r>
              <w:t xml:space="preserve">1997–2025</w:t>
            </w:r>
          </w:p>
        </w:tc>
        <w:tc>
          <w:tcPr/>
          <w:p>
            <w:pPr>
              <w:pStyle w:val="Compact"/>
            </w:pPr>
            <w:r>
              <w:t xml:space="preserve">The series was reconstructed from public monthly sources and annual reference totals. Alternative public seasonality was used through 2012 and official PRODUCE monthly data from 2013 onwards. The 2025 PRODUCE series was retained because no FAO value was available.</w:t>
            </w:r>
          </w:p>
        </w:tc>
      </w:tr>
      <w:tr>
        <w:tc>
          <w:tcPr/>
          <w:p>
            <w:pPr>
              <w:pStyle w:val="Compact"/>
            </w:pPr>
            <w:r>
              <w:rPr>
                <w:b/>
                <w:bCs/>
              </w:rPr>
              <w:t xml:space="preserve">Peru</w:t>
            </w:r>
          </w:p>
        </w:tc>
        <w:tc>
          <w:tcPr/>
          <w:p>
            <w:pPr>
              <w:pStyle w:val="Compact"/>
            </w:pPr>
            <w:r>
              <w:t xml:space="preserve">Industrial, squid jigger</w:t>
            </w:r>
          </w:p>
        </w:tc>
        <w:tc>
          <w:tcPr/>
          <w:p>
            <w:pPr>
              <w:pStyle w:val="Compact"/>
            </w:pPr>
            <w:r>
              <w:t xml:space="preserve">EEZ</w:t>
            </w:r>
          </w:p>
        </w:tc>
        <w:tc>
          <w:tcPr/>
          <w:p>
            <w:pPr>
              <w:pStyle w:val="Compact"/>
            </w:pPr>
            <w:r>
              <w:t xml:space="preserve">1997–2012</w:t>
            </w:r>
          </w:p>
        </w:tc>
        <w:tc>
          <w:tcPr/>
          <w:p>
            <w:pPr>
              <w:pStyle w:val="Compact"/>
            </w:pPr>
            <w:r>
              <w:t xml:space="preserve">The series represents foreign industrial fishing attributed to the Peruvian EEZ. Annual totals correspond to FAO Japan plus Republic of Korea for 1997–2011 and FAO Japan for 2012, distributed using the Peruvian artisanal seasonality.</w:t>
            </w:r>
          </w:p>
        </w:tc>
      </w:tr>
      <w:tr>
        <w:tc>
          <w:tcPr/>
          <w:p>
            <w:pPr>
              <w:pStyle w:val="Compact"/>
            </w:pPr>
            <w:r>
              <w:rPr>
                <w:b/>
                <w:bCs/>
              </w:rPr>
              <w:t xml:space="preserve">Chinese Taipei</w:t>
            </w:r>
          </w:p>
        </w:tc>
        <w:tc>
          <w:tcPr/>
          <w:p>
            <w:pPr>
              <w:pStyle w:val="Compact"/>
            </w:pPr>
            <w:r>
              <w:t xml:space="preserve">Industrial; squid jigger/hand jig</w:t>
            </w:r>
          </w:p>
        </w:tc>
        <w:tc>
          <w:tcPr/>
          <w:p>
            <w:pPr>
              <w:pStyle w:val="Compact"/>
            </w:pPr>
            <w:r>
              <w:t xml:space="preserve">SPRFMO Area</w:t>
            </w:r>
          </w:p>
        </w:tc>
        <w:tc>
          <w:tcPr/>
          <w:p>
            <w:pPr>
              <w:pStyle w:val="Compact"/>
            </w:pPr>
            <w:r>
              <w:t xml:space="preserve">1997–2025</w:t>
            </w:r>
          </w:p>
        </w:tc>
        <w:tc>
          <w:tcPr/>
          <w:p>
            <w:pPr>
              <w:pStyle w:val="Compact"/>
            </w:pPr>
            <w:r>
              <w:t xml:space="preserve">Zero catch was assigned for 1997–2001 and 2022–2024. Submitted records were retained for 2002–2021 and 2025. Months omitted from the submission were interpreted as zero catch following confirmation from Chinese Taipei.</w:t>
            </w:r>
          </w:p>
        </w:tc>
      </w:tr>
    </w:tbl>
    <w:p>
      <w:pPr>
        <w:pStyle w:val="BodyText"/>
      </w:pPr>
      <w:r>
        <w:t xml:space="preserve">All six Members have a Member-level monthly catch value in the wide catch table for every month from January 1997 to December 2025. The long-format database retains the more detailed fleet, area, gear, effort and CPUE information where it was included in the final Member files. Reconstructed records generally contain only the identifying fields, year, month and landing, with unavailable effort and CPUE fields left blank.</w:t>
      </w:r>
    </w:p>
    <w:p>
      <w:pPr>
        <w:pStyle w:val="BodyText"/>
      </w:pPr>
      <w:r>
        <w:t xml:space="preserve">Japan is not included as a separate Member series. Its catches relevant to the reconstruction were incorporated into the Peruvian industrial component.</w:t>
      </w:r>
    </w:p>
    <w:bookmarkEnd w:id="32"/>
    <w:bookmarkStart w:id="33" w:name="summary-of-modifications"/>
    <w:p>
      <w:pPr>
        <w:pStyle w:val="Heading2"/>
      </w:pPr>
      <w:r>
        <w:t xml:space="preserve">5.2 Summary of Modifications</w:t>
      </w:r>
    </w:p>
    <w:p>
      <w:pPr>
        <w:pStyle w:val="FirstParagraph"/>
      </w:pPr>
      <w:r>
        <w:t xml:space="preserve">Table X summarises the modifications applied to the submitted and complementary datasets to obtain complete monthly catch series from January 1997 to December 2025. When an annual total was rescaled, the selected monthly seasonal pattern was preserved and adjusted proportionally to the annual reference.</w:t>
      </w:r>
    </w:p>
    <w:tbl>
      <w:tblPr>
        <w:tblStyle w:val="Table"/>
        <w:tblW w:type="pct" w:w="5000"/>
        <w:tblLayout w:type="fixed"/>
        <w:tblLook w:firstRow="1" w:lastRow="0" w:firstColumn="0" w:lastColumn="0" w:noHBand="0" w:noVBand="0" w:val="0020"/>
      </w:tblPr>
      <w:tblGrid>
        <w:gridCol w:w="166"/>
        <w:gridCol w:w="7753"/>
      </w:tblGrid>
      <w:tr>
        <w:trPr>
          <w:tblHeader w:val="on"/>
        </w:trPr>
        <w:tc>
          <w:tcPr/>
          <w:p>
            <w:pPr>
              <w:pStyle w:val="Compact"/>
            </w:pPr>
            <w:r>
              <w:t xml:space="preserve">Member</w:t>
            </w:r>
          </w:p>
        </w:tc>
        <w:tc>
          <w:tcPr/>
          <w:p>
            <w:pPr>
              <w:pStyle w:val="Compact"/>
            </w:pPr>
            <w:r>
              <w:t xml:space="preserve">Modifications</w:t>
            </w:r>
          </w:p>
        </w:tc>
      </w:tr>
      <w:tr>
        <w:tc>
          <w:tcPr/>
          <w:p>
            <w:pPr>
              <w:pStyle w:val="Compact"/>
            </w:pPr>
            <w:r>
              <w:rPr>
                <w:b/>
                <w:bCs/>
              </w:rPr>
              <w:t xml:space="preserve">Chile</w:t>
            </w:r>
          </w:p>
        </w:tc>
        <w:tc>
          <w:tcPr/>
          <w:p>
            <w:pPr>
              <w:pStyle w:val="Compact"/>
            </w:pPr>
            <w:r>
              <w:rPr>
                <w:b/>
                <w:bCs/>
              </w:rPr>
              <w:t xml:space="preserve">1997–1999:</w:t>
            </w:r>
            <w:r>
              <w:t xml:space="preserve"> </w:t>
            </w:r>
            <w:r>
              <w:t xml:space="preserve">monthly zero catches were added.</w:t>
            </w:r>
            <w:r>
              <w:t xml:space="preserve"> </w:t>
            </w:r>
            <w:r>
              <w:rPr>
                <w:b/>
                <w:bCs/>
              </w:rPr>
              <w:t xml:space="preserve">2000:</w:t>
            </w:r>
            <w:r>
              <w:t xml:space="preserve"> </w:t>
            </w:r>
            <w:r>
              <w:t xml:space="preserve">the Member submission was retained, including the reported annual total of 6.7 t.</w:t>
            </w:r>
            <w:r>
              <w:t xml:space="preserve"> </w:t>
            </w:r>
            <w:r>
              <w:rPr>
                <w:b/>
                <w:bCs/>
              </w:rPr>
              <w:t xml:space="preserve">2001–2002:</w:t>
            </w:r>
            <w:r>
              <w:t xml:space="preserve"> </w:t>
            </w:r>
            <w:r>
              <w:t xml:space="preserve">submitted records were retained and the difference from the FAO annual total was reconstructed from SERNAPESCA monthly landings and assigned to</w:t>
            </w:r>
            <w:r>
              <w:t xml:space="preserve"> </w:t>
            </w:r>
            <w:r>
              <w:rPr>
                <w:rStyle w:val="VerbatimChar"/>
              </w:rPr>
              <w:t xml:space="preserve">Art_Others</w:t>
            </w:r>
            <w:r>
              <w:t xml:space="preserve">; effort and CPUE were left blank for the added catch.</w:t>
            </w:r>
            <w:r>
              <w:t xml:space="preserve"> </w:t>
            </w:r>
            <w:r>
              <w:rPr>
                <w:b/>
                <w:bCs/>
              </w:rPr>
              <w:t xml:space="preserve">2003–2025:</w:t>
            </w:r>
            <w:r>
              <w:t xml:space="preserve"> </w:t>
            </w:r>
            <w:r>
              <w:t xml:space="preserve">submitted monthly data were retained.</w:t>
            </w:r>
          </w:p>
        </w:tc>
      </w:tr>
      <w:tr>
        <w:tc>
          <w:tcPr/>
          <w:p>
            <w:pPr>
              <w:pStyle w:val="Compact"/>
            </w:pPr>
            <w:r>
              <w:rPr>
                <w:b/>
                <w:bCs/>
              </w:rPr>
              <w:t xml:space="preserve">Peru</w:t>
            </w:r>
          </w:p>
        </w:tc>
        <w:tc>
          <w:tcPr/>
          <w:p>
            <w:pPr>
              <w:pStyle w:val="Compact"/>
            </w:pPr>
            <w:r>
              <w:t xml:space="preserve">The original Peruvian submission was replaced by public data from PRODUCE, INFOPES and Wikipesca, with PRODUCE treated as the primary official source.</w:t>
            </w:r>
            <w:r>
              <w:t xml:space="preserve"> </w:t>
            </w:r>
            <w:r>
              <w:rPr>
                <w:b/>
                <w:bCs/>
              </w:rPr>
              <w:t xml:space="preserve">Artisanal, 1997–2001:</w:t>
            </w:r>
            <w:r>
              <w:t xml:space="preserve"> </w:t>
            </w:r>
            <w:r>
              <w:t xml:space="preserve">the monthly pattern was the median cumulative seasonality calculated from 1997, 1999, 2000 and 2001, excluding the incomplete 1998 series, and was scaled to each FAO Peru annual total.</w:t>
            </w:r>
            <w:r>
              <w:t xml:space="preserve"> </w:t>
            </w:r>
            <w:r>
              <w:rPr>
                <w:b/>
                <w:bCs/>
              </w:rPr>
              <w:t xml:space="preserve">Artisanal, 2002–2012:</w:t>
            </w:r>
            <w:r>
              <w:t xml:space="preserve"> </w:t>
            </w:r>
            <w:r>
              <w:t xml:space="preserve">each year’s alternative-source seasonality was scaled to FAO Peru.</w:t>
            </w:r>
            <w:r>
              <w:t xml:space="preserve"> </w:t>
            </w:r>
            <w:r>
              <w:rPr>
                <w:b/>
                <w:bCs/>
              </w:rPr>
              <w:t xml:space="preserve">Artisanal, 2013–2024:</w:t>
            </w:r>
            <w:r>
              <w:t xml:space="preserve"> </w:t>
            </w:r>
            <w:r>
              <w:t xml:space="preserve">official PRODUCE seasonality was scaled to FAO Peru.</w:t>
            </w:r>
            <w:r>
              <w:t xml:space="preserve"> </w:t>
            </w:r>
            <w:r>
              <w:rPr>
                <w:b/>
                <w:bCs/>
              </w:rPr>
              <w:t xml:space="preserve">Artisanal, 2025:</w:t>
            </w:r>
            <w:r>
              <w:t xml:space="preserve"> </w:t>
            </w:r>
            <w:r>
              <w:t xml:space="preserve">the PRODUCE monthly series and annual total of 712,155 t were retained because no FAO value was available.</w:t>
            </w:r>
            <w:r>
              <w:t xml:space="preserve"> </w:t>
            </w:r>
            <w:r>
              <w:rPr>
                <w:b/>
                <w:bCs/>
              </w:rPr>
              <w:t xml:space="preserve">Industrial, 1997–2011:</w:t>
            </w:r>
            <w:r>
              <w:t xml:space="preserve"> </w:t>
            </w:r>
            <w:r>
              <w:t xml:space="preserve">FAO Japan plus Republic of Korea catches were attributed to the Peruvian industrial fleet and distributed using the reconstructed Peruvian artisanal seasonality for the same year.</w:t>
            </w:r>
            <w:r>
              <w:t xml:space="preserve"> </w:t>
            </w:r>
            <w:r>
              <w:rPr>
                <w:b/>
                <w:bCs/>
              </w:rPr>
              <w:t xml:space="preserve">Industrial, 2012:</w:t>
            </w:r>
            <w:r>
              <w:t xml:space="preserve"> </w:t>
            </w:r>
            <w:r>
              <w:t xml:space="preserve">only the FAO Japan catch was used and distributed using the 2012 artisanal seasonality.</w:t>
            </w:r>
          </w:p>
        </w:tc>
      </w:tr>
      <w:tr>
        <w:tc>
          <w:tcPr/>
          <w:p>
            <w:pPr>
              <w:pStyle w:val="Compact"/>
            </w:pPr>
            <w:r>
              <w:rPr>
                <w:b/>
                <w:bCs/>
              </w:rPr>
              <w:t xml:space="preserve">Ecuador</w:t>
            </w:r>
          </w:p>
        </w:tc>
        <w:tc>
          <w:tcPr/>
          <w:p>
            <w:pPr>
              <w:pStyle w:val="Compact"/>
            </w:pPr>
            <w:r>
              <w:rPr>
                <w:b/>
                <w:bCs/>
              </w:rPr>
              <w:t xml:space="preserve">Years with monthly public data—2013, 2014 and 2018–2022:</w:t>
            </w:r>
            <w:r>
              <w:t xml:space="preserve"> </w:t>
            </w:r>
            <w:r>
              <w:t xml:space="preserve">the observed monthly pattern was retained and scaled to the selected annual reference. The 2013 FAO value was replaced by the agreed total of 9,506 t.</w:t>
            </w:r>
            <w:r>
              <w:t xml:space="preserve"> </w:t>
            </w:r>
            <w:r>
              <w:rPr>
                <w:b/>
                <w:bCs/>
              </w:rPr>
              <w:t xml:space="preserve">Years without monthly data:</w:t>
            </w:r>
            <w:r>
              <w:t xml:space="preserve"> </w:t>
            </w:r>
            <w:r>
              <w:t xml:space="preserve">the monthly pattern was the median cumulative seasonality calculated from all seven available years and was scaled to the FAO Ecuador annual total. Where FAO had no value, catch was set to zero while retaining all 12 months.</w:t>
            </w:r>
            <w:r>
              <w:t xml:space="preserve"> </w:t>
            </w:r>
            <w:r>
              <w:rPr>
                <w:b/>
                <w:bCs/>
              </w:rPr>
              <w:t xml:space="preserve">2025:</w:t>
            </w:r>
            <w:r>
              <w:t xml:space="preserve"> </w:t>
            </w:r>
            <w:r>
              <w:t xml:space="preserve">an annual catch of 3,921 t, estimated from the Cancas–Chala–Tambo de Mora regression, was distributed using the median seasonal pattern.</w:t>
            </w:r>
          </w:p>
        </w:tc>
      </w:tr>
      <w:tr>
        <w:tc>
          <w:tcPr/>
          <w:p>
            <w:pPr>
              <w:pStyle w:val="Compact"/>
            </w:pPr>
            <w:r>
              <w:rPr>
                <w:b/>
                <w:bCs/>
              </w:rPr>
              <w:t xml:space="preserve">China</w:t>
            </w:r>
          </w:p>
        </w:tc>
        <w:tc>
          <w:tcPr/>
          <w:p>
            <w:pPr>
              <w:pStyle w:val="Compact"/>
            </w:pPr>
            <w:r>
              <w:rPr>
                <w:b/>
                <w:bCs/>
              </w:rPr>
              <w:t xml:space="preserve">1997–2000:</w:t>
            </w:r>
            <w:r>
              <w:t xml:space="preserve"> </w:t>
            </w:r>
            <w:r>
              <w:t xml:space="preserve">monthly zero catches were added.</w:t>
            </w:r>
            <w:r>
              <w:t xml:space="preserve"> </w:t>
            </w:r>
            <w:r>
              <w:rPr>
                <w:b/>
                <w:bCs/>
              </w:rPr>
              <w:t xml:space="preserve">2001–2002:</w:t>
            </w:r>
            <w:r>
              <w:t xml:space="preserve"> </w:t>
            </w:r>
            <w:r>
              <w:t xml:space="preserve">the monthly pattern was calculated as the arithmetic mean of the 2003 and 2004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2003–2025:</w:t>
            </w:r>
            <w:r>
              <w:t xml:space="preserve"> </w:t>
            </w:r>
            <w:r>
              <w:t xml:space="preserve">the Member submission was retained; 2005 was left unchanged.</w:t>
            </w:r>
          </w:p>
        </w:tc>
      </w:tr>
      <w:tr>
        <w:tc>
          <w:tcPr/>
          <w:p>
            <w:pPr>
              <w:pStyle w:val="Compact"/>
            </w:pPr>
            <w:r>
              <w:rPr>
                <w:b/>
                <w:bCs/>
              </w:rPr>
              <w:t xml:space="preserve">Republic of Korea</w:t>
            </w:r>
          </w:p>
        </w:tc>
        <w:tc>
          <w:tcPr/>
          <w:p>
            <w:pPr>
              <w:pStyle w:val="Compact"/>
            </w:pPr>
            <w:r>
              <w:rPr>
                <w:b/>
                <w:bCs/>
              </w:rPr>
              <w:t xml:space="preserve">1997–2011:</w:t>
            </w:r>
            <w:r>
              <w:t xml:space="preserve"> </w:t>
            </w:r>
            <w:r>
              <w:t xml:space="preserve">catch was set to zero because the corresponding FAO catches were included in the reconstructed Peruvian industrial series.</w:t>
            </w:r>
            <w:r>
              <w:t xml:space="preserve"> </w:t>
            </w:r>
            <w:r>
              <w:rPr>
                <w:b/>
                <w:bCs/>
              </w:rPr>
              <w:t xml:space="preserve">2012–2014:</w:t>
            </w:r>
            <w:r>
              <w:t xml:space="preserve"> </w:t>
            </w:r>
            <w:r>
              <w:t xml:space="preserve">the monthly pattern was calculated as the arithmetic mean of the 2015 and 2016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2015–2020 and 2024:</w:t>
            </w:r>
            <w:r>
              <w:t xml:space="preserve"> </w:t>
            </w:r>
            <w:r>
              <w:t xml:space="preserve">submitted records were retained.</w:t>
            </w:r>
            <w:r>
              <w:t xml:space="preserve"> </w:t>
            </w:r>
            <w:r>
              <w:rPr>
                <w:b/>
                <w:bCs/>
              </w:rPr>
              <w:t xml:space="preserve">2021–2023 and 2025:</w:t>
            </w:r>
            <w:r>
              <w:t xml:space="preserve"> </w:t>
            </w:r>
            <w:r>
              <w:t xml:space="preserve">monthly zero catches were added following confirmation that no catch occurred.</w:t>
            </w:r>
          </w:p>
        </w:tc>
      </w:tr>
      <w:tr>
        <w:tc>
          <w:tcPr/>
          <w:p>
            <w:pPr>
              <w:pStyle w:val="Compact"/>
            </w:pPr>
            <w:r>
              <w:rPr>
                <w:b/>
                <w:bCs/>
              </w:rPr>
              <w:t xml:space="preserve">Chinese Taipei</w:t>
            </w:r>
          </w:p>
        </w:tc>
        <w:tc>
          <w:tcPr/>
          <w:p>
            <w:pPr>
              <w:pStyle w:val="Compact"/>
            </w:pPr>
            <w:r>
              <w:rPr>
                <w:b/>
                <w:bCs/>
              </w:rPr>
              <w:t xml:space="preserve">1997–2001 and 2022–2024:</w:t>
            </w:r>
            <w:r>
              <w:t xml:space="preserve"> </w:t>
            </w:r>
            <w:r>
              <w:t xml:space="preserve">monthly zero catches were added.</w:t>
            </w:r>
            <w:r>
              <w:t xml:space="preserve"> </w:t>
            </w:r>
            <w:r>
              <w:rPr>
                <w:b/>
                <w:bCs/>
              </w:rPr>
              <w:t xml:space="preserve">2002–2021 and 2025:</w:t>
            </w:r>
            <w:r>
              <w:t xml:space="preserve"> </w:t>
            </w:r>
            <w:r>
              <w:t xml:space="preserve">submitted records were retained, and omitted months were interpreted as zero catch following confirmation from Chinese Taipei. For added zero-catch records, nominal effort and nominal CPUE were set to zero and the effort unit was recorded as</w:t>
            </w:r>
            <w:r>
              <w:t xml:space="preserve"> </w:t>
            </w:r>
            <w:r>
              <w:rPr>
                <w:rStyle w:val="VerbatimChar"/>
              </w:rPr>
              <w:t xml:space="preserve">fishing days</w:t>
            </w:r>
            <w:r>
              <w:t xml:space="preserve">.</w:t>
            </w:r>
          </w:p>
        </w:tc>
      </w:tr>
    </w:tbl>
    <w:p>
      <w:pPr>
        <w:pStyle w:val="BodyText"/>
      </w:pPr>
      <w:r>
        <w:t xml:space="preserve">For reconstructed Peru and Ecuador records, the identifying fields, year, month and landing were populated, while effort and CPUE fields were left blank. Japan was not represented as a separate Member series because its relevant catches were incorporated into the reconstructed Peruvian industrial component.</w:t>
      </w:r>
    </w:p>
    <w:bookmarkEnd w:id="33"/>
    <w:bookmarkEnd w:id="34"/>
    <w:bookmarkStart w:id="37" w:name="additional-spatial-and-operational-data"/>
    <w:p>
      <w:pPr>
        <w:pStyle w:val="Heading1"/>
      </w:pPr>
      <w:r>
        <w:t xml:space="preserve">6. Additional Spatial and Operational Data</w:t>
      </w:r>
    </w:p>
    <w:bookmarkStart w:id="35" w:name="national-data-sources"/>
    <w:p>
      <w:pPr>
        <w:pStyle w:val="Heading2"/>
      </w:pPr>
      <w:r>
        <w:t xml:space="preserve">6.1 National Data Sources</w:t>
      </w:r>
    </w:p>
    <w:bookmarkEnd w:id="35"/>
    <w:bookmarkStart w:id="36" w:name="sprfmo-open-data"/>
    <w:p>
      <w:pPr>
        <w:pStyle w:val="Heading2"/>
      </w:pPr>
      <w:r>
        <w:t xml:space="preserve">6.2 SPRFMO Open Data</w:t>
      </w:r>
    </w:p>
    <w:bookmarkEnd w:id="36"/>
    <w:bookmarkEnd w:id="37"/>
    <w:bookmarkStart w:id="45" w:name="future-work-and-recommendations"/>
    <w:p>
      <w:pPr>
        <w:pStyle w:val="Heading1"/>
      </w:pPr>
      <w:r>
        <w:t xml:space="preserve">7. Future Work and Recommendations</w:t>
      </w:r>
    </w:p>
    <w:bookmarkStart w:id="38" w:name="chile-1"/>
    <w:p>
      <w:pPr>
        <w:pStyle w:val="Heading2"/>
      </w:pPr>
      <w:r>
        <w:t xml:space="preserve">7.1 Chile</w:t>
      </w:r>
    </w:p>
    <w:bookmarkEnd w:id="38"/>
    <w:bookmarkStart w:id="39" w:name="peru-1"/>
    <w:p>
      <w:pPr>
        <w:pStyle w:val="Heading2"/>
      </w:pPr>
      <w:r>
        <w:t xml:space="preserve">7.2 Peru</w:t>
      </w:r>
    </w:p>
    <w:bookmarkEnd w:id="39"/>
    <w:bookmarkStart w:id="40" w:name="ecuador-1"/>
    <w:p>
      <w:pPr>
        <w:pStyle w:val="Heading2"/>
      </w:pPr>
      <w:r>
        <w:t xml:space="preserve">7.3 Ecuador</w:t>
      </w:r>
    </w:p>
    <w:bookmarkEnd w:id="40"/>
    <w:bookmarkStart w:id="41" w:name="china-1"/>
    <w:p>
      <w:pPr>
        <w:pStyle w:val="Heading2"/>
      </w:pPr>
      <w:r>
        <w:t xml:space="preserve">7.4 China</w:t>
      </w:r>
    </w:p>
    <w:bookmarkEnd w:id="41"/>
    <w:bookmarkStart w:id="42" w:name="korea-1"/>
    <w:p>
      <w:pPr>
        <w:pStyle w:val="Heading2"/>
      </w:pPr>
      <w:r>
        <w:t xml:space="preserve">7.5 Korea</w:t>
      </w:r>
    </w:p>
    <w:bookmarkEnd w:id="42"/>
    <w:bookmarkStart w:id="43" w:name="chinese-taipei-1"/>
    <w:p>
      <w:pPr>
        <w:pStyle w:val="Heading2"/>
      </w:pPr>
      <w:r>
        <w:t xml:space="preserve">7.6 Chinese Taipei</w:t>
      </w:r>
    </w:p>
    <w:bookmarkEnd w:id="43"/>
    <w:bookmarkStart w:id="44" w:name="group-wide-recommendations"/>
    <w:p>
      <w:pPr>
        <w:pStyle w:val="Heading2"/>
      </w:pPr>
      <w:r>
        <w:t xml:space="preserve">7.7 Group-Wide Recommendations</w:t>
      </w:r>
    </w:p>
    <w:bookmarkEnd w:id="44"/>
    <w:bookmarkEnd w:id="45"/>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Jumbo Squid Data for Stock Assessment: Validation, Reconstruction and Proposed Database for 1997–2025</dc:title>
  <dc:creator>Ricardo Oliveros Ramos</dc:creator>
  <cp:keywords/>
  <dcterms:created xsi:type="dcterms:W3CDTF">2026-07-22T06:19:49Z</dcterms:created>
  <dcterms:modified xsi:type="dcterms:W3CDTF">2026-07-22T06:19:49Z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2026-07-22</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ocite">
    <vt:lpwstr>@*</vt:lpwstr>
  </property>
  <property fmtid="{D5CDD505-2E9C-101B-9397-08002B2CF9AE}" pid="13" name="papersize">
    <vt:lpwstr>a4</vt:lpwstr>
  </property>
  <property fmtid="{D5CDD505-2E9C-101B-9397-08002B2CF9AE}" pid="14" name="resources">
    <vt:lpwstr/>
  </property>
  <property fmtid="{D5CDD505-2E9C-101B-9397-08002B2CF9AE}" pid="15" name="subtitle">
    <vt:lpwstr>Proposed database for discussion and agreement</vt:lpwstr>
  </property>
  <property fmtid="{D5CDD505-2E9C-101B-9397-08002B2CF9AE}" pid="16" name="toc-title">
    <vt:lpwstr>Table of contents</vt:lpwstr>
  </property>
</Properties>
</file>