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SIPS Connect Platform Capability and Complexity Overview</w:t>
      </w:r>
    </w:p>
    <w:p>
      <w:pPr>
        <w:jc w:val="center"/>
      </w:pPr>
      <w:r>
        <w:rPr>
          <w:i/>
        </w:rPr>
        <w:t>Functional inventory, architecture understanding, and maintainability considerations</w:t>
      </w:r>
    </w:p>
    <w:p>
      <w:pPr>
        <w:pStyle w:val="Heading1"/>
      </w:pPr>
      <w:r>
        <w:t>Executive Summary</w:t>
      </w:r>
    </w:p>
    <w:p>
      <w:r>
        <w:t>SIPS Connect is not a simple API gateway or a thin middleware wrapper. It is a participant-side payment orchestration platform that sits between CoreBank systems and the national SIPS/SVIP payment rail. It manages payment initiation, inbound switch messages, ISO 20022 transformation, cryptographic signing, signature verification, public key/certificate handling, idempotency, duplicate prevention, persistence, return safety, recovery workers, dashboards, health checks, QR services, and operational configuration.</w:t>
      </w:r>
    </w:p>
    <w:p>
      <w:r>
        <w:t>The platform contains more than 80 distinct capabilities. Several of these capabilities are financially critical because they protect against duplicate posting, incorrect finality, unsafe returns, lost acknowledgements, and inconsistent transaction state between the participant ledger, CoreBank, and the switch.</w:t>
      </w:r>
    </w:p>
    <w:p>
      <w:r>
        <w:t>The feature inventory below should therefore be read as a capability map, not as a statement that the system is easy to extend. Extending SIPS Connect to additional rails such as PAPSS, Mojaloop, or other payment networks requires architecture-level understanding, senior engineering oversight, and careful regression testing.</w:t>
      </w:r>
    </w:p>
    <w:p>
      <w:pPr>
        <w:pStyle w:val="Heading1"/>
      </w:pPr>
      <w:r>
        <w:t>What Makes SIPS Connect Significant</w:t>
      </w:r>
    </w:p>
    <w:p>
      <w:pPr>
        <w:pStyle w:val="ListBullet"/>
      </w:pPr>
      <w:r>
        <w:t>It performs both outbound and inbound payment orchestration, rather than simply forwarding requests.</w:t>
      </w:r>
    </w:p>
    <w:p>
      <w:pPr>
        <w:pStyle w:val="ListBullet"/>
      </w:pPr>
      <w:r>
        <w:t>It bridges local CoreBank JSON APIs with ISO 20022 XML messages and payment-rail protocol expectations.</w:t>
      </w:r>
    </w:p>
    <w:p>
      <w:pPr>
        <w:pStyle w:val="ListBullet"/>
      </w:pPr>
      <w:r>
        <w:t>It embeds financial safety controls such as idempotency, deterministic replay, multi-return prevention, and timeout recovery.</w:t>
      </w:r>
    </w:p>
    <w:p>
      <w:pPr>
        <w:pStyle w:val="ListBullet"/>
      </w:pPr>
      <w:r>
        <w:t>It includes cryptographic trust handling, including signing, verification, certificate lookup, public key caching, and PKI-off reviewer mode.</w:t>
      </w:r>
    </w:p>
    <w:p>
      <w:pPr>
        <w:pStyle w:val="ListBullet"/>
      </w:pPr>
      <w:r>
        <w:t>It maintains a persistent transaction and ISO message ledger for audit, reconciliation, recovery, and operational reporting.</w:t>
      </w:r>
    </w:p>
    <w:p>
      <w:pPr>
        <w:pStyle w:val="ListBullet"/>
      </w:pPr>
      <w:r>
        <w:t>It contains operational services such as dashboards, metrics, logs, health checks, runtime configuration, API key management, and Dockerized reviewer topologies.</w:t>
      </w:r>
    </w:p>
    <w:p>
      <w:pPr>
        <w:pStyle w:val="Heading1"/>
      </w:pPr>
      <w:r>
        <w:t>Maintainability And Extension Considerations</w:t>
      </w:r>
    </w:p>
    <w:p>
      <w:r>
        <w:t>The system has reusable foundations, but it is currently oriented around SIPS/SVIP assumptions in protocol handling, signing, naming, configuration, status mapping, and external message flows. A team can learn the visible features from this inventory, but safe extension requires understanding the hidden invariants that protect settlement correctness and financial state.</w:t>
      </w:r>
    </w:p>
    <w:p>
      <w:r>
        <w:t>The most sensitive areas are payment finality, return handling, duplicate detection, stored response replay, status recovery, signature verification, and CoreBank callback semantics. Changes in these areas should be treated as high-risk and should be reviewed by engineers with payment-domain and distributed-systems experience.</w:t>
      </w:r>
    </w:p>
    <w:p>
      <w:pPr>
        <w:pStyle w:val="Heading1"/>
      </w:pPr>
      <w:r>
        <w:t>Critical Engineering Domains</w:t>
      </w:r>
    </w:p>
    <w:p>
      <w:pPr>
        <w:pStyle w:val="ListBullet"/>
      </w:pPr>
      <w:r>
        <w:t>Payment lifecycle and finality: understanding when a transaction is pending, accepted, failed, settled, reversed, or indeterminate.</w:t>
      </w:r>
    </w:p>
    <w:p>
      <w:pPr>
        <w:pStyle w:val="ListBullet"/>
      </w:pPr>
      <w:r>
        <w:t>Idempotency and replay: preserving deterministic behavior when duplicate switch or client messages arrive.</w:t>
      </w:r>
    </w:p>
    <w:p>
      <w:pPr>
        <w:pStyle w:val="ListBullet"/>
      </w:pPr>
      <w:r>
        <w:t>Return safety: preventing repeated or unauthorized reversal of the same original transaction.</w:t>
      </w:r>
    </w:p>
    <w:p>
      <w:pPr>
        <w:pStyle w:val="ListBullet"/>
      </w:pPr>
      <w:r>
        <w:t>Protocol security: preserving trust semantics when changing from XAdES/SVIP to DigiSign, SOAP, Mojaloop HTTP signatures, mTLS, or other mechanisms.</w:t>
      </w:r>
    </w:p>
    <w:p>
      <w:pPr>
        <w:pStyle w:val="ListBullet"/>
      </w:pPr>
      <w:r>
        <w:t>Status reconciliation: normalizing different external rail statuses into one internal transaction state model.</w:t>
      </w:r>
    </w:p>
    <w:p>
      <w:pPr>
        <w:pStyle w:val="ListBullet"/>
      </w:pPr>
      <w:r>
        <w:t>Recovery behavior: ensuring timeout, SAF, and check-status workflows do not create duplicate financial effects.</w:t>
      </w:r>
    </w:p>
    <w:p>
      <w:pPr>
        <w:pStyle w:val="ListBullet"/>
      </w:pPr>
      <w:r>
        <w:t>Persistence and audit: maintaining enough evidence to explain transaction outcomes to participants, regulators, and switch operators.</w:t>
      </w:r>
    </w:p>
    <w:p>
      <w:pPr>
        <w:pStyle w:val="Heading1"/>
      </w:pPr>
      <w:r>
        <w:t>Capability Inventory</w:t>
      </w:r>
    </w:p>
    <w:p>
      <w:pPr>
        <w:pStyle w:val="Heading2"/>
      </w:pPr>
      <w:r>
        <w:t>Core Payment Features</w:t>
      </w:r>
    </w:p>
    <w:p>
      <w:pPr>
        <w:pStyle w:val="ListNumber"/>
      </w:pPr>
      <w:r>
        <w:rPr>
          <w:b/>
        </w:rPr>
        <w:t xml:space="preserve">Outbound payee verification: </w:t>
      </w:r>
      <w:r>
        <w:t>Verifies beneficiary details through SIPS/SVIP using ISO 20022 verification messages.</w:t>
      </w:r>
    </w:p>
    <w:p>
      <w:pPr>
        <w:pStyle w:val="ListNumber"/>
      </w:pPr>
      <w:r>
        <w:rPr>
          <w:b/>
        </w:rPr>
        <w:t xml:space="preserve">Outbound payment initiation: </w:t>
      </w:r>
      <w:r>
        <w:t>Accepts local payment requests, builds ISO 20022 pacs.008, signs them, sends them to the switch, and persists lifecycle state.</w:t>
      </w:r>
    </w:p>
    <w:p>
      <w:pPr>
        <w:pStyle w:val="ListNumber"/>
      </w:pPr>
      <w:r>
        <w:rPr>
          <w:b/>
        </w:rPr>
        <w:t xml:space="preserve">Outbound payment status inquiry: </w:t>
      </w:r>
      <w:r>
        <w:t>Builds and sends ISO status inquiries, typically pacs.028, and maps responses back to local status models.</w:t>
      </w:r>
    </w:p>
    <w:p>
      <w:pPr>
        <w:pStyle w:val="ListNumber"/>
      </w:pPr>
      <w:r>
        <w:rPr>
          <w:b/>
        </w:rPr>
        <w:t xml:space="preserve">Outbound return initiation: </w:t>
      </w:r>
      <w:r>
        <w:t>Initiates return/reversal flows against prior transactions.</w:t>
      </w:r>
    </w:p>
    <w:p>
      <w:pPr>
        <w:pStyle w:val="ListNumber"/>
      </w:pPr>
      <w:r>
        <w:rPr>
          <w:b/>
        </w:rPr>
        <w:t xml:space="preserve">Return retry support: </w:t>
      </w:r>
      <w:r>
        <w:t>Supports retry of return-related workflows that require recovery or manual reprocessing.</w:t>
      </w:r>
    </w:p>
    <w:p>
      <w:pPr>
        <w:pStyle w:val="ListNumber"/>
      </w:pPr>
      <w:r>
        <w:rPr>
          <w:b/>
        </w:rPr>
        <w:t xml:space="preserve">Inbound switch message intake: </w:t>
      </w:r>
      <w:r>
        <w:t>Receives switch-facing ISO XML and dispatches by message type to the correct handler.</w:t>
      </w:r>
    </w:p>
    <w:p>
      <w:pPr>
        <w:pStyle w:val="ListNumber"/>
      </w:pPr>
      <w:r>
        <w:rPr>
          <w:b/>
        </w:rPr>
        <w:t xml:space="preserve">Inbound payee verification handling: </w:t>
      </w:r>
      <w:r>
        <w:t>Processes incoming verification requests, calls CoreBank, builds signed ISO responses, and stores outcomes.</w:t>
      </w:r>
    </w:p>
    <w:p>
      <w:pPr>
        <w:pStyle w:val="ListNumber"/>
      </w:pPr>
      <w:r>
        <w:rPr>
          <w:b/>
        </w:rPr>
        <w:t xml:space="preserve">Inbound credit transfer handling: </w:t>
      </w:r>
      <w:r>
        <w:t>Processes incoming pacs.008 payment requests, persists them, calls CoreBank as configured, and returns protocol-correct pacs.002 outcomes.</w:t>
      </w:r>
    </w:p>
    <w:p>
      <w:pPr>
        <w:pStyle w:val="ListNumber"/>
      </w:pPr>
      <w:r>
        <w:rPr>
          <w:b/>
        </w:rPr>
        <w:t xml:space="preserve">Incoming payment completion handling: </w:t>
      </w:r>
      <w:r>
        <w:t>Processes pacs.002 completion/status reports and finalizes local transaction state.</w:t>
      </w:r>
    </w:p>
    <w:p>
      <w:pPr>
        <w:pStyle w:val="ListNumber"/>
      </w:pPr>
      <w:r>
        <w:rPr>
          <w:b/>
        </w:rPr>
        <w:t xml:space="preserve">Incoming return handling: </w:t>
      </w:r>
      <w:r>
        <w:t>Validates return requests against original successful transactions and applies return safety controls.</w:t>
      </w:r>
    </w:p>
    <w:p>
      <w:pPr>
        <w:pStyle w:val="ListNumber"/>
      </w:pPr>
      <w:r>
        <w:rPr>
          <w:b/>
        </w:rPr>
        <w:t xml:space="preserve">Incoming return completion handling: </w:t>
      </w:r>
      <w:r>
        <w:t>Processes switch confirmation for return lifecycles and triggers CoreBank reversal/finalization where configured.</w:t>
      </w:r>
    </w:p>
    <w:p>
      <w:pPr>
        <w:pStyle w:val="Heading2"/>
      </w:pPr>
      <w:r>
        <w:t>Message Transformation And ISO 20022</w:t>
      </w:r>
    </w:p>
    <w:p>
      <w:pPr>
        <w:pStyle w:val="ListNumber"/>
      </w:pPr>
      <w:r>
        <w:rPr>
          <w:b/>
        </w:rPr>
        <w:t xml:space="preserve">JSON-to-ISO transformation: </w:t>
      </w:r>
      <w:r>
        <w:t>Converts CoreBank/local JSON DTOs into ISO 20022 XML request messages.</w:t>
      </w:r>
    </w:p>
    <w:p>
      <w:pPr>
        <w:pStyle w:val="ListNumber"/>
      </w:pPr>
      <w:r>
        <w:rPr>
          <w:b/>
        </w:rPr>
        <w:t xml:space="preserve">ISO-to-JSON transformation: </w:t>
      </w:r>
      <w:r>
        <w:t>Parses incoming ISO XML and maps it into CoreBank-facing JSON DTOs.</w:t>
      </w:r>
    </w:p>
    <w:p>
      <w:pPr>
        <w:pStyle w:val="ListNumber"/>
      </w:pPr>
      <w:r>
        <w:rPr>
          <w:b/>
        </w:rPr>
        <w:t xml:space="preserve">Configurable JSON adapter mappings: </w:t>
      </w:r>
      <w:r>
        <w:t>Maps fields between local banking schemas and middleware DTOs using adapter configuration files.</w:t>
      </w:r>
    </w:p>
    <w:p>
      <w:pPr>
        <w:pStyle w:val="ListNumber"/>
      </w:pPr>
      <w:r>
        <w:rPr>
          <w:b/>
        </w:rPr>
        <w:t xml:space="preserve">Hot-reloadable adapter/config files: </w:t>
      </w:r>
      <w:r>
        <w:t>Supports low-downtime mapping/configuration updates through reloadable configuration.</w:t>
      </w:r>
    </w:p>
    <w:p>
      <w:pPr>
        <w:pStyle w:val="ListNumber"/>
      </w:pPr>
      <w:r>
        <w:rPr>
          <w:b/>
        </w:rPr>
        <w:t xml:space="preserve">ISO 20022 message builders: </w:t>
      </w:r>
      <w:r>
        <w:t>Builds payment, verification, status, return, and administrative ISO messages.</w:t>
      </w:r>
    </w:p>
    <w:p>
      <w:pPr>
        <w:pStyle w:val="ListNumber"/>
      </w:pPr>
      <w:r>
        <w:rPr>
          <w:b/>
        </w:rPr>
        <w:t xml:space="preserve">ISO 20022 parser layer: </w:t>
      </w:r>
      <w:r>
        <w:t>Parses pacs.008, pacs.002, pacs.028, pacs.004, acmt.023, and acmt.024-style flows.</w:t>
      </w:r>
    </w:p>
    <w:p>
      <w:pPr>
        <w:pStyle w:val="ListNumber"/>
      </w:pPr>
      <w:r>
        <w:rPr>
          <w:b/>
        </w:rPr>
        <w:t xml:space="preserve">Protocol-correct rejection mapping: </w:t>
      </w:r>
      <w:r>
        <w:t>Separates technical failures, business outcomes, and deterministic replay behavior.</w:t>
      </w:r>
    </w:p>
    <w:p>
      <w:pPr>
        <w:pStyle w:val="ListNumber"/>
      </w:pPr>
      <w:r>
        <w:rPr>
          <w:b/>
        </w:rPr>
        <w:t xml:space="preserve">Admin reject generation: </w:t>
      </w:r>
      <w:r>
        <w:t>Builds administrative rejection messages for invalid XML, missing elements, duplicate in-process messages, technical errors, and signature failures.</w:t>
      </w:r>
    </w:p>
    <w:p>
      <w:pPr>
        <w:pStyle w:val="ListNumber"/>
      </w:pPr>
      <w:r>
        <w:rPr>
          <w:b/>
        </w:rPr>
        <w:t xml:space="preserve">Status code orchestration: </w:t>
      </w:r>
      <w:r>
        <w:t>Maps ISO statuses and CoreBank statuses into internal transaction states.</w:t>
      </w:r>
    </w:p>
    <w:p>
      <w:pPr>
        <w:pStyle w:val="Heading2"/>
      </w:pPr>
      <w:r>
        <w:t>Security And Trust</w:t>
      </w:r>
    </w:p>
    <w:p>
      <w:pPr>
        <w:pStyle w:val="ListNumber"/>
      </w:pPr>
      <w:r>
        <w:rPr>
          <w:b/>
        </w:rPr>
        <w:t xml:space="preserve">PKI signing, signature verification, public key retrieval, and public key caching: </w:t>
      </w:r>
      <w:r>
        <w:t>Signs outbound XML, verifies inbound signatures, downloads public certificates, handles repository authentication and 401 retry, and caches certificates by issuer/serial.</w:t>
      </w:r>
    </w:p>
    <w:p>
      <w:pPr>
        <w:pStyle w:val="ListNumber"/>
      </w:pPr>
      <w:r>
        <w:rPr>
          <w:b/>
        </w:rPr>
        <w:t xml:space="preserve">Reviewer/PKI-off mode: </w:t>
      </w:r>
      <w:r>
        <w:t>Allows controlled review/test operation without active PKI signing while preserving message flow behavior.</w:t>
      </w:r>
    </w:p>
    <w:p>
      <w:pPr>
        <w:pStyle w:val="ListNumber"/>
      </w:pPr>
      <w:r>
        <w:rPr>
          <w:b/>
        </w:rPr>
        <w:t xml:space="preserve">Certificate chain and validity checks: </w:t>
      </w:r>
      <w:r>
        <w:t>Validates certificates, issuer chains, certificate ownership, and signature references.</w:t>
      </w:r>
    </w:p>
    <w:p>
      <w:pPr>
        <w:pStyle w:val="ListNumber"/>
      </w:pPr>
      <w:r>
        <w:rPr>
          <w:b/>
        </w:rPr>
        <w:t xml:space="preserve">Supported signature algorithms: </w:t>
      </w:r>
      <w:r>
        <w:t>Supports configured RSA signature algorithms such as SHA1/SHA256/SHA384/SHA512 with RSA.</w:t>
      </w:r>
    </w:p>
    <w:p>
      <w:pPr>
        <w:pStyle w:val="ListNumber"/>
      </w:pPr>
      <w:r>
        <w:rPr>
          <w:b/>
        </w:rPr>
        <w:t xml:space="preserve">API key authentication: </w:t>
      </w:r>
      <w:r>
        <w:t>Authenticates callers using API key and secret headers and assigns gateway/QR/transaction roles.</w:t>
      </w:r>
    </w:p>
    <w:p>
      <w:pPr>
        <w:pStyle w:val="ListNumber"/>
      </w:pPr>
      <w:r>
        <w:rPr>
          <w:b/>
        </w:rPr>
        <w:t xml:space="preserve">Bearer token/JWT support: </w:t>
      </w:r>
      <w:r>
        <w:t>Supports bearer-token authentication for protected endpoints.</w:t>
      </w:r>
    </w:p>
    <w:p>
      <w:pPr>
        <w:pStyle w:val="ListNumber"/>
      </w:pPr>
      <w:r>
        <w:rPr>
          <w:b/>
        </w:rPr>
        <w:t xml:space="preserve">Role-based authorization model: </w:t>
      </w:r>
      <w:r>
        <w:t>Separates access for gateway operations, QR, transaction management, message management, and configuration.</w:t>
      </w:r>
    </w:p>
    <w:p>
      <w:pPr>
        <w:pStyle w:val="ListNumber"/>
      </w:pPr>
      <w:r>
        <w:rPr>
          <w:b/>
        </w:rPr>
        <w:t xml:space="preserve">Secret encryption/decryption management: </w:t>
      </w:r>
      <w:r>
        <w:t>Provides administrative encryption/decryption endpoints for configured secrets.</w:t>
      </w:r>
    </w:p>
    <w:p>
      <w:pPr>
        <w:pStyle w:val="ListNumber"/>
      </w:pPr>
      <w:r>
        <w:rPr>
          <w:b/>
        </w:rPr>
        <w:t xml:space="preserve">Secure key storage service: </w:t>
      </w:r>
      <w:r>
        <w:t>Handles protected secret and key material for local operation.</w:t>
      </w:r>
    </w:p>
    <w:p>
      <w:pPr>
        <w:pStyle w:val="ListNumber"/>
      </w:pPr>
      <w:r>
        <w:rPr>
          <w:b/>
        </w:rPr>
        <w:t xml:space="preserve">CORS configuration management: </w:t>
      </w:r>
      <w:r>
        <w:t>Controls allowed origins for external clients and UI access.</w:t>
      </w:r>
    </w:p>
    <w:p>
      <w:pPr>
        <w:pStyle w:val="ListNumber"/>
      </w:pPr>
      <w:r>
        <w:rPr>
          <w:b/>
        </w:rPr>
        <w:t xml:space="preserve">Rate limiting: </w:t>
      </w:r>
      <w:r>
        <w:t>Protects UI/API traffic with fixed-window rate limiting.</w:t>
      </w:r>
    </w:p>
    <w:p>
      <w:pPr>
        <w:pStyle w:val="Heading2"/>
      </w:pPr>
      <w:r>
        <w:t>Reliability, Idempotency, And Safety</w:t>
      </w:r>
    </w:p>
    <w:p>
      <w:pPr>
        <w:pStyle w:val="ListNumber"/>
      </w:pPr>
      <w:r>
        <w:rPr>
          <w:b/>
        </w:rPr>
        <w:t xml:space="preserve">Insert-first inbound de-duplication: </w:t>
      </w:r>
      <w:r>
        <w:t>Uses database uniqueness and insert-first behavior to prevent concurrent duplicate processing.</w:t>
      </w:r>
    </w:p>
    <w:p>
      <w:pPr>
        <w:pStyle w:val="ListNumber"/>
      </w:pPr>
      <w:r>
        <w:rPr>
          <w:b/>
        </w:rPr>
        <w:t xml:space="preserve">Message-level idempotency: </w:t>
      </w:r>
      <w:r>
        <w:t>De-duplicates by message ID per message type.</w:t>
      </w:r>
    </w:p>
    <w:p>
      <w:pPr>
        <w:pStyle w:val="ListNumber"/>
      </w:pPr>
      <w:r>
        <w:rPr>
          <w:b/>
        </w:rPr>
        <w:t xml:space="preserve">Transaction-level idempotency: </w:t>
      </w:r>
      <w:r>
        <w:t>De-duplicates by transaction ID per message type.</w:t>
      </w:r>
    </w:p>
    <w:p>
      <w:pPr>
        <w:pStyle w:val="ListNumber"/>
      </w:pPr>
      <w:r>
        <w:rPr>
          <w:b/>
        </w:rPr>
        <w:t xml:space="preserve">Return de-duplication: </w:t>
      </w:r>
      <w:r>
        <w:t>Prevents repeated return processing using return IDs and return de-duplication keys.</w:t>
      </w:r>
    </w:p>
    <w:p>
      <w:pPr>
        <w:pStyle w:val="ListNumber"/>
      </w:pPr>
      <w:r>
        <w:rPr>
          <w:b/>
        </w:rPr>
        <w:t xml:space="preserve">Deterministic response replay: </w:t>
      </w:r>
      <w:r>
        <w:t>Replays stored responses for duplicates once a response exists.</w:t>
      </w:r>
    </w:p>
    <w:p>
      <w:pPr>
        <w:pStyle w:val="ListNumber"/>
      </w:pPr>
      <w:r>
        <w:rPr>
          <w:b/>
        </w:rPr>
        <w:t xml:space="preserve">Duplicate-in-process handling: </w:t>
      </w:r>
      <w:r>
        <w:t>Returns protocol-specific in-process errors when another request owns processing.</w:t>
      </w:r>
    </w:p>
    <w:p>
      <w:pPr>
        <w:pStyle w:val="ListNumber"/>
      </w:pPr>
      <w:r>
        <w:rPr>
          <w:b/>
        </w:rPr>
        <w:t xml:space="preserve">Multi-return prevention: </w:t>
      </w:r>
      <w:r>
        <w:t>Protects against multiple reversals of the same original transaction.</w:t>
      </w:r>
    </w:p>
    <w:p>
      <w:pPr>
        <w:pStyle w:val="ListNumber"/>
      </w:pPr>
      <w:r>
        <w:rPr>
          <w:b/>
        </w:rPr>
        <w:t xml:space="preserve">Ledger-as-truth model: </w:t>
      </w:r>
      <w:r>
        <w:t>Uses the participant ledger as the authoritative switch-facing state after confirmation and acknowledgement.</w:t>
      </w:r>
    </w:p>
    <w:p>
      <w:pPr>
        <w:pStyle w:val="ListNumber"/>
      </w:pPr>
      <w:r>
        <w:rPr>
          <w:b/>
        </w:rPr>
        <w:t xml:space="preserve">Store-and-forward recovery worker: </w:t>
      </w:r>
      <w:r>
        <w:t>Polls/retries transactions marked for status checking.</w:t>
      </w:r>
    </w:p>
    <w:p>
      <w:pPr>
        <w:pStyle w:val="ListNumber"/>
      </w:pPr>
      <w:r>
        <w:rPr>
          <w:b/>
        </w:rPr>
        <w:t xml:space="preserve">Timeout recovery worker: </w:t>
      </w:r>
      <w:r>
        <w:t>Handles timed-out or indeterminate flows on a schedule.</w:t>
      </w:r>
    </w:p>
    <w:p>
      <w:pPr>
        <w:pStyle w:val="ListNumber"/>
      </w:pPr>
      <w:r>
        <w:rPr>
          <w:b/>
        </w:rPr>
        <w:t xml:space="preserve">CoreBank timeout handling: </w:t>
      </w:r>
      <w:r>
        <w:t>Bounds CoreBank calls and maps timeout outcomes into deterministic responses and recovery state.</w:t>
      </w:r>
    </w:p>
    <w:p>
      <w:pPr>
        <w:pStyle w:val="ListNumber"/>
      </w:pPr>
      <w:r>
        <w:rPr>
          <w:b/>
        </w:rPr>
        <w:t xml:space="preserve">Check-status fallback: </w:t>
      </w:r>
      <w:r>
        <w:t>Marks uncertain transactions for active status inquiry rather than dropping them.</w:t>
      </w:r>
    </w:p>
    <w:p>
      <w:pPr>
        <w:pStyle w:val="ListNumber"/>
      </w:pPr>
      <w:r>
        <w:rPr>
          <w:b/>
        </w:rPr>
        <w:t xml:space="preserve">Max retry finalization: </w:t>
      </w:r>
      <w:r>
        <w:t>Finalizes unrecoverable paths after retry exhaustion.</w:t>
      </w:r>
    </w:p>
    <w:p>
      <w:pPr>
        <w:pStyle w:val="ListNumber"/>
      </w:pPr>
      <w:r>
        <w:rPr>
          <w:b/>
        </w:rPr>
        <w:t xml:space="preserve">Audit ledger event append: </w:t>
      </w:r>
      <w:r>
        <w:t>Stores audit events for safety, traceability, and dispute support.</w:t>
      </w:r>
    </w:p>
    <w:p>
      <w:pPr>
        <w:pStyle w:val="Heading2"/>
      </w:pPr>
      <w:r>
        <w:t>Persistence And Reporting</w:t>
      </w:r>
    </w:p>
    <w:p>
      <w:pPr>
        <w:pStyle w:val="ListNumber"/>
      </w:pPr>
      <w:r>
        <w:rPr>
          <w:b/>
        </w:rPr>
        <w:t xml:space="preserve">PostgreSQL-backed ISO message store: </w:t>
      </w:r>
      <w:r>
        <w:t>Persists raw XML, responses, statuses, transaction metadata, amounts, parties, identifiers, UETR, and return IDs.</w:t>
      </w:r>
    </w:p>
    <w:p>
      <w:pPr>
        <w:pStyle w:val="ListNumber"/>
      </w:pPr>
      <w:r>
        <w:rPr>
          <w:b/>
        </w:rPr>
        <w:t xml:space="preserve">Transaction store: </w:t>
      </w:r>
      <w:r>
        <w:t>Stores normalized transaction records tied to ISO messages.</w:t>
      </w:r>
    </w:p>
    <w:p>
      <w:pPr>
        <w:pStyle w:val="ListNumber"/>
      </w:pPr>
      <w:r>
        <w:rPr>
          <w:b/>
        </w:rPr>
        <w:t xml:space="preserve">Status history and snapshots: </w:t>
      </w:r>
      <w:r>
        <w:t>Stores status records and response snapshots for traceability.</w:t>
      </w:r>
    </w:p>
    <w:p>
      <w:pPr>
        <w:pStyle w:val="ListNumber"/>
      </w:pPr>
      <w:r>
        <w:rPr>
          <w:b/>
        </w:rPr>
        <w:t xml:space="preserve">Transaction query API: </w:t>
      </w:r>
      <w:r>
        <w:t>Allows operational querying of transaction records.</w:t>
      </w:r>
    </w:p>
    <w:p>
      <w:pPr>
        <w:pStyle w:val="ListNumber"/>
      </w:pPr>
      <w:r>
        <w:rPr>
          <w:b/>
        </w:rPr>
        <w:t xml:space="preserve">ISO message query API: </w:t>
      </w:r>
      <w:r>
        <w:t>Allows inspection of raw and structured ISO message records.</w:t>
      </w:r>
    </w:p>
    <w:p>
      <w:pPr>
        <w:pStyle w:val="ListNumber"/>
      </w:pPr>
      <w:r>
        <w:rPr>
          <w:b/>
        </w:rPr>
        <w:t xml:space="preserve">Status message query API: </w:t>
      </w:r>
      <w:r>
        <w:t>Supports operational inspection of status messages.</w:t>
      </w:r>
    </w:p>
    <w:p>
      <w:pPr>
        <w:pStyle w:val="ListNumber"/>
      </w:pPr>
      <w:r>
        <w:rPr>
          <w:b/>
        </w:rPr>
        <w:t xml:space="preserve">Dashboard analytics: </w:t>
      </w:r>
      <w:r>
        <w:t>Provides transaction distribution, cash flow, exception monitoring, issuer activity, request summaries, status summaries, and message-definition summaries.</w:t>
      </w:r>
    </w:p>
    <w:p>
      <w:pPr>
        <w:pStyle w:val="ListNumber"/>
      </w:pPr>
      <w:r>
        <w:rPr>
          <w:b/>
        </w:rPr>
        <w:t xml:space="preserve">Enumeration APIs: </w:t>
      </w:r>
      <w:r>
        <w:t>Exposes transaction statuses, ISO message types, and transaction types for UI/client use.</w:t>
      </w:r>
    </w:p>
    <w:p>
      <w:pPr>
        <w:pStyle w:val="Heading2"/>
      </w:pPr>
      <w:r>
        <w:t>CoreBank And External Integration</w:t>
      </w:r>
    </w:p>
    <w:p>
      <w:pPr>
        <w:pStyle w:val="ListNumber"/>
      </w:pPr>
      <w:r>
        <w:rPr>
          <w:b/>
        </w:rPr>
        <w:t xml:space="preserve">CoreBank callback client: </w:t>
      </w:r>
      <w:r>
        <w:t>Sends verification, payment, return, status, and completion notification callbacks to CoreBank/local systems.</w:t>
      </w:r>
    </w:p>
    <w:p>
      <w:pPr>
        <w:pStyle w:val="ListNumber"/>
      </w:pPr>
      <w:r>
        <w:rPr>
          <w:b/>
        </w:rPr>
        <w:t xml:space="preserve">Callback authentication headers: </w:t>
      </w:r>
      <w:r>
        <w:t>Adds configured API key/secret headers to CoreBank callbacks.</w:t>
      </w:r>
    </w:p>
    <w:p>
      <w:pPr>
        <w:pStyle w:val="ListNumber"/>
      </w:pPr>
      <w:r>
        <w:rPr>
          <w:b/>
        </w:rPr>
        <w:t xml:space="preserve">Callback service-account token caching: </w:t>
      </w:r>
      <w:r>
        <w:t>Acquires and caches callback bearer tokens with expiry handling.</w:t>
      </w:r>
    </w:p>
    <w:p>
      <w:pPr>
        <w:pStyle w:val="ListNumber"/>
      </w:pPr>
      <w:r>
        <w:rPr>
          <w:b/>
        </w:rPr>
        <w:t xml:space="preserve">Configurable CoreBank interaction model: </w:t>
      </w:r>
      <w:r>
        <w:t>Supports early validation, late binding, and completion-notification patterns.</w:t>
      </w:r>
    </w:p>
    <w:p>
      <w:pPr>
        <w:pStyle w:val="ListNumber"/>
      </w:pPr>
      <w:r>
        <w:rPr>
          <w:b/>
        </w:rPr>
        <w:t xml:space="preserve">Public repository HTTP client: </w:t>
      </w:r>
      <w:r>
        <w:t>Calls external public-key repository APIs with authentication and typed request/response handling.</w:t>
      </w:r>
    </w:p>
    <w:p>
      <w:pPr>
        <w:pStyle w:val="ListNumber"/>
      </w:pPr>
      <w:r>
        <w:rPr>
          <w:b/>
        </w:rPr>
        <w:t xml:space="preserve">Live participants lookup: </w:t>
      </w:r>
      <w:r>
        <w:t>Reports participant availability by BIC and lists available participant BICs.</w:t>
      </w:r>
    </w:p>
    <w:p>
      <w:pPr>
        <w:pStyle w:val="ListNumber"/>
      </w:pPr>
      <w:r>
        <w:rPr>
          <w:b/>
        </w:rPr>
        <w:t xml:space="preserve">Participant balance status lookup: </w:t>
      </w:r>
      <w:r>
        <w:t>Reports configured participant balance status information.</w:t>
      </w:r>
    </w:p>
    <w:p>
      <w:pPr>
        <w:pStyle w:val="Heading2"/>
      </w:pPr>
      <w:r>
        <w:t>SomQR / EMV QR</w:t>
      </w:r>
    </w:p>
    <w:p>
      <w:pPr>
        <w:pStyle w:val="ListNumber"/>
      </w:pPr>
      <w:r>
        <w:rPr>
          <w:b/>
        </w:rPr>
        <w:t xml:space="preserve">Merchant QR generation: </w:t>
      </w:r>
      <w:r>
        <w:t>Generates merchant QR payloads.</w:t>
      </w:r>
    </w:p>
    <w:p>
      <w:pPr>
        <w:pStyle w:val="ListNumber"/>
      </w:pPr>
      <w:r>
        <w:rPr>
          <w:b/>
        </w:rPr>
        <w:t xml:space="preserve">Person/P2P QR generation: </w:t>
      </w:r>
      <w:r>
        <w:t>Generates person-to-person QR payloads.</w:t>
      </w:r>
    </w:p>
    <w:p>
      <w:pPr>
        <w:pStyle w:val="ListNumber"/>
      </w:pPr>
      <w:r>
        <w:rPr>
          <w:b/>
        </w:rPr>
        <w:t xml:space="preserve">Merchant QR parsing: </w:t>
      </w:r>
      <w:r>
        <w:t>Parses merchant QR payloads.</w:t>
      </w:r>
    </w:p>
    <w:p>
      <w:pPr>
        <w:pStyle w:val="ListNumber"/>
      </w:pPr>
      <w:r>
        <w:rPr>
          <w:b/>
        </w:rPr>
        <w:t xml:space="preserve">Person/P2P QR parsing: </w:t>
      </w:r>
      <w:r>
        <w:t>Parses person QR payloads.</w:t>
      </w:r>
    </w:p>
    <w:p>
      <w:pPr>
        <w:pStyle w:val="ListNumber"/>
      </w:pPr>
      <w:r>
        <w:rPr>
          <w:b/>
        </w:rPr>
        <w:t xml:space="preserve">EMV TLV encoding/decoding: </w:t>
      </w:r>
      <w:r>
        <w:t>Implements QR payload encoding/decoding using EMV-style TLV models.</w:t>
      </w:r>
    </w:p>
    <w:p>
      <w:pPr>
        <w:pStyle w:val="ListNumber"/>
      </w:pPr>
      <w:r>
        <w:rPr>
          <w:b/>
        </w:rPr>
        <w:t xml:space="preserve">CRC validation/generation: </w:t>
      </w:r>
      <w:r>
        <w:t>Calculates and validates QR CRC values.</w:t>
      </w:r>
    </w:p>
    <w:p>
      <w:pPr>
        <w:pStyle w:val="ListNumber"/>
      </w:pPr>
      <w:r>
        <w:rPr>
          <w:b/>
        </w:rPr>
        <w:t xml:space="preserve">QR category/purpose mapping: </w:t>
      </w:r>
      <w:r>
        <w:t>Supports QR-derived category purpose mapping for static and dynamic merchant flows.</w:t>
      </w:r>
    </w:p>
    <w:p>
      <w:pPr>
        <w:pStyle w:val="Heading2"/>
      </w:pPr>
      <w:r>
        <w:t>Operations And Deployment</w:t>
      </w:r>
    </w:p>
    <w:p>
      <w:pPr>
        <w:pStyle w:val="ListNumber"/>
      </w:pPr>
      <w:r>
        <w:rPr>
          <w:b/>
        </w:rPr>
        <w:t xml:space="preserve">Health endpoint: </w:t>
      </w:r>
      <w:r>
        <w:t>Reports service health, including conditional PKI/certificate status.</w:t>
      </w:r>
    </w:p>
    <w:p>
      <w:pPr>
        <w:pStyle w:val="ListNumber"/>
      </w:pPr>
      <w:r>
        <w:rPr>
          <w:b/>
        </w:rPr>
        <w:t xml:space="preserve">Prometheus metrics: </w:t>
      </w:r>
      <w:r>
        <w:t>Exposes HTTP and application metrics.</w:t>
      </w:r>
    </w:p>
    <w:p>
      <w:pPr>
        <w:pStyle w:val="ListNumber"/>
      </w:pPr>
      <w:r>
        <w:rPr>
          <w:b/>
        </w:rPr>
        <w:t xml:space="preserve">Structured logging: </w:t>
      </w:r>
      <w:r>
        <w:t>Uses Serilog and correlation-aware logs.</w:t>
      </w:r>
    </w:p>
    <w:p>
      <w:pPr>
        <w:pStyle w:val="ListNumber"/>
      </w:pPr>
      <w:r>
        <w:rPr>
          <w:b/>
        </w:rPr>
        <w:t xml:space="preserve">Log file listing and download APIs: </w:t>
      </w:r>
      <w:r>
        <w:t>Allows operational log inspection and download.</w:t>
      </w:r>
    </w:p>
    <w:p>
      <w:pPr>
        <w:pStyle w:val="ListNumber"/>
      </w:pPr>
      <w:r>
        <w:rPr>
          <w:b/>
        </w:rPr>
        <w:t xml:space="preserve">Swagger/OpenAPI in development: </w:t>
      </w:r>
      <w:r>
        <w:t>Exposes interactive API documentation in development mode.</w:t>
      </w:r>
    </w:p>
    <w:p>
      <w:pPr>
        <w:pStyle w:val="ListNumber"/>
      </w:pPr>
      <w:r>
        <w:rPr>
          <w:b/>
        </w:rPr>
        <w:t xml:space="preserve">Database initialization at startup: </w:t>
      </w:r>
      <w:r>
        <w:t>Runs database initialization/migration logic during startup.</w:t>
      </w:r>
    </w:p>
    <w:p>
      <w:pPr>
        <w:pStyle w:val="ListNumber"/>
      </w:pPr>
      <w:r>
        <w:rPr>
          <w:b/>
        </w:rPr>
        <w:t xml:space="preserve">Dockerized deployment: </w:t>
      </w:r>
      <w:r>
        <w:t>Provides Dockerfiles and compose files for deployment and review.</w:t>
      </w:r>
    </w:p>
    <w:p>
      <w:pPr>
        <w:pStyle w:val="ListNumber"/>
      </w:pPr>
      <w:r>
        <w:rPr>
          <w:b/>
        </w:rPr>
        <w:t xml:space="preserve">Two-node reviewer topology: </w:t>
      </w:r>
      <w:r>
        <w:t>Supports isolated participant-node simulations with separate databases and peer routing.</w:t>
      </w:r>
    </w:p>
    <w:p>
      <w:pPr>
        <w:pStyle w:val="ListNumber"/>
      </w:pPr>
      <w:r>
        <w:rPr>
          <w:b/>
        </w:rPr>
        <w:t xml:space="preserve">Environment-variable driven configuration: </w:t>
      </w:r>
      <w:r>
        <w:t>Supports containerized configuration for database, switch URLs, CoreBank URLs, PKI, and credentials.</w:t>
      </w:r>
    </w:p>
    <w:p>
      <w:pPr>
        <w:pStyle w:val="ListNumber"/>
      </w:pPr>
      <w:r>
        <w:rPr>
          <w:b/>
        </w:rPr>
        <w:t xml:space="preserve">Runtime configuration APIs: </w:t>
      </w:r>
      <w:r>
        <w:t>Exposes runtime configuration for Core, XAdES, ISO20022, EMV, origins, hosts, and API keys.</w:t>
      </w:r>
    </w:p>
    <w:p>
      <w:pPr>
        <w:pStyle w:val="ListNumber"/>
      </w:pPr>
      <w:r>
        <w:rPr>
          <w:b/>
        </w:rPr>
        <w:t xml:space="preserve">API key management APIs: </w:t>
      </w:r>
      <w:r>
        <w:t>Allows operational management of API key entries.</w:t>
      </w:r>
    </w:p>
    <w:p>
      <w:pPr>
        <w:pStyle w:val="ListNumber"/>
      </w:pPr>
      <w:r>
        <w:rPr>
          <w:b/>
        </w:rPr>
        <w:t xml:space="preserve">Adapter configuration API: </w:t>
      </w:r>
      <w:r>
        <w:t>Allows reading/updating adapter endpoint mappings.</w:t>
      </w:r>
    </w:p>
    <w:p>
      <w:pPr>
        <w:pStyle w:val="ListNumber"/>
      </w:pPr>
      <w:r>
        <w:rPr>
          <w:b/>
        </w:rPr>
        <w:t xml:space="preserve">Postman and test script support: </w:t>
      </w:r>
      <w:r>
        <w:t>Includes validation collections and scripts for major flows.</w:t>
      </w:r>
    </w:p>
    <w:p>
      <w:r>
        <w:rPr>
          <w:b/>
        </w:rPr>
        <w:t>Total capabilities counted:</w:t>
      </w:r>
      <w:r>
        <w:t xml:space="preserve"> 80</w:t>
      </w:r>
    </w:p>
    <w:p>
      <w:pPr>
        <w:pStyle w:val="Heading1"/>
      </w:pPr>
      <w:r>
        <w:t>Implications For Future Connectors</w:t>
      </w:r>
    </w:p>
    <w:p>
      <w:r>
        <w:t>The platform can be evolved to support additional rails such as PAPSS, Mojaloop, or other schemes, but this should be done through explicit connector abstractions rather than by placing new logic directly inside existing SVIP-oriented handlers.</w:t>
      </w:r>
    </w:p>
    <w:p>
      <w:pPr>
        <w:pStyle w:val="ListBullet"/>
      </w:pPr>
      <w:r>
        <w:t>Introduce a rail/client abstraction so SVIP, PAPSS, and Mojaloop can be separate implementations.</w:t>
      </w:r>
    </w:p>
    <w:p>
      <w:pPr>
        <w:pStyle w:val="ListBullet"/>
      </w:pPr>
      <w:r>
        <w:t>Introduce a signing/security abstraction so XAdES, DigiSign, HTTP signatures, mTLS, or token-based trust can vary by rail.</w:t>
      </w:r>
    </w:p>
    <w:p>
      <w:pPr>
        <w:pStyle w:val="ListBullet"/>
      </w:pPr>
      <w:r>
        <w:t>Introduce protocol adapters for ISO XML, SOAP, REST/JSON, and rail-specific callback models.</w:t>
      </w:r>
    </w:p>
    <w:p>
      <w:pPr>
        <w:pStyle w:val="ListBullet"/>
      </w:pPr>
      <w:r>
        <w:t>Extend persistence to record rail name, external message identifiers, protocol identifiers, and rail-specific correlation IDs.</w:t>
      </w:r>
    </w:p>
    <w:p>
      <w:pPr>
        <w:pStyle w:val="ListBullet"/>
      </w:pPr>
      <w:r>
        <w:t>Normalize each rail lifecycle into a common internal transaction status model.</w:t>
      </w:r>
    </w:p>
    <w:p>
      <w:pPr>
        <w:pStyle w:val="ListBullet"/>
      </w:pPr>
      <w:r>
        <w:t>Create regression tests around duplicate handling, replay, return prevention, timeout recovery, and finality before changing production flows.</w:t>
      </w:r>
    </w:p>
    <w:p>
      <w:pPr>
        <w:pStyle w:val="Heading1"/>
      </w:pPr>
      <w:r>
        <w:t>Recommended Ownership Model</w:t>
      </w:r>
    </w:p>
    <w:p>
      <w:r>
        <w:t>The system can be maintained by an internal team, but changes to payment-rail connectors, transaction lifecycle, signing/security, idempotency, return handling, and recovery behavior should be governed by senior review. Junior engineers can contribute safely when work is decomposed into well-specified tickets with clear tests and architecture boundaries. They should not be expected to infer the architecture or redesign the rail layer independently.</w:t>
      </w:r>
    </w:p>
    <w:p>
      <w:r>
        <w:t>A practical model is to keep senior architectural oversight for rail abstraction, protocol mapping, security integration, and release certification while assigning implementation tasks to engineers under structured review.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