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8C" w:rsidRPr="000506A3" w:rsidRDefault="0090478C" w:rsidP="0090478C">
      <w:pPr>
        <w:pStyle w:val="udk"/>
        <w:rPr>
          <w:lang w:val="uk-UA"/>
        </w:rPr>
      </w:pPr>
      <w:r w:rsidRPr="000506A3">
        <w:rPr>
          <w:lang w:val="uk-UA"/>
        </w:rPr>
        <w:t>УДК 004.896</w:t>
      </w:r>
    </w:p>
    <w:p w:rsidR="0090478C" w:rsidRPr="000506A3" w:rsidRDefault="0090478C" w:rsidP="0090478C">
      <w:pPr>
        <w:pStyle w:val="autor"/>
        <w:rPr>
          <w:lang w:val="uk-UA"/>
        </w:rPr>
      </w:pPr>
      <w:r w:rsidRPr="000506A3">
        <w:rPr>
          <w:lang w:val="uk-UA"/>
        </w:rPr>
        <w:t>С.О. Дьяков, Л.С. Ямпольський</w:t>
      </w:r>
    </w:p>
    <w:p w:rsidR="0035410E" w:rsidRPr="000506A3" w:rsidRDefault="000506A3" w:rsidP="0035410E">
      <w:pPr>
        <w:pStyle w:val="11"/>
      </w:pPr>
      <w:r w:rsidRPr="000506A3">
        <w:rPr>
          <w:lang w:val="ru-RU"/>
        </w:rPr>
        <w:t xml:space="preserve">Мультиагентна система ДИСПЕТЧЕРИЗАЦІЇ Автономних транспортних МОДУЛІВ на основі </w:t>
      </w:r>
      <w:r>
        <w:rPr>
          <w:lang w:val="ru-RU"/>
        </w:rPr>
        <w:t>нечіткої</w:t>
      </w:r>
      <w:r w:rsidRPr="000506A3">
        <w:t xml:space="preserve"> </w:t>
      </w:r>
      <w:r w:rsidRPr="00273363">
        <w:t>логіки</w:t>
      </w:r>
    </w:p>
    <w:p w:rsidR="0090478C" w:rsidRPr="000506A3" w:rsidRDefault="0090478C" w:rsidP="0090478C">
      <w:pPr>
        <w:pStyle w:val="annottext"/>
        <w:rPr>
          <w:rStyle w:val="annothead0"/>
          <w:sz w:val="22"/>
          <w:szCs w:val="22"/>
          <w:lang w:val="uk-UA"/>
        </w:rPr>
      </w:pPr>
      <w:r w:rsidRPr="000506A3">
        <w:rPr>
          <w:rFonts w:ascii="SchoolBookCTT" w:hAnsi="SchoolBookCTT" w:cs="Arial"/>
          <w:i/>
          <w:sz w:val="22"/>
          <w:szCs w:val="22"/>
          <w:lang w:val="uk-UA" w:eastAsia="uk-UA"/>
        </w:rPr>
        <w:t>Анотація:</w:t>
      </w:r>
      <w:r w:rsidRPr="000506A3">
        <w:rPr>
          <w:rFonts w:ascii="SchoolBookCTT" w:hAnsi="SchoolBookCTT"/>
          <w:sz w:val="22"/>
          <w:szCs w:val="22"/>
          <w:lang w:val="uk-UA"/>
        </w:rPr>
        <w:t xml:space="preserve"> 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У роботі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запропоновано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метод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>диспетчеризації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184208" w:rsidRPr="000506A3">
        <w:rPr>
          <w:rFonts w:ascii="SchoolBookCTT" w:hAnsi="SchoolBookCTT" w:cs="Arial"/>
          <w:sz w:val="22"/>
          <w:szCs w:val="22"/>
          <w:lang w:val="uk-UA" w:eastAsia="uk-UA"/>
        </w:rPr>
        <w:t>автономних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транспортних</w:t>
      </w:r>
      <w:r w:rsidR="004F5B5B" w:rsidRPr="000506A3">
        <w:rPr>
          <w:rFonts w:ascii="SchoolBookCTT" w:hAnsi="SchoolBookCTT" w:cs="Arial"/>
          <w:i/>
          <w:lang w:val="uk-UA" w:eastAsia="uk-UA"/>
        </w:rPr>
        <w:t xml:space="preserve"> 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>мод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>у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>лів у гнучких виробничих системах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 xml:space="preserve"> на основі системи нечіткого виведення</w:t>
      </w:r>
      <w:r w:rsidR="004F5B5B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.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Даний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метод поклик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а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 xml:space="preserve">ний підвищити продуктивність раніше розробленої 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системи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диспетчеризації на основі муль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ти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а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гентного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с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ередовища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 xml:space="preserve"> за рахунок зменшення часу переговорів між інтелектуальними агентами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.</w:t>
      </w:r>
    </w:p>
    <w:p w:rsidR="0090478C" w:rsidRPr="000506A3" w:rsidRDefault="0090478C" w:rsidP="0090478C">
      <w:pPr>
        <w:pStyle w:val="annottext"/>
        <w:rPr>
          <w:rStyle w:val="annothead0"/>
          <w:sz w:val="22"/>
          <w:szCs w:val="22"/>
          <w:lang w:val="uk-UA"/>
        </w:rPr>
      </w:pPr>
      <w:r w:rsidRPr="000506A3">
        <w:rPr>
          <w:rFonts w:ascii="SchoolBookCTT" w:hAnsi="SchoolBookCTT" w:cs="Arial"/>
          <w:i/>
          <w:sz w:val="22"/>
          <w:szCs w:val="22"/>
          <w:lang w:val="uk-UA" w:eastAsia="uk-UA"/>
        </w:rPr>
        <w:t>Ключові слов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а</w:t>
      </w:r>
      <w:r w:rsidRPr="000506A3">
        <w:rPr>
          <w:rFonts w:ascii="SchoolBookCTT" w:hAnsi="SchoolBookCTT" w:cs="Arial"/>
          <w:i/>
          <w:sz w:val="22"/>
          <w:szCs w:val="22"/>
          <w:lang w:val="uk-UA" w:eastAsia="uk-UA"/>
        </w:rPr>
        <w:t>:</w:t>
      </w:r>
      <w:r w:rsidR="00071525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 xml:space="preserve">нечітка логіка, система нечіткого виведення, </w:t>
      </w:r>
      <w:r w:rsidR="00071525" w:rsidRPr="000506A3">
        <w:rPr>
          <w:rFonts w:ascii="SchoolBookCTT" w:hAnsi="SchoolBookCTT" w:cs="Arial"/>
          <w:sz w:val="22"/>
          <w:szCs w:val="22"/>
          <w:lang w:val="uk-UA" w:eastAsia="uk-UA"/>
        </w:rPr>
        <w:t>мульти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агентн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е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FB15A8" w:rsidRPr="000506A3">
        <w:rPr>
          <w:rFonts w:ascii="SchoolBookCTT" w:hAnsi="SchoolBookCTT" w:cs="Arial"/>
          <w:sz w:val="22"/>
          <w:szCs w:val="22"/>
          <w:lang w:val="uk-UA" w:eastAsia="uk-UA"/>
        </w:rPr>
        <w:t>середовище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, ди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с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петчеризація</w:t>
      </w:r>
      <w:r w:rsidR="00071525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, </w:t>
      </w:r>
      <w:r w:rsidR="00184208" w:rsidRPr="000506A3">
        <w:rPr>
          <w:rFonts w:ascii="SchoolBookCTT" w:hAnsi="SchoolBookCTT" w:cs="Arial"/>
          <w:sz w:val="22"/>
          <w:szCs w:val="22"/>
          <w:lang w:val="uk-UA" w:eastAsia="uk-UA"/>
        </w:rPr>
        <w:t>автономний</w:t>
      </w:r>
      <w:r w:rsidR="00071525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транспортний модуль, гнучка виробнича система</w:t>
      </w:r>
      <w:r w:rsidRPr="000506A3">
        <w:rPr>
          <w:rFonts w:ascii="SchoolBookCTT" w:hAnsi="SchoolBookCTT" w:cs="Arial"/>
          <w:sz w:val="22"/>
          <w:szCs w:val="22"/>
          <w:lang w:val="uk-UA" w:eastAsia="uk-UA"/>
        </w:rPr>
        <w:t>.</w:t>
      </w:r>
    </w:p>
    <w:p w:rsidR="0090478C" w:rsidRPr="000506A3" w:rsidRDefault="0090478C" w:rsidP="0090478C">
      <w:pPr>
        <w:pStyle w:val="21"/>
        <w:rPr>
          <w:lang w:val="uk-UA"/>
        </w:rPr>
      </w:pPr>
      <w:r w:rsidRPr="000506A3">
        <w:rPr>
          <w:lang w:val="uk-UA"/>
        </w:rPr>
        <w:t>Вступ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>Автономні транспортні модулі (АТМ) успішно використовуються в якості системи подачі матеріалів у гнучких виробничих системах (ГВС) [1]. Постійне зростання складності ГВС призводить до зростання навантаження на систему керування. Висока динамічність і значна кількість невизначеностей у виробн</w:t>
      </w:r>
      <w:r w:rsidRPr="000506A3">
        <w:rPr>
          <w:lang w:val="uk-UA"/>
        </w:rPr>
        <w:t>и</w:t>
      </w:r>
      <w:r w:rsidRPr="000506A3">
        <w:rPr>
          <w:lang w:val="uk-UA"/>
        </w:rPr>
        <w:t>чому середовищі значно ускладнює врахування деяких параметрів та їх предст</w:t>
      </w:r>
      <w:r w:rsidRPr="000506A3">
        <w:rPr>
          <w:lang w:val="uk-UA"/>
        </w:rPr>
        <w:t>а</w:t>
      </w:r>
      <w:r w:rsidRPr="000506A3">
        <w:rPr>
          <w:lang w:val="uk-UA"/>
        </w:rPr>
        <w:t>влення у чисельному вигляді. Одним з ключовим компонентів системи керува</w:t>
      </w:r>
      <w:r w:rsidRPr="000506A3">
        <w:rPr>
          <w:lang w:val="uk-UA"/>
        </w:rPr>
        <w:t>н</w:t>
      </w:r>
      <w:r w:rsidRPr="000506A3">
        <w:rPr>
          <w:lang w:val="uk-UA"/>
        </w:rPr>
        <w:t>ня ГВС є система диспетчеризації АТМ. Диспетчеризація АТМ полягає у визн</w:t>
      </w:r>
      <w:r w:rsidRPr="000506A3">
        <w:rPr>
          <w:lang w:val="uk-UA"/>
        </w:rPr>
        <w:t>а</w:t>
      </w:r>
      <w:r w:rsidRPr="000506A3">
        <w:rPr>
          <w:lang w:val="uk-UA"/>
        </w:rPr>
        <w:t>ченні маршрутів руху транспортного модуля і переміщенні останнього з урах</w:t>
      </w:r>
      <w:r w:rsidRPr="000506A3">
        <w:rPr>
          <w:lang w:val="uk-UA"/>
        </w:rPr>
        <w:t>у</w:t>
      </w:r>
      <w:r w:rsidRPr="000506A3">
        <w:rPr>
          <w:lang w:val="uk-UA"/>
        </w:rPr>
        <w:t>ванням як його транспортної завантаженості, так і доступності обробних виро</w:t>
      </w:r>
      <w:r w:rsidRPr="000506A3">
        <w:rPr>
          <w:lang w:val="uk-UA"/>
        </w:rPr>
        <w:t>б</w:t>
      </w:r>
      <w:r w:rsidRPr="000506A3">
        <w:rPr>
          <w:lang w:val="uk-UA"/>
        </w:rPr>
        <w:t>ничих ресурсів</w:t>
      </w:r>
      <w:r w:rsidR="00F715B8">
        <w:rPr>
          <w:lang w:val="uk-UA"/>
        </w:rPr>
        <w:t>, що обслуговуються</w:t>
      </w:r>
      <w:r w:rsidRPr="000506A3">
        <w:rPr>
          <w:lang w:val="uk-UA"/>
        </w:rPr>
        <w:t>.</w:t>
      </w:r>
    </w:p>
    <w:p w:rsidR="0090478C" w:rsidRPr="000506A3" w:rsidRDefault="000506A3" w:rsidP="000506A3">
      <w:pPr>
        <w:rPr>
          <w:lang w:val="uk-UA"/>
        </w:rPr>
      </w:pPr>
      <w:r w:rsidRPr="000506A3">
        <w:rPr>
          <w:lang w:val="uk-UA"/>
        </w:rPr>
        <w:t>Для розв'язання задачі диспетчеризації при постійно зростаючому навант</w:t>
      </w:r>
      <w:r w:rsidRPr="000506A3">
        <w:rPr>
          <w:lang w:val="uk-UA"/>
        </w:rPr>
        <w:t>а</w:t>
      </w:r>
      <w:r w:rsidRPr="000506A3">
        <w:rPr>
          <w:lang w:val="uk-UA"/>
        </w:rPr>
        <w:t>женні в [2] було запропоновано мультиагентну систему на основі Contract Net Protocol (CNET).  Для зменшення часу переговорів агентів та для забезпечення функціонування системи диспетчеризації в умовах невизначеності інтелектуал</w:t>
      </w:r>
      <w:r w:rsidRPr="000506A3">
        <w:rPr>
          <w:lang w:val="uk-UA"/>
        </w:rPr>
        <w:t>ь</w:t>
      </w:r>
      <w:r w:rsidRPr="000506A3">
        <w:rPr>
          <w:lang w:val="uk-UA"/>
        </w:rPr>
        <w:t>ними агентами, що входять до складу МАС може бути застосована система неч</w:t>
      </w:r>
      <w:r w:rsidRPr="000506A3">
        <w:rPr>
          <w:lang w:val="uk-UA"/>
        </w:rPr>
        <w:t>і</w:t>
      </w:r>
      <w:r w:rsidRPr="000506A3">
        <w:rPr>
          <w:lang w:val="uk-UA"/>
        </w:rPr>
        <w:t>ткого виведення. Нечітка логіка раніше була застосована для розробки правил диспетчеризації на основі кількох критеріїв</w:t>
      </w:r>
      <w:r w:rsidR="004A35FA">
        <w:rPr>
          <w:lang w:val="uk-UA"/>
        </w:rPr>
        <w:t xml:space="preserve"> </w:t>
      </w:r>
      <w:r w:rsidRPr="000506A3">
        <w:rPr>
          <w:lang w:val="uk-UA"/>
        </w:rPr>
        <w:t>[3], [4].</w:t>
      </w:r>
    </w:p>
    <w:p w:rsidR="0090478C" w:rsidRPr="000506A3" w:rsidRDefault="000506A3" w:rsidP="0090478C">
      <w:pPr>
        <w:pStyle w:val="21"/>
        <w:rPr>
          <w:lang w:val="uk-UA"/>
        </w:rPr>
      </w:pPr>
      <w:r w:rsidRPr="000506A3">
        <w:rPr>
          <w:lang w:val="uk-UA"/>
        </w:rPr>
        <w:t>Архітектура МАС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>Запропонована в [2] модель диспетчеризації АТМ і ГВМ має архітектуру, що включає наступні агенти та метаагенти (агенти, що складаються з інших аг</w:t>
      </w:r>
      <w:r w:rsidRPr="000506A3">
        <w:rPr>
          <w:lang w:val="uk-UA"/>
        </w:rPr>
        <w:t>е</w:t>
      </w:r>
      <w:r w:rsidRPr="000506A3">
        <w:rPr>
          <w:lang w:val="uk-UA"/>
        </w:rPr>
        <w:t>нтів): агент-менеджер (АМ), метаагент системи АТМ (МАТМ) з агентами дисп</w:t>
      </w:r>
      <w:r w:rsidRPr="000506A3">
        <w:rPr>
          <w:lang w:val="uk-UA"/>
        </w:rPr>
        <w:t>е</w:t>
      </w:r>
      <w:r w:rsidRPr="000506A3">
        <w:rPr>
          <w:lang w:val="uk-UA"/>
        </w:rPr>
        <w:t>тчеризації (АДАТМ) всіх АТМ у ГВС, метаагент системи ГВМ (МГВМ) з аге</w:t>
      </w:r>
      <w:r w:rsidRPr="000506A3">
        <w:rPr>
          <w:lang w:val="uk-UA"/>
        </w:rPr>
        <w:t>н</w:t>
      </w:r>
      <w:r w:rsidRPr="000506A3">
        <w:rPr>
          <w:lang w:val="uk-UA"/>
        </w:rPr>
        <w:lastRenderedPageBreak/>
        <w:t>тами диспетчеризації (АДГВМ) усіх ГВМ у ГВС, метаагент системи замовлення (МЗ) з агентами замовлень (АЗ) та створюваними ними агентами операцій (АО).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>Далі більш детально визначається механізм і п</w:t>
      </w:r>
      <w:r w:rsidRPr="000506A3">
        <w:rPr>
          <w:lang w:val="uk-UA"/>
        </w:rPr>
        <w:t>о</w:t>
      </w:r>
      <w:r w:rsidRPr="000506A3">
        <w:rPr>
          <w:lang w:val="uk-UA"/>
        </w:rPr>
        <w:t xml:space="preserve">ведінка </w:t>
      </w:r>
      <w:r w:rsidR="00F715B8">
        <w:rPr>
          <w:lang w:val="uk-UA"/>
        </w:rPr>
        <w:t>АД</w:t>
      </w:r>
      <w:r w:rsidRPr="000506A3">
        <w:rPr>
          <w:lang w:val="uk-UA"/>
        </w:rPr>
        <w:t>АТМ.</w:t>
      </w:r>
    </w:p>
    <w:p w:rsidR="00436638" w:rsidRPr="000506A3" w:rsidRDefault="000506A3" w:rsidP="00436638">
      <w:pPr>
        <w:pStyle w:val="21"/>
        <w:rPr>
          <w:lang w:val="uk-UA"/>
        </w:rPr>
      </w:pPr>
      <w:r w:rsidRPr="000506A3">
        <w:rPr>
          <w:lang w:val="uk-UA"/>
        </w:rPr>
        <w:t>Система нечіткого виведення</w:t>
      </w:r>
    </w:p>
    <w:p w:rsidR="000506A3" w:rsidRPr="000506A3" w:rsidRDefault="00F715B8" w:rsidP="000506A3">
      <w:pPr>
        <w:rPr>
          <w:lang w:val="uk-UA"/>
        </w:rPr>
      </w:pPr>
      <w:r>
        <w:rPr>
          <w:lang w:val="uk-UA"/>
        </w:rPr>
        <w:t>У запропонованому підході к</w:t>
      </w:r>
      <w:r w:rsidR="000506A3" w:rsidRPr="000506A3">
        <w:rPr>
          <w:lang w:val="uk-UA"/>
        </w:rPr>
        <w:t>ожен АДАТМ використовує систему нечітк</w:t>
      </w:r>
      <w:r w:rsidR="000506A3" w:rsidRPr="000506A3">
        <w:rPr>
          <w:lang w:val="uk-UA"/>
        </w:rPr>
        <w:t>о</w:t>
      </w:r>
      <w:r w:rsidR="000506A3" w:rsidRPr="000506A3">
        <w:rPr>
          <w:lang w:val="uk-UA"/>
        </w:rPr>
        <w:t>го виведення (СНВ) для підтримки прийняття рішень. Агент АДАТМ збирає і</w:t>
      </w:r>
      <w:r w:rsidR="000506A3" w:rsidRPr="000506A3">
        <w:rPr>
          <w:lang w:val="uk-UA"/>
        </w:rPr>
        <w:t>н</w:t>
      </w:r>
      <w:r w:rsidR="000506A3" w:rsidRPr="000506A3">
        <w:rPr>
          <w:lang w:val="uk-UA"/>
        </w:rPr>
        <w:t>формацію про його оточення і надає цю інформацію до СНВ, яка оцінює наявні варіанти і допомагає агенту вирішити, яку саме задачу транспортування краще починати в</w:t>
      </w:r>
      <w:r w:rsidR="000506A3" w:rsidRPr="000506A3">
        <w:rPr>
          <w:lang w:val="uk-UA"/>
        </w:rPr>
        <w:t>и</w:t>
      </w:r>
      <w:r w:rsidR="000506A3" w:rsidRPr="000506A3">
        <w:rPr>
          <w:lang w:val="uk-UA"/>
        </w:rPr>
        <w:t>конувати.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 xml:space="preserve">СНВ використовує три змінні як вхідні (Відстань, Час очікування і Частоту запитів), і одну в якості вихідної (Пріоритет). 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 xml:space="preserve">Відстань (X1 </w:t>
      </w:r>
      <w:r w:rsidRPr="000506A3">
        <w:rPr>
          <w:lang w:val="uk-UA"/>
        </w:rPr>
        <w:sym w:font="Symbol" w:char="F0CE"/>
      </w:r>
      <w:r w:rsidRPr="000506A3">
        <w:rPr>
          <w:lang w:val="uk-UA"/>
        </w:rPr>
        <w:t xml:space="preserve"> {Далеко, Середня, Близько}) відповідає найкоротшому шляху до місця призначення. 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 xml:space="preserve">Час очікування (X2 </w:t>
      </w:r>
      <w:r w:rsidRPr="000506A3">
        <w:rPr>
          <w:lang w:val="uk-UA"/>
        </w:rPr>
        <w:sym w:font="Symbol" w:char="F0CE"/>
      </w:r>
      <w:r w:rsidRPr="000506A3">
        <w:rPr>
          <w:lang w:val="uk-UA"/>
        </w:rPr>
        <w:t xml:space="preserve"> {Короткий, Середній, Довгий}) – це час, що минув з моменту прибуття АТМ до ГВМ. </w:t>
      </w:r>
    </w:p>
    <w:p w:rsidR="000506A3" w:rsidRPr="000506A3" w:rsidRDefault="000506A3" w:rsidP="000506A3">
      <w:pPr>
        <w:rPr>
          <w:lang w:val="uk-UA"/>
        </w:rPr>
      </w:pPr>
      <w:r w:rsidRPr="000506A3">
        <w:rPr>
          <w:lang w:val="uk-UA"/>
        </w:rPr>
        <w:t xml:space="preserve">Частота запитів (X3 </w:t>
      </w:r>
      <w:r w:rsidRPr="000506A3">
        <w:rPr>
          <w:lang w:val="uk-UA"/>
        </w:rPr>
        <w:sym w:font="Symbol" w:char="F0CE"/>
      </w:r>
      <w:r w:rsidRPr="000506A3">
        <w:rPr>
          <w:lang w:val="uk-UA"/>
        </w:rPr>
        <w:t xml:space="preserve"> {Низька, Середня, Висока}) – це відношення між к</w:t>
      </w:r>
      <w:r w:rsidRPr="000506A3">
        <w:rPr>
          <w:lang w:val="uk-UA"/>
        </w:rPr>
        <w:t>і</w:t>
      </w:r>
      <w:r w:rsidRPr="000506A3">
        <w:rPr>
          <w:lang w:val="uk-UA"/>
        </w:rPr>
        <w:t>лькістю задач, на які було здійснено запит, і загальною кількістю доступних з</w:t>
      </w:r>
      <w:r w:rsidRPr="000506A3">
        <w:rPr>
          <w:lang w:val="uk-UA"/>
        </w:rPr>
        <w:t>а</w:t>
      </w:r>
      <w:r w:rsidRPr="000506A3">
        <w:rPr>
          <w:lang w:val="uk-UA"/>
        </w:rPr>
        <w:t xml:space="preserve">дач, що відображає перевантаженість ГВМ. </w:t>
      </w:r>
    </w:p>
    <w:p w:rsidR="000506A3" w:rsidRPr="000506A3" w:rsidRDefault="00F715B8" w:rsidP="000506A3">
      <w:pPr>
        <w:rPr>
          <w:lang w:val="uk-UA"/>
        </w:rPr>
      </w:pPr>
      <w:r>
        <w:rPr>
          <w:lang w:val="uk-UA"/>
        </w:rPr>
        <w:t>Пріоритет (Y</w:t>
      </w:r>
      <w:r w:rsidR="000506A3" w:rsidRPr="000506A3">
        <w:rPr>
          <w:lang w:val="uk-UA"/>
        </w:rPr>
        <w:t xml:space="preserve"> </w:t>
      </w:r>
      <w:r w:rsidR="000506A3" w:rsidRPr="000506A3">
        <w:rPr>
          <w:lang w:val="uk-UA"/>
        </w:rPr>
        <w:sym w:font="Symbol" w:char="F0CE"/>
      </w:r>
      <w:r w:rsidR="000506A3" w:rsidRPr="000506A3">
        <w:rPr>
          <w:lang w:val="uk-UA"/>
        </w:rPr>
        <w:t xml:space="preserve"> {Низький, Середньо низький, Середній, Середньо вис</w:t>
      </w:r>
      <w:r w:rsidR="000506A3" w:rsidRPr="000506A3">
        <w:rPr>
          <w:lang w:val="uk-UA"/>
        </w:rPr>
        <w:t>о</w:t>
      </w:r>
      <w:r w:rsidR="000506A3" w:rsidRPr="000506A3">
        <w:rPr>
          <w:lang w:val="uk-UA"/>
        </w:rPr>
        <w:t>кий, Високий}) є значенням, яке АДАТМ присвоює кожному АО.</w:t>
      </w:r>
    </w:p>
    <w:p w:rsidR="000506A3" w:rsidRDefault="000506A3" w:rsidP="000506A3">
      <w:pPr>
        <w:rPr>
          <w:lang w:val="uk-UA"/>
        </w:rPr>
      </w:pPr>
      <w:r w:rsidRPr="000506A3">
        <w:rPr>
          <w:lang w:val="uk-UA"/>
        </w:rPr>
        <w:t>Нечіткі змінні і пов'язані з ними нечіткі множини зображені на рис. 1.</w:t>
      </w:r>
    </w:p>
    <w:p w:rsidR="009111BD" w:rsidRPr="00C608CD" w:rsidRDefault="009111BD" w:rsidP="009111BD">
      <w:pPr>
        <w:pStyle w:val="annottext"/>
        <w:spacing w:before="0"/>
        <w:ind w:firstLine="0"/>
        <w:jc w:val="center"/>
        <w:rPr>
          <w:rFonts w:ascii="Times New Roman" w:hAnsi="Times New Roman"/>
          <w:lang w:eastAsia="uk-UA"/>
        </w:rPr>
      </w:pPr>
    </w:p>
    <w:tbl>
      <w:tblPr>
        <w:tblW w:w="0" w:type="auto"/>
        <w:tblLook w:val="04A0"/>
      </w:tblPr>
      <w:tblGrid>
        <w:gridCol w:w="4666"/>
        <w:gridCol w:w="4620"/>
      </w:tblGrid>
      <w:tr w:rsidR="009111BD" w:rsidRPr="00C608CD" w:rsidTr="00467428">
        <w:tc>
          <w:tcPr>
            <w:tcW w:w="5210" w:type="dxa"/>
            <w:vAlign w:val="center"/>
          </w:tcPr>
          <w:p w:rsidR="009111BD" w:rsidRPr="004A35FA" w:rsidRDefault="00872506" w:rsidP="00467428">
            <w:pPr>
              <w:pStyle w:val="annottext"/>
              <w:spacing w:before="0"/>
              <w:ind w:firstLine="0"/>
              <w:jc w:val="center"/>
              <w:rPr>
                <w:rFonts w:ascii="Times New Roman" w:hAnsi="Times New Roman"/>
                <w:i/>
                <w:szCs w:val="22"/>
                <w:lang w:eastAsia="uk-UA"/>
              </w:rPr>
            </w:pPr>
            <w:r>
              <w:rPr>
                <w:i/>
                <w:noProof/>
                <w:szCs w:val="22"/>
                <w:lang w:val="uk-UA" w:eastAsia="uk-UA"/>
              </w:rPr>
              <w:drawing>
                <wp:inline distT="0" distB="0" distL="0" distR="0">
                  <wp:extent cx="2628900" cy="1028700"/>
                  <wp:effectExtent l="1905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vAlign w:val="center"/>
          </w:tcPr>
          <w:p w:rsidR="009111BD" w:rsidRPr="004A35FA" w:rsidRDefault="00872506" w:rsidP="00467428">
            <w:pPr>
              <w:pStyle w:val="annottext"/>
              <w:spacing w:before="0"/>
              <w:ind w:firstLine="0"/>
              <w:jc w:val="center"/>
              <w:rPr>
                <w:rFonts w:ascii="Times New Roman" w:hAnsi="Times New Roman"/>
                <w:i/>
                <w:szCs w:val="22"/>
                <w:lang w:eastAsia="uk-UA"/>
              </w:rPr>
            </w:pPr>
            <w:r>
              <w:rPr>
                <w:rFonts w:ascii="Times New Roman" w:hAnsi="Times New Roman"/>
                <w:i/>
                <w:noProof/>
                <w:szCs w:val="22"/>
                <w:lang w:val="uk-UA" w:eastAsia="uk-UA"/>
              </w:rPr>
              <w:drawing>
                <wp:inline distT="0" distB="0" distL="0" distR="0">
                  <wp:extent cx="2628900" cy="952500"/>
                  <wp:effectExtent l="1905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22" w:rsidRPr="00C608CD" w:rsidTr="00467428">
        <w:tc>
          <w:tcPr>
            <w:tcW w:w="5210" w:type="dxa"/>
            <w:vAlign w:val="center"/>
          </w:tcPr>
          <w:p w:rsidR="00D43C22" w:rsidRPr="004A35FA" w:rsidRDefault="00D43C22" w:rsidP="004A35FA">
            <w:pPr>
              <w:pStyle w:val="annottext"/>
              <w:spacing w:before="0"/>
              <w:ind w:firstLine="0"/>
              <w:jc w:val="center"/>
              <w:rPr>
                <w:i/>
                <w:szCs w:val="22"/>
                <w:lang w:val="uk-UA"/>
              </w:rPr>
            </w:pPr>
            <w:r w:rsidRPr="004A35FA">
              <w:rPr>
                <w:rFonts w:ascii="SchoolBookCTT" w:hAnsi="SchoolBookCTT"/>
                <w:i/>
                <w:sz w:val="26"/>
                <w:szCs w:val="22"/>
              </w:rPr>
              <w:t>а</w:t>
            </w:r>
          </w:p>
        </w:tc>
        <w:tc>
          <w:tcPr>
            <w:tcW w:w="5210" w:type="dxa"/>
            <w:vAlign w:val="center"/>
          </w:tcPr>
          <w:p w:rsidR="00D43C22" w:rsidRPr="004A35FA" w:rsidRDefault="00D43C22" w:rsidP="00467428">
            <w:pPr>
              <w:pStyle w:val="annottext"/>
              <w:spacing w:before="0"/>
              <w:ind w:firstLine="0"/>
              <w:jc w:val="center"/>
              <w:rPr>
                <w:rFonts w:ascii="Times New Roman" w:hAnsi="Times New Roman"/>
                <w:i/>
                <w:szCs w:val="22"/>
                <w:lang w:val="uk-UA" w:eastAsia="uk-UA"/>
              </w:rPr>
            </w:pPr>
            <w:r w:rsidRPr="004A35FA">
              <w:rPr>
                <w:rFonts w:ascii="SchoolBookCTT" w:hAnsi="SchoolBookCTT"/>
                <w:i/>
                <w:sz w:val="26"/>
                <w:szCs w:val="22"/>
              </w:rPr>
              <w:t>б</w:t>
            </w:r>
          </w:p>
        </w:tc>
      </w:tr>
      <w:tr w:rsidR="00D43C22" w:rsidRPr="00C608CD" w:rsidTr="00467428">
        <w:tc>
          <w:tcPr>
            <w:tcW w:w="5210" w:type="dxa"/>
            <w:vAlign w:val="center"/>
          </w:tcPr>
          <w:p w:rsidR="00D43C22" w:rsidRPr="004A35FA" w:rsidRDefault="001D721D" w:rsidP="00467428">
            <w:pPr>
              <w:pStyle w:val="annottext"/>
              <w:spacing w:before="0"/>
              <w:ind w:firstLine="0"/>
              <w:jc w:val="center"/>
              <w:rPr>
                <w:rFonts w:ascii="SchoolBookCTT" w:hAnsi="SchoolBookCTT"/>
                <w:i/>
                <w:sz w:val="26"/>
                <w:szCs w:val="22"/>
              </w:rPr>
            </w:pPr>
            <w:r w:rsidRPr="004A35FA">
              <w:rPr>
                <w:i/>
                <w:szCs w:val="22"/>
              </w:rPr>
              <w:object w:dxaOrig="7020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5pt;height:84pt" o:ole="">
                  <v:imagedata r:id="rId10" o:title="" grayscale="t"/>
                </v:shape>
                <o:OLEObject Type="Embed" ProgID="PBrush" ShapeID="_x0000_i1025" DrawAspect="Content" ObjectID="_1475361306" r:id="rId11"/>
              </w:object>
            </w:r>
          </w:p>
        </w:tc>
        <w:tc>
          <w:tcPr>
            <w:tcW w:w="5210" w:type="dxa"/>
            <w:vAlign w:val="center"/>
          </w:tcPr>
          <w:p w:rsidR="00D43C22" w:rsidRPr="004A35FA" w:rsidRDefault="00872506" w:rsidP="00467428">
            <w:pPr>
              <w:pStyle w:val="annottext"/>
              <w:spacing w:before="0"/>
              <w:ind w:firstLine="0"/>
              <w:jc w:val="center"/>
              <w:rPr>
                <w:rFonts w:ascii="SchoolBookCTT" w:hAnsi="SchoolBookCTT"/>
                <w:i/>
                <w:sz w:val="26"/>
                <w:szCs w:val="22"/>
              </w:rPr>
            </w:pPr>
            <w:r>
              <w:rPr>
                <w:rFonts w:ascii="Times New Roman" w:hAnsi="Times New Roman"/>
                <w:i/>
                <w:noProof/>
                <w:szCs w:val="22"/>
                <w:lang w:val="uk-UA" w:eastAsia="uk-UA"/>
              </w:rPr>
              <w:drawing>
                <wp:inline distT="0" distB="0" distL="0" distR="0">
                  <wp:extent cx="2667000" cy="933450"/>
                  <wp:effectExtent l="1905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22" w:rsidRPr="00C608CD" w:rsidTr="00467428">
        <w:tc>
          <w:tcPr>
            <w:tcW w:w="5210" w:type="dxa"/>
            <w:vAlign w:val="center"/>
          </w:tcPr>
          <w:p w:rsidR="00D43C22" w:rsidRPr="004A35FA" w:rsidRDefault="004A35FA" w:rsidP="00467428">
            <w:pPr>
              <w:pStyle w:val="annottext"/>
              <w:spacing w:before="0"/>
              <w:ind w:firstLine="0"/>
              <w:jc w:val="center"/>
              <w:rPr>
                <w:rFonts w:ascii="SchoolBookCTT" w:hAnsi="SchoolBookCTT"/>
                <w:i/>
                <w:sz w:val="26"/>
                <w:szCs w:val="22"/>
                <w:lang w:val="uk-UA"/>
              </w:rPr>
            </w:pPr>
            <w:r w:rsidRPr="004A35FA">
              <w:rPr>
                <w:rFonts w:ascii="SchoolBookCTT" w:hAnsi="SchoolBookCTT"/>
                <w:i/>
                <w:sz w:val="26"/>
                <w:szCs w:val="22"/>
              </w:rPr>
              <w:t>в</w:t>
            </w:r>
          </w:p>
        </w:tc>
        <w:tc>
          <w:tcPr>
            <w:tcW w:w="5210" w:type="dxa"/>
            <w:vAlign w:val="center"/>
          </w:tcPr>
          <w:p w:rsidR="00D43C22" w:rsidRPr="004A35FA" w:rsidRDefault="004A35FA" w:rsidP="00467428">
            <w:pPr>
              <w:pStyle w:val="annottext"/>
              <w:spacing w:before="0"/>
              <w:ind w:firstLine="0"/>
              <w:jc w:val="center"/>
              <w:rPr>
                <w:rFonts w:ascii="SchoolBookCTT" w:hAnsi="SchoolBookCTT"/>
                <w:i/>
                <w:sz w:val="26"/>
                <w:szCs w:val="22"/>
                <w:lang w:val="uk-UA"/>
              </w:rPr>
            </w:pPr>
            <w:r w:rsidRPr="004A35FA">
              <w:rPr>
                <w:rFonts w:ascii="SchoolBookCTT" w:hAnsi="SchoolBookCTT"/>
                <w:i/>
                <w:sz w:val="26"/>
                <w:szCs w:val="22"/>
              </w:rPr>
              <w:t>г</w:t>
            </w:r>
          </w:p>
        </w:tc>
      </w:tr>
    </w:tbl>
    <w:p w:rsidR="008632DE" w:rsidRPr="00273363" w:rsidRDefault="008632DE" w:rsidP="008632DE">
      <w:pPr>
        <w:pStyle w:val="annottext"/>
        <w:spacing w:before="0" w:line="276" w:lineRule="auto"/>
        <w:ind w:firstLine="0"/>
        <w:jc w:val="center"/>
        <w:rPr>
          <w:rFonts w:ascii="SchoolBookCTT" w:hAnsi="SchoolBookCTT"/>
          <w:sz w:val="26"/>
        </w:rPr>
      </w:pPr>
    </w:p>
    <w:p w:rsidR="008632DE" w:rsidRDefault="008632DE" w:rsidP="001D721D">
      <w:pPr>
        <w:spacing w:line="360" w:lineRule="auto"/>
        <w:jc w:val="center"/>
        <w:rPr>
          <w:lang w:val="uk-UA"/>
        </w:rPr>
      </w:pPr>
      <w:r w:rsidRPr="00273363">
        <w:t>Рисунок 1. – Множини вхідних (</w:t>
      </w:r>
      <w:r w:rsidRPr="004A35FA">
        <w:rPr>
          <w:i/>
        </w:rPr>
        <w:t>а, б, в</w:t>
      </w:r>
      <w:r w:rsidRPr="00273363">
        <w:t>) і вихідної (</w:t>
      </w:r>
      <w:r w:rsidRPr="004A35FA">
        <w:rPr>
          <w:i/>
        </w:rPr>
        <w:t>г</w:t>
      </w:r>
      <w:r w:rsidRPr="00273363">
        <w:t>) нечітких змінних</w:t>
      </w:r>
    </w:p>
    <w:p w:rsidR="008632DE" w:rsidRPr="00273363" w:rsidRDefault="008632DE" w:rsidP="00F358A6">
      <w:pPr>
        <w:rPr>
          <w:lang w:val="uk-UA"/>
        </w:rPr>
      </w:pPr>
      <w:r w:rsidRPr="008632DE">
        <w:rPr>
          <w:lang w:val="uk-UA"/>
        </w:rPr>
        <w:lastRenderedPageBreak/>
        <w:t>Нечіткі правила, використовувані</w:t>
      </w:r>
      <w:r w:rsidR="00F715B8">
        <w:rPr>
          <w:lang w:val="uk-UA"/>
        </w:rPr>
        <w:t xml:space="preserve"> у</w:t>
      </w:r>
      <w:r w:rsidRPr="008632DE">
        <w:rPr>
          <w:lang w:val="uk-UA"/>
        </w:rPr>
        <w:t xml:space="preserve"> СНВ</w:t>
      </w:r>
      <w:r w:rsidR="004A35FA">
        <w:rPr>
          <w:lang w:val="uk-UA"/>
        </w:rPr>
        <w:t>,</w:t>
      </w:r>
      <w:r w:rsidRPr="008632DE">
        <w:rPr>
          <w:lang w:val="uk-UA"/>
        </w:rPr>
        <w:t xml:space="preserve"> </w:t>
      </w:r>
      <w:r w:rsidR="00566C88">
        <w:rPr>
          <w:lang w:val="uk-UA"/>
        </w:rPr>
        <w:t>зоб</w:t>
      </w:r>
      <w:r w:rsidR="006974A5">
        <w:rPr>
          <w:lang w:val="uk-UA"/>
        </w:rPr>
        <w:t>ражені у вигляді схеми на рис. 2</w:t>
      </w:r>
      <w:r w:rsidRPr="008632DE">
        <w:rPr>
          <w:lang w:val="uk-UA"/>
        </w:rPr>
        <w:t xml:space="preserve">. Перший рядок таблиці можна подати як правило "Якщо відстань </w:t>
      </w:r>
      <w:r w:rsidR="00F715B8">
        <w:rPr>
          <w:lang w:val="uk-UA"/>
        </w:rPr>
        <w:t>"</w:t>
      </w:r>
      <w:r w:rsidRPr="008632DE">
        <w:rPr>
          <w:lang w:val="uk-UA"/>
        </w:rPr>
        <w:t>далеко</w:t>
      </w:r>
      <w:r w:rsidR="00F715B8">
        <w:rPr>
          <w:lang w:val="uk-UA"/>
        </w:rPr>
        <w:t>"</w:t>
      </w:r>
      <w:r w:rsidRPr="008632DE">
        <w:rPr>
          <w:lang w:val="uk-UA"/>
        </w:rPr>
        <w:t xml:space="preserve"> і час оч</w:t>
      </w:r>
      <w:r w:rsidRPr="008632DE">
        <w:rPr>
          <w:lang w:val="uk-UA"/>
        </w:rPr>
        <w:t>і</w:t>
      </w:r>
      <w:r w:rsidRPr="008632DE">
        <w:rPr>
          <w:lang w:val="uk-UA"/>
        </w:rPr>
        <w:t xml:space="preserve">кування </w:t>
      </w:r>
      <w:r w:rsidR="00F715B8">
        <w:rPr>
          <w:lang w:val="uk-UA"/>
        </w:rPr>
        <w:t>"</w:t>
      </w:r>
      <w:r w:rsidRPr="008632DE">
        <w:rPr>
          <w:lang w:val="uk-UA"/>
        </w:rPr>
        <w:t>короткий</w:t>
      </w:r>
      <w:r w:rsidR="00F715B8">
        <w:rPr>
          <w:lang w:val="uk-UA"/>
        </w:rPr>
        <w:t>"</w:t>
      </w:r>
      <w:r w:rsidRPr="008632DE">
        <w:rPr>
          <w:lang w:val="uk-UA"/>
        </w:rPr>
        <w:t xml:space="preserve"> і частота запитів </w:t>
      </w:r>
      <w:r w:rsidR="00F715B8">
        <w:rPr>
          <w:lang w:val="uk-UA"/>
        </w:rPr>
        <w:t>"</w:t>
      </w:r>
      <w:r w:rsidRPr="008632DE">
        <w:rPr>
          <w:lang w:val="uk-UA"/>
        </w:rPr>
        <w:t>висока</w:t>
      </w:r>
      <w:r w:rsidR="00F715B8">
        <w:rPr>
          <w:lang w:val="uk-UA"/>
        </w:rPr>
        <w:t>"</w:t>
      </w:r>
      <w:r w:rsidRPr="008632DE">
        <w:rPr>
          <w:lang w:val="uk-UA"/>
        </w:rPr>
        <w:t xml:space="preserve">, то пріоритет </w:t>
      </w:r>
      <w:r w:rsidR="00F715B8">
        <w:rPr>
          <w:lang w:val="uk-UA"/>
        </w:rPr>
        <w:t>"</w:t>
      </w:r>
      <w:r w:rsidRPr="008632DE">
        <w:rPr>
          <w:lang w:val="uk-UA"/>
        </w:rPr>
        <w:t>низький</w:t>
      </w:r>
      <w:r w:rsidR="00F715B8">
        <w:rPr>
          <w:lang w:val="uk-UA"/>
        </w:rPr>
        <w:t>"</w:t>
      </w:r>
      <w:r w:rsidRPr="008632DE">
        <w:rPr>
          <w:lang w:val="uk-UA"/>
        </w:rPr>
        <w:t xml:space="preserve">". Інші правила формуються аналогічно. Для </w:t>
      </w:r>
      <w:r w:rsidR="004A35FA">
        <w:rPr>
          <w:lang w:val="uk-UA"/>
        </w:rPr>
        <w:t>виведення</w:t>
      </w:r>
      <w:r w:rsidRPr="008632DE">
        <w:rPr>
          <w:lang w:val="uk-UA"/>
        </w:rPr>
        <w:t xml:space="preserve"> використовується метод Mamdani.</w:t>
      </w:r>
    </w:p>
    <w:p w:rsidR="008632DE" w:rsidRPr="00273363" w:rsidRDefault="000E13FE" w:rsidP="008632DE">
      <w:pPr>
        <w:pStyle w:val="tabhead1"/>
        <w:rPr>
          <w:lang w:val="uk-UA"/>
        </w:rPr>
      </w:pPr>
      <w:r w:rsidRPr="001F1474">
        <w:rPr>
          <w:noProof/>
          <w:color w:val="FF0000"/>
          <w:szCs w:val="22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0.5pt;margin-top:8.95pt;width:30.85pt;height:64.25pt;z-index:251665408" filled="f" stroked="f">
            <v:textbox style="layout-flow:vertical;mso-layout-flow-alt:bottom-to-top;mso-next-textbox:#_x0000_s1035">
              <w:txbxContent>
                <w:p w:rsidR="001F1474" w:rsidRPr="001F1474" w:rsidRDefault="001F1474" w:rsidP="001F1474">
                  <w:pPr>
                    <w:ind w:firstLine="0"/>
                    <w:jc w:val="center"/>
                    <w:rPr>
                      <w:color w:val="FF0000"/>
                      <w:szCs w:val="22"/>
                      <w:lang w:val="uk-UA"/>
                    </w:rPr>
                  </w:pPr>
                  <w:r w:rsidRPr="001F1474">
                    <w:rPr>
                      <w:color w:val="FF0000"/>
                      <w:szCs w:val="22"/>
                      <w:lang w:val="uk-UA"/>
                    </w:rPr>
                    <w:t>Відстань</w:t>
                  </w:r>
                </w:p>
              </w:txbxContent>
            </v:textbox>
          </v:shape>
        </w:pict>
      </w:r>
      <w:r w:rsidR="004C37DE">
        <w:rPr>
          <w:noProof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1.35pt;margin-top:22pt;width:0;height:120pt;flip:y;z-index:251659264" o:connectortype="straight">
            <v:stroke endarrow="block"/>
          </v:shape>
        </w:pict>
      </w: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2"/>
        <w:gridCol w:w="1428"/>
        <w:gridCol w:w="1389"/>
        <w:gridCol w:w="1389"/>
      </w:tblGrid>
      <w:tr w:rsidR="004C37DE" w:rsidRPr="004C37DE" w:rsidTr="001F1474"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Далеко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низький</w:t>
            </w:r>
          </w:p>
        </w:tc>
      </w:tr>
      <w:tr w:rsidR="004C37DE" w:rsidRPr="004C37DE" w:rsidTr="001F1474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Середня</w:t>
            </w:r>
          </w:p>
        </w:tc>
        <w:tc>
          <w:tcPr>
            <w:tcW w:w="1428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</w:tr>
      <w:tr w:rsidR="004C37DE" w:rsidRPr="0078606F" w:rsidTr="001F1474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Близько</w:t>
            </w:r>
          </w:p>
        </w:tc>
        <w:tc>
          <w:tcPr>
            <w:tcW w:w="1428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</w:tr>
      <w:tr w:rsidR="004C37DE" w:rsidRPr="004C37DE" w:rsidTr="001F1474">
        <w:tc>
          <w:tcPr>
            <w:tcW w:w="1272" w:type="dxa"/>
            <w:tcBorders>
              <w:top w:val="nil"/>
              <w:left w:val="nil"/>
              <w:right w:val="nil"/>
            </w:tcBorders>
            <w:vAlign w:val="center"/>
          </w:tcPr>
          <w:p w:rsidR="004C37DE" w:rsidRPr="001F1474" w:rsidRDefault="0078606F" w:rsidP="004C37DE">
            <w:pPr>
              <w:ind w:firstLine="0"/>
              <w:jc w:val="center"/>
              <w:rPr>
                <w:color w:val="0070C0"/>
                <w:szCs w:val="22"/>
                <w:lang w:val="uk-UA"/>
              </w:rPr>
            </w:pPr>
            <w:r>
              <w:rPr>
                <w:color w:val="0070C0"/>
                <w:szCs w:val="22"/>
                <w:lang w:val="uk-UA"/>
              </w:rPr>
              <w:t>Низька</w:t>
            </w:r>
          </w:p>
        </w:tc>
        <w:tc>
          <w:tcPr>
            <w:tcW w:w="1428" w:type="dxa"/>
            <w:tcBorders>
              <w:left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 w:rsidRPr="001F1474">
              <w:rPr>
                <w:color w:val="00B050"/>
                <w:szCs w:val="22"/>
                <w:lang w:val="uk-UA"/>
              </w:rPr>
              <w:t>Короткий</w:t>
            </w:r>
          </w:p>
        </w:tc>
        <w:tc>
          <w:tcPr>
            <w:tcW w:w="1389" w:type="dxa"/>
            <w:tcBorders>
              <w:left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 w:rsidRPr="001F1474">
              <w:rPr>
                <w:color w:val="00B050"/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tcBorders>
              <w:left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 w:rsidRPr="001F1474">
              <w:rPr>
                <w:color w:val="00B050"/>
                <w:szCs w:val="22"/>
                <w:lang w:val="uk-UA"/>
              </w:rPr>
              <w:t>Довгий</w:t>
            </w:r>
          </w:p>
        </w:tc>
      </w:tr>
    </w:tbl>
    <w:p w:rsidR="004C37DE" w:rsidRDefault="000E13FE" w:rsidP="008632DE">
      <w:pPr>
        <w:rPr>
          <w:lang w:val="en-US"/>
        </w:rPr>
      </w:pPr>
      <w:r>
        <w:rPr>
          <w:noProof/>
          <w:color w:val="0070C0"/>
          <w:szCs w:val="22"/>
          <w:lang w:val="uk-UA" w:eastAsia="uk-UA"/>
        </w:rPr>
        <w:pict>
          <v:shape id="_x0000_s1044" type="#_x0000_t202" style="position:absolute;left:0;text-align:left;margin-left:82.4pt;margin-top:7.15pt;width:30.85pt;height:64.25pt;z-index:251671552;mso-position-horizontal-relative:text;mso-position-vertical-relative:text" filled="f" stroked="f">
            <v:textbox style="layout-flow:vertical;mso-layout-flow-alt:bottom-to-top;mso-next-textbox:#_x0000_s1044">
              <w:txbxContent>
                <w:p w:rsidR="000E13FE" w:rsidRPr="001F1474" w:rsidRDefault="000E13FE" w:rsidP="000E13FE">
                  <w:pPr>
                    <w:ind w:firstLine="0"/>
                    <w:jc w:val="center"/>
                    <w:rPr>
                      <w:color w:val="FF0000"/>
                      <w:szCs w:val="22"/>
                      <w:lang w:val="uk-UA"/>
                    </w:rPr>
                  </w:pPr>
                  <w:r w:rsidRPr="001F1474">
                    <w:rPr>
                      <w:color w:val="FF0000"/>
                      <w:szCs w:val="22"/>
                      <w:lang w:val="uk-UA"/>
                    </w:rPr>
                    <w:t>Відстань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029" type="#_x0000_t32" style="position:absolute;left:0;text-align:left;margin-left:113.25pt;margin-top:17.65pt;width:0;height:138.75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026" type="#_x0000_t32" style="position:absolute;left:0;text-align:left;margin-left:51.35pt;margin-top:-.55pt;width:130.2pt;height:336pt;z-index:251658240;mso-position-horizontal-relative:text;mso-position-vertical-relative:text" o:connectortype="straight">
            <v:stroke endarrow="block"/>
          </v:shape>
        </w:pict>
      </w:r>
      <w:r w:rsidR="0078606F">
        <w:rPr>
          <w:noProof/>
          <w:lang w:val="uk-UA" w:eastAsia="uk-UA"/>
        </w:rPr>
        <w:pict>
          <v:shape id="_x0000_s1032" type="#_x0000_t32" style="position:absolute;left:0;text-align:left;margin-left:51.5pt;margin-top:-.55pt;width:286.35pt;height:0;z-index:251662336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2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2"/>
        <w:gridCol w:w="1428"/>
        <w:gridCol w:w="1389"/>
        <w:gridCol w:w="1389"/>
      </w:tblGrid>
      <w:tr w:rsidR="004C37DE" w:rsidRPr="004C37DE" w:rsidTr="000E13FE"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Далеко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Середній</w:t>
            </w:r>
          </w:p>
        </w:tc>
      </w:tr>
      <w:tr w:rsidR="004C37DE" w:rsidRPr="004C37DE" w:rsidTr="000E13FE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Середня</w:t>
            </w:r>
          </w:p>
        </w:tc>
        <w:tc>
          <w:tcPr>
            <w:tcW w:w="1428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</w:tr>
      <w:tr w:rsidR="004C37DE" w:rsidRPr="004C37DE" w:rsidTr="000E13FE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1F1474">
              <w:rPr>
                <w:color w:val="FF0000"/>
                <w:szCs w:val="22"/>
                <w:lang w:val="uk-UA"/>
              </w:rPr>
              <w:t>Близько</w:t>
            </w:r>
          </w:p>
        </w:tc>
        <w:tc>
          <w:tcPr>
            <w:tcW w:w="1428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Середньо</w:t>
            </w:r>
          </w:p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4C37DE" w:rsidRPr="004C37DE" w:rsidRDefault="004C37DE" w:rsidP="004C37DE">
            <w:pPr>
              <w:ind w:firstLine="0"/>
              <w:jc w:val="center"/>
              <w:rPr>
                <w:szCs w:val="22"/>
                <w:lang w:val="en-US"/>
              </w:rPr>
            </w:pPr>
            <w:r w:rsidRPr="004C37DE">
              <w:rPr>
                <w:szCs w:val="22"/>
                <w:lang w:val="uk-UA"/>
              </w:rPr>
              <w:t>Високий</w:t>
            </w:r>
          </w:p>
        </w:tc>
      </w:tr>
      <w:tr w:rsidR="004C37DE" w:rsidRPr="004C37DE" w:rsidTr="000E13FE"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70C0"/>
                <w:szCs w:val="22"/>
                <w:lang w:val="uk-UA"/>
              </w:rPr>
            </w:pPr>
            <w:r w:rsidRPr="001F1474">
              <w:rPr>
                <w:color w:val="0070C0"/>
                <w:szCs w:val="22"/>
                <w:lang w:val="uk-UA"/>
              </w:rPr>
              <w:t>Середня</w:t>
            </w:r>
          </w:p>
        </w:tc>
        <w:tc>
          <w:tcPr>
            <w:tcW w:w="1428" w:type="dxa"/>
            <w:tcBorders>
              <w:left w:val="nil"/>
              <w:bottom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 w:rsidRPr="001F1474">
              <w:rPr>
                <w:color w:val="00B050"/>
                <w:szCs w:val="22"/>
                <w:lang w:val="uk-UA"/>
              </w:rPr>
              <w:t>Короткий</w:t>
            </w:r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  <w:vAlign w:val="center"/>
          </w:tcPr>
          <w:p w:rsidR="004C37DE" w:rsidRPr="001F1474" w:rsidRDefault="00F358A6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>
              <w:rPr>
                <w:noProof/>
                <w:lang w:val="uk-UA" w:eastAsia="uk-UA"/>
              </w:rPr>
              <w:pict>
                <v:shape id="_x0000_s1047" type="#_x0000_t202" style="position:absolute;left:0;text-align:left;margin-left:-6.9pt;margin-top:-138.6pt;width:101.1pt;height:22.7pt;z-index:251674624;mso-position-horizontal-relative:text;mso-position-vertical-relative:text" filled="f" stroked="f">
                  <v:textbox style="mso-next-textbox:#_x0000_s1047">
                    <w:txbxContent>
                      <w:p w:rsidR="00F358A6" w:rsidRPr="001F1474" w:rsidRDefault="00F358A6" w:rsidP="00F358A6">
                        <w:pPr>
                          <w:ind w:firstLine="0"/>
                          <w:jc w:val="center"/>
                          <w:rPr>
                            <w:color w:val="00B050"/>
                            <w:szCs w:val="22"/>
                            <w:lang w:val="uk-UA"/>
                          </w:rPr>
                        </w:pPr>
                        <w:r w:rsidRPr="001F1474">
                          <w:rPr>
                            <w:color w:val="00B050"/>
                            <w:szCs w:val="22"/>
                            <w:lang w:val="uk-UA"/>
                          </w:rPr>
                          <w:t>Час очікува</w:t>
                        </w:r>
                        <w:r w:rsidRPr="001F1474">
                          <w:rPr>
                            <w:color w:val="00B050"/>
                            <w:szCs w:val="22"/>
                            <w:lang w:val="uk-UA"/>
                          </w:rPr>
                          <w:t>н</w:t>
                        </w:r>
                        <w:r w:rsidRPr="001F1474">
                          <w:rPr>
                            <w:color w:val="00B050"/>
                            <w:szCs w:val="22"/>
                            <w:lang w:val="uk-UA"/>
                          </w:rPr>
                          <w:t>ня</w:t>
                        </w:r>
                      </w:p>
                    </w:txbxContent>
                  </v:textbox>
                </v:shape>
              </w:pict>
            </w:r>
            <w:r w:rsidR="004C37DE" w:rsidRPr="001F1474">
              <w:rPr>
                <w:color w:val="00B050"/>
                <w:szCs w:val="22"/>
                <w:lang w:val="uk-UA"/>
              </w:rPr>
              <w:t>Середній</w:t>
            </w:r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  <w:vAlign w:val="center"/>
          </w:tcPr>
          <w:p w:rsidR="004C37DE" w:rsidRPr="001F1474" w:rsidRDefault="004C37DE" w:rsidP="004C37DE">
            <w:pPr>
              <w:ind w:firstLine="0"/>
              <w:jc w:val="center"/>
              <w:rPr>
                <w:color w:val="00B050"/>
                <w:szCs w:val="22"/>
                <w:lang w:val="en-US"/>
              </w:rPr>
            </w:pPr>
            <w:r w:rsidRPr="001F1474">
              <w:rPr>
                <w:color w:val="00B050"/>
                <w:szCs w:val="22"/>
                <w:lang w:val="uk-UA"/>
              </w:rPr>
              <w:t>Довгий</w:t>
            </w:r>
          </w:p>
        </w:tc>
      </w:tr>
    </w:tbl>
    <w:p w:rsidR="004C37DE" w:rsidRDefault="00F358A6" w:rsidP="008632DE">
      <w:pPr>
        <w:rPr>
          <w:lang w:val="en-US"/>
        </w:rPr>
      </w:pPr>
      <w:r>
        <w:rPr>
          <w:noProof/>
          <w:lang w:val="uk-UA" w:eastAsia="uk-UA"/>
        </w:rPr>
        <w:pict>
          <v:shape id="_x0000_s1046" type="#_x0000_t202" style="position:absolute;left:0;text-align:left;margin-left:303.5pt;margin-top:.1pt;width:101.1pt;height:22.7pt;z-index:251673600;mso-position-horizontal-relative:text;mso-position-vertical-relative:text" filled="f" stroked="f">
            <v:textbox style="mso-next-textbox:#_x0000_s1046">
              <w:txbxContent>
                <w:p w:rsidR="00F358A6" w:rsidRPr="001F1474" w:rsidRDefault="00F358A6" w:rsidP="00F358A6">
                  <w:pPr>
                    <w:ind w:firstLine="0"/>
                    <w:jc w:val="center"/>
                    <w:rPr>
                      <w:color w:val="00B050"/>
                      <w:szCs w:val="22"/>
                      <w:lang w:val="uk-UA"/>
                    </w:rPr>
                  </w:pPr>
                  <w:r w:rsidRPr="001F1474">
                    <w:rPr>
                      <w:color w:val="00B050"/>
                      <w:szCs w:val="22"/>
                      <w:lang w:val="uk-UA"/>
                    </w:rPr>
                    <w:t>Час очікува</w:t>
                  </w:r>
                  <w:r w:rsidRPr="001F1474">
                    <w:rPr>
                      <w:color w:val="00B050"/>
                      <w:szCs w:val="22"/>
                      <w:lang w:val="uk-UA"/>
                    </w:rPr>
                    <w:t>н</w:t>
                  </w:r>
                  <w:r w:rsidRPr="001F1474">
                    <w:rPr>
                      <w:color w:val="00B050"/>
                      <w:szCs w:val="22"/>
                      <w:lang w:val="uk-UA"/>
                    </w:rPr>
                    <w:t>ня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045" type="#_x0000_t202" style="position:absolute;left:0;text-align:left;margin-left:142.85pt;margin-top:5.2pt;width:30.85pt;height:64.25pt;z-index:251672576;mso-position-horizontal-relative:text;mso-position-vertical-relative:text" filled="f" stroked="f">
            <v:textbox style="layout-flow:vertical;mso-layout-flow-alt:bottom-to-top;mso-next-textbox:#_x0000_s1045">
              <w:txbxContent>
                <w:p w:rsidR="00F358A6" w:rsidRPr="001F1474" w:rsidRDefault="00F358A6" w:rsidP="00F358A6">
                  <w:pPr>
                    <w:ind w:firstLine="0"/>
                    <w:jc w:val="center"/>
                    <w:rPr>
                      <w:color w:val="FF0000"/>
                      <w:szCs w:val="22"/>
                      <w:lang w:val="uk-UA"/>
                    </w:rPr>
                  </w:pPr>
                  <w:r w:rsidRPr="001F1474">
                    <w:rPr>
                      <w:color w:val="FF0000"/>
                      <w:szCs w:val="22"/>
                      <w:lang w:val="uk-UA"/>
                    </w:rPr>
                    <w:t>Відстань</w:t>
                  </w:r>
                </w:p>
              </w:txbxContent>
            </v:textbox>
          </v:shape>
        </w:pict>
      </w:r>
      <w:r w:rsidR="000E13FE">
        <w:rPr>
          <w:noProof/>
          <w:lang w:val="uk-UA" w:eastAsia="uk-UA"/>
        </w:rPr>
        <w:pict>
          <v:shape id="_x0000_s1031" type="#_x0000_t32" style="position:absolute;left:0;text-align:left;margin-left:173.7pt;margin-top:17.2pt;width:0;height:140.25pt;flip:y;z-index:251661312;mso-position-horizontal-relative:text;mso-position-vertical-relative:text" o:connectortype="straight">
            <v:stroke endarrow="block"/>
          </v:shape>
        </w:pict>
      </w:r>
      <w:r w:rsidR="0078606F" w:rsidRPr="001F1474">
        <w:rPr>
          <w:noProof/>
          <w:color w:val="0070C0"/>
          <w:szCs w:val="22"/>
          <w:lang w:val="uk-UA" w:eastAsia="uk-UA"/>
        </w:rPr>
        <w:pict>
          <v:shape id="_x0000_s1033" type="#_x0000_t32" style="position:absolute;left:0;text-align:left;margin-left:112.3pt;margin-top:.1pt;width:285.55pt;height:0;z-index:251663360;mso-position-horizontal-relative:text;mso-position-vertical-relative:text" o:connectortype="straight">
            <v:stroke endarrow="block"/>
          </v:shape>
        </w:pict>
      </w:r>
    </w:p>
    <w:tbl>
      <w:tblPr>
        <w:tblStyle w:val="af5"/>
        <w:tblW w:w="0" w:type="auto"/>
        <w:tblInd w:w="3609" w:type="dxa"/>
        <w:tblLook w:val="04A0"/>
      </w:tblPr>
      <w:tblGrid>
        <w:gridCol w:w="1272"/>
        <w:gridCol w:w="1428"/>
        <w:gridCol w:w="1389"/>
        <w:gridCol w:w="1389"/>
      </w:tblGrid>
      <w:tr w:rsidR="002365A6" w:rsidTr="000E13FE"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365A6" w:rsidRPr="001F1474" w:rsidRDefault="002365A6" w:rsidP="002365A6">
            <w:pPr>
              <w:ind w:firstLine="0"/>
              <w:jc w:val="center"/>
              <w:rPr>
                <w:color w:val="FF0000"/>
                <w:lang w:val="en-US"/>
              </w:rPr>
            </w:pPr>
            <w:r w:rsidRPr="001F1474">
              <w:rPr>
                <w:color w:val="FF0000"/>
                <w:lang w:val="uk-UA"/>
              </w:rPr>
              <w:t>Далеко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FC7FA7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Середньо</w:t>
            </w:r>
          </w:p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низький</w:t>
            </w:r>
          </w:p>
        </w:tc>
      </w:tr>
      <w:tr w:rsidR="002365A6" w:rsidTr="000E13FE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2365A6" w:rsidRPr="001F1474" w:rsidRDefault="002365A6" w:rsidP="001F1474">
            <w:pPr>
              <w:ind w:firstLine="0"/>
              <w:jc w:val="center"/>
              <w:rPr>
                <w:color w:val="FF0000"/>
                <w:lang w:val="en-US"/>
              </w:rPr>
            </w:pPr>
            <w:r w:rsidRPr="001F1474">
              <w:rPr>
                <w:color w:val="FF0000"/>
                <w:lang w:val="uk-UA"/>
              </w:rPr>
              <w:t>Середня</w:t>
            </w:r>
          </w:p>
        </w:tc>
        <w:tc>
          <w:tcPr>
            <w:tcW w:w="1428" w:type="dxa"/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Середній</w:t>
            </w:r>
          </w:p>
        </w:tc>
        <w:tc>
          <w:tcPr>
            <w:tcW w:w="1389" w:type="dxa"/>
            <w:vAlign w:val="center"/>
          </w:tcPr>
          <w:p w:rsidR="00FC7FA7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Середньо</w:t>
            </w:r>
          </w:p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низький</w:t>
            </w:r>
          </w:p>
        </w:tc>
        <w:tc>
          <w:tcPr>
            <w:tcW w:w="1389" w:type="dxa"/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Середній</w:t>
            </w:r>
          </w:p>
        </w:tc>
      </w:tr>
      <w:tr w:rsidR="002365A6" w:rsidTr="000E13FE">
        <w:tc>
          <w:tcPr>
            <w:tcW w:w="1272" w:type="dxa"/>
            <w:tcBorders>
              <w:top w:val="nil"/>
              <w:left w:val="nil"/>
              <w:bottom w:val="nil"/>
            </w:tcBorders>
            <w:vAlign w:val="center"/>
          </w:tcPr>
          <w:p w:rsidR="002365A6" w:rsidRPr="001F1474" w:rsidRDefault="002365A6" w:rsidP="002365A6">
            <w:pPr>
              <w:ind w:firstLine="0"/>
              <w:jc w:val="center"/>
              <w:rPr>
                <w:color w:val="FF0000"/>
                <w:lang w:val="en-US"/>
              </w:rPr>
            </w:pPr>
            <w:r w:rsidRPr="001F1474">
              <w:rPr>
                <w:color w:val="FF0000"/>
                <w:lang w:val="uk-UA"/>
              </w:rPr>
              <w:t>Близько</w:t>
            </w:r>
          </w:p>
        </w:tc>
        <w:tc>
          <w:tcPr>
            <w:tcW w:w="1428" w:type="dxa"/>
            <w:tcBorders>
              <w:bottom w:val="single" w:sz="4" w:space="0" w:color="000000"/>
            </w:tcBorders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Середній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FC7FA7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Середньо</w:t>
            </w:r>
          </w:p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низький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  <w:vAlign w:val="center"/>
          </w:tcPr>
          <w:p w:rsidR="002365A6" w:rsidRDefault="00FC7FA7" w:rsidP="00FC7FA7">
            <w:pPr>
              <w:ind w:firstLine="0"/>
              <w:jc w:val="center"/>
              <w:rPr>
                <w:lang w:val="en-US"/>
              </w:rPr>
            </w:pPr>
            <w:r w:rsidRPr="00FC7FA7">
              <w:rPr>
                <w:lang w:val="uk-UA"/>
              </w:rPr>
              <w:t>Середній</w:t>
            </w:r>
          </w:p>
        </w:tc>
      </w:tr>
      <w:tr w:rsidR="000536C5" w:rsidTr="000E13FE"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36C5" w:rsidRPr="001F1474" w:rsidRDefault="000536C5" w:rsidP="000536C5">
            <w:pPr>
              <w:ind w:firstLine="0"/>
              <w:jc w:val="center"/>
              <w:rPr>
                <w:color w:val="0070C0"/>
                <w:lang w:val="uk-UA"/>
              </w:rPr>
            </w:pPr>
            <w:r w:rsidRPr="001F1474">
              <w:rPr>
                <w:color w:val="0070C0"/>
                <w:lang w:val="uk-UA"/>
              </w:rPr>
              <w:t>Висока</w:t>
            </w:r>
          </w:p>
        </w:tc>
        <w:tc>
          <w:tcPr>
            <w:tcW w:w="1428" w:type="dxa"/>
            <w:tcBorders>
              <w:left w:val="nil"/>
              <w:bottom w:val="nil"/>
              <w:right w:val="nil"/>
            </w:tcBorders>
            <w:vAlign w:val="center"/>
          </w:tcPr>
          <w:p w:rsidR="000536C5" w:rsidRPr="001F1474" w:rsidRDefault="000536C5" w:rsidP="006853D3">
            <w:pPr>
              <w:ind w:firstLine="0"/>
              <w:jc w:val="center"/>
              <w:rPr>
                <w:color w:val="00B050"/>
                <w:lang w:val="en-US"/>
              </w:rPr>
            </w:pPr>
            <w:r w:rsidRPr="001F1474">
              <w:rPr>
                <w:color w:val="00B050"/>
                <w:lang w:val="uk-UA"/>
              </w:rPr>
              <w:t>Короткий</w:t>
            </w:r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  <w:vAlign w:val="center"/>
          </w:tcPr>
          <w:p w:rsidR="000536C5" w:rsidRPr="001F1474" w:rsidRDefault="000536C5" w:rsidP="006853D3">
            <w:pPr>
              <w:ind w:firstLine="0"/>
              <w:jc w:val="center"/>
              <w:rPr>
                <w:color w:val="00B050"/>
                <w:lang w:val="en-US"/>
              </w:rPr>
            </w:pPr>
            <w:r w:rsidRPr="001F1474">
              <w:rPr>
                <w:color w:val="00B050"/>
                <w:lang w:val="uk-UA"/>
              </w:rPr>
              <w:t>Середній</w:t>
            </w:r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  <w:vAlign w:val="center"/>
          </w:tcPr>
          <w:p w:rsidR="000536C5" w:rsidRPr="001F1474" w:rsidRDefault="000536C5" w:rsidP="006853D3">
            <w:pPr>
              <w:ind w:firstLine="0"/>
              <w:jc w:val="center"/>
              <w:rPr>
                <w:color w:val="00B050"/>
                <w:lang w:val="en-US"/>
              </w:rPr>
            </w:pPr>
            <w:r w:rsidRPr="001F1474">
              <w:rPr>
                <w:color w:val="00B050"/>
                <w:lang w:val="uk-UA"/>
              </w:rPr>
              <w:t>Довгий</w:t>
            </w:r>
          </w:p>
        </w:tc>
      </w:tr>
    </w:tbl>
    <w:p w:rsidR="002365A6" w:rsidRDefault="00F358A6" w:rsidP="008632DE">
      <w:pPr>
        <w:rPr>
          <w:lang w:val="en-US"/>
        </w:rPr>
      </w:pPr>
      <w:r w:rsidRPr="001F1474">
        <w:rPr>
          <w:noProof/>
          <w:color w:val="00B050"/>
          <w:lang w:val="uk-UA" w:eastAsia="uk-UA"/>
        </w:rPr>
        <w:pict>
          <v:shape id="_x0000_s1040" type="#_x0000_t202" style="position:absolute;left:0;text-align:left;margin-left:369.8pt;margin-top:-.05pt;width:101.1pt;height:22.7pt;z-index:251670528;mso-position-horizontal-relative:text;mso-position-vertical-relative:text" filled="f" stroked="f">
            <v:textbox style="mso-next-textbox:#_x0000_s1040">
              <w:txbxContent>
                <w:p w:rsidR="001F1474" w:rsidRPr="001F1474" w:rsidRDefault="001F1474" w:rsidP="001F1474">
                  <w:pPr>
                    <w:ind w:firstLine="0"/>
                    <w:jc w:val="center"/>
                    <w:rPr>
                      <w:color w:val="00B050"/>
                      <w:szCs w:val="22"/>
                      <w:lang w:val="uk-UA"/>
                    </w:rPr>
                  </w:pPr>
                  <w:r w:rsidRPr="001F1474">
                    <w:rPr>
                      <w:color w:val="00B050"/>
                      <w:szCs w:val="22"/>
                      <w:lang w:val="uk-UA"/>
                    </w:rPr>
                    <w:t>Час очікува</w:t>
                  </w:r>
                  <w:r w:rsidRPr="001F1474">
                    <w:rPr>
                      <w:color w:val="00B050"/>
                      <w:szCs w:val="22"/>
                      <w:lang w:val="uk-UA"/>
                    </w:rPr>
                    <w:t>н</w:t>
                  </w:r>
                  <w:r w:rsidRPr="001F1474">
                    <w:rPr>
                      <w:color w:val="00B050"/>
                      <w:szCs w:val="22"/>
                      <w:lang w:val="uk-UA"/>
                    </w:rPr>
                    <w:t>ня</w:t>
                  </w:r>
                </w:p>
              </w:txbxContent>
            </v:textbox>
          </v:shape>
        </w:pict>
      </w:r>
      <w:r w:rsidR="0078606F" w:rsidRPr="001F1474">
        <w:rPr>
          <w:noProof/>
          <w:color w:val="0070C0"/>
          <w:lang w:val="uk-UA" w:eastAsia="uk-UA"/>
        </w:rPr>
        <w:pict>
          <v:shape id="_x0000_s1034" type="#_x0000_t32" style="position:absolute;left:0;text-align:left;margin-left:174.45pt;margin-top:-.05pt;width:288.65pt;height:0;z-index:251664384;mso-position-horizontal-relative:text;mso-position-vertical-relative:text" o:connectortype="straight">
            <v:stroke endarrow="block"/>
          </v:shape>
        </w:pict>
      </w:r>
    </w:p>
    <w:p w:rsidR="000536C5" w:rsidRDefault="00F358A6" w:rsidP="008632DE">
      <w:pPr>
        <w:rPr>
          <w:lang w:val="en-US"/>
        </w:rPr>
      </w:pPr>
      <w:r>
        <w:rPr>
          <w:noProof/>
          <w:lang w:val="uk-UA" w:eastAsia="uk-UA"/>
        </w:rPr>
        <w:pict>
          <v:shape id="_x0000_s1048" type="#_x0000_t202" style="position:absolute;left:0;text-align:left;margin-left:160.2pt;margin-top:1.1pt;width:104.9pt;height:21.75pt;z-index:251675648" filled="f" stroked="f">
            <v:textbox style="mso-next-textbox:#_x0000_s1048">
              <w:txbxContent>
                <w:p w:rsidR="00F358A6" w:rsidRPr="00F358A6" w:rsidRDefault="00F358A6" w:rsidP="00F358A6">
                  <w:pPr>
                    <w:ind w:firstLine="0"/>
                    <w:rPr>
                      <w:color w:val="0070C0"/>
                      <w:lang w:val="uk-UA"/>
                    </w:rPr>
                  </w:pPr>
                  <w:r w:rsidRPr="00F358A6">
                    <w:rPr>
                      <w:color w:val="0070C0"/>
                      <w:lang w:val="uk-UA"/>
                    </w:rPr>
                    <w:t>Частота зап</w:t>
                  </w:r>
                  <w:r w:rsidRPr="00F358A6">
                    <w:rPr>
                      <w:color w:val="0070C0"/>
                      <w:lang w:val="uk-UA"/>
                    </w:rPr>
                    <w:t>и</w:t>
                  </w:r>
                  <w:r w:rsidRPr="00F358A6">
                    <w:rPr>
                      <w:color w:val="0070C0"/>
                      <w:lang w:val="uk-UA"/>
                    </w:rPr>
                    <w:t>тів</w:t>
                  </w:r>
                </w:p>
              </w:txbxContent>
            </v:textbox>
          </v:shape>
        </w:pict>
      </w:r>
    </w:p>
    <w:p w:rsidR="000536C5" w:rsidRDefault="000536C5" w:rsidP="000536C5">
      <w:pPr>
        <w:ind w:firstLine="0"/>
        <w:rPr>
          <w:lang w:val="en-US"/>
        </w:rPr>
      </w:pPr>
    </w:p>
    <w:p w:rsidR="000536C5" w:rsidRPr="00F358A6" w:rsidRDefault="00F358A6" w:rsidP="00F358A6">
      <w:pPr>
        <w:ind w:firstLine="0"/>
        <w:jc w:val="center"/>
      </w:pPr>
      <w:r>
        <w:rPr>
          <w:lang w:val="uk-UA"/>
        </w:rPr>
        <w:t xml:space="preserve">Рисунок </w:t>
      </w:r>
      <w:r w:rsidR="00566C88">
        <w:rPr>
          <w:lang w:val="uk-UA"/>
        </w:rPr>
        <w:t>2</w:t>
      </w:r>
      <w:r>
        <w:rPr>
          <w:lang w:val="uk-UA"/>
        </w:rPr>
        <w:t>.</w:t>
      </w:r>
      <w:r w:rsidR="00566C88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273363">
        <w:rPr>
          <w:lang w:val="uk-UA"/>
        </w:rPr>
        <w:t>База нечітких правил СНВ</w:t>
      </w:r>
    </w:p>
    <w:p w:rsidR="000536C5" w:rsidRPr="00F358A6" w:rsidRDefault="000536C5" w:rsidP="008632DE"/>
    <w:p w:rsidR="008632DE" w:rsidRPr="008632DE" w:rsidRDefault="008632DE" w:rsidP="008632DE">
      <w:pPr>
        <w:rPr>
          <w:lang w:val="uk-UA"/>
        </w:rPr>
      </w:pPr>
      <w:r w:rsidRPr="008632DE">
        <w:rPr>
          <w:lang w:val="uk-UA"/>
        </w:rPr>
        <w:t>Процес прийняття рішення відбувається наступним чином. Як тільки АДАТМ стає вільним, він перевіряє робочий список. АДАТМ призначає кожн</w:t>
      </w:r>
      <w:r w:rsidRPr="008632DE">
        <w:rPr>
          <w:lang w:val="uk-UA"/>
        </w:rPr>
        <w:t>о</w:t>
      </w:r>
      <w:r w:rsidRPr="008632DE">
        <w:rPr>
          <w:lang w:val="uk-UA"/>
        </w:rPr>
        <w:lastRenderedPageBreak/>
        <w:t>му АО зі списку пріоритет відповідно до нечітких пр</w:t>
      </w:r>
      <w:r w:rsidRPr="008632DE">
        <w:rPr>
          <w:lang w:val="uk-UA"/>
        </w:rPr>
        <w:t>а</w:t>
      </w:r>
      <w:r w:rsidRPr="008632DE">
        <w:rPr>
          <w:lang w:val="uk-UA"/>
        </w:rPr>
        <w:t>вил. Він обчислює відстань і запитує час очікування і частоту запитів від АО. Далі АДАТМ передає цю і</w:t>
      </w:r>
      <w:r w:rsidRPr="008632DE">
        <w:rPr>
          <w:lang w:val="uk-UA"/>
        </w:rPr>
        <w:t>н</w:t>
      </w:r>
      <w:r w:rsidRPr="008632DE">
        <w:rPr>
          <w:lang w:val="uk-UA"/>
        </w:rPr>
        <w:t>формацію до СНВ, яка визначає пріоритет. На виході СНВ маємо вже дефазиф</w:t>
      </w:r>
      <w:r w:rsidRPr="008632DE">
        <w:rPr>
          <w:lang w:val="uk-UA"/>
        </w:rPr>
        <w:t>і</w:t>
      </w:r>
      <w:r w:rsidRPr="008632DE">
        <w:rPr>
          <w:lang w:val="uk-UA"/>
        </w:rPr>
        <w:t>кований пріоритет, тобто його значення є дійсним чи</w:t>
      </w:r>
      <w:r w:rsidRPr="008632DE">
        <w:rPr>
          <w:lang w:val="uk-UA"/>
        </w:rPr>
        <w:t>с</w:t>
      </w:r>
      <w:r w:rsidRPr="008632DE">
        <w:rPr>
          <w:lang w:val="uk-UA"/>
        </w:rPr>
        <w:t>лом, а не лінгвістичною змінною, яка використовується в нечітких правилах. П</w:t>
      </w:r>
      <w:r w:rsidRPr="008632DE">
        <w:rPr>
          <w:lang w:val="uk-UA"/>
        </w:rPr>
        <w:t>і</w:t>
      </w:r>
      <w:r w:rsidRPr="008632DE">
        <w:rPr>
          <w:lang w:val="uk-UA"/>
        </w:rPr>
        <w:t xml:space="preserve">сля того, як кожнен АО отримав пріоритет, АДАТМ </w:t>
      </w:r>
      <w:r w:rsidR="004A35FA">
        <w:rPr>
          <w:lang w:val="uk-UA"/>
        </w:rPr>
        <w:t>вибирає</w:t>
      </w:r>
      <w:r w:rsidRPr="008632DE">
        <w:rPr>
          <w:lang w:val="uk-UA"/>
        </w:rPr>
        <w:t xml:space="preserve"> АО з найвищим пріоритетом і запитує з</w:t>
      </w:r>
      <w:r w:rsidRPr="008632DE">
        <w:rPr>
          <w:lang w:val="uk-UA"/>
        </w:rPr>
        <w:t>а</w:t>
      </w:r>
      <w:r w:rsidRPr="008632DE">
        <w:rPr>
          <w:lang w:val="uk-UA"/>
        </w:rPr>
        <w:t>дачу від нього. Якщо два або більше АО мають однаковий пріоритет, буде обр</w:t>
      </w:r>
      <w:r w:rsidRPr="008632DE">
        <w:rPr>
          <w:lang w:val="uk-UA"/>
        </w:rPr>
        <w:t>а</w:t>
      </w:r>
      <w:r w:rsidRPr="008632DE">
        <w:rPr>
          <w:lang w:val="uk-UA"/>
        </w:rPr>
        <w:t>но той, запит від якого надійшов раніше.</w:t>
      </w:r>
    </w:p>
    <w:p w:rsidR="0090478C" w:rsidRPr="000506A3" w:rsidRDefault="008632DE" w:rsidP="0090478C">
      <w:pPr>
        <w:pStyle w:val="21"/>
        <w:rPr>
          <w:lang w:val="uk-UA"/>
        </w:rPr>
      </w:pPr>
      <w:r w:rsidRPr="008632DE">
        <w:rPr>
          <w:lang w:val="uk-UA"/>
        </w:rPr>
        <w:t>Результати моделювання</w:t>
      </w:r>
    </w:p>
    <w:p w:rsidR="008632DE" w:rsidRDefault="008632DE" w:rsidP="008632DE">
      <w:pPr>
        <w:rPr>
          <w:lang w:val="uk-UA"/>
        </w:rPr>
      </w:pPr>
      <w:r w:rsidRPr="008632DE">
        <w:rPr>
          <w:lang w:val="uk-UA"/>
        </w:rPr>
        <w:t>У [2] проводилося моделювання ГВС із застосуванням кількох типових структур та наборів технологічних операцій. Порівнювалися результати мульт</w:t>
      </w:r>
      <w:r w:rsidRPr="008632DE">
        <w:rPr>
          <w:lang w:val="uk-UA"/>
        </w:rPr>
        <w:t>и</w:t>
      </w:r>
      <w:r w:rsidRPr="008632DE">
        <w:rPr>
          <w:lang w:val="uk-UA"/>
        </w:rPr>
        <w:t xml:space="preserve">агентної системи диспетчеризації на основі </w:t>
      </w:r>
      <w:r w:rsidR="00F97EB7">
        <w:rPr>
          <w:lang w:val="uk-UA"/>
        </w:rPr>
        <w:t>CNET</w:t>
      </w:r>
      <w:r w:rsidRPr="008632DE">
        <w:rPr>
          <w:lang w:val="uk-UA"/>
        </w:rPr>
        <w:t xml:space="preserve"> та з використанням правил диспетчеризації, зокрема First Come First Served (FCFS). </w:t>
      </w:r>
      <w:r w:rsidR="00F97EB7">
        <w:rPr>
          <w:lang w:val="uk-UA"/>
        </w:rPr>
        <w:t xml:space="preserve">Для однієї з типових структур було проведено моделювання роботи методу на основі СНВ. </w:t>
      </w:r>
      <w:r w:rsidRPr="008632DE">
        <w:rPr>
          <w:lang w:val="uk-UA"/>
        </w:rPr>
        <w:t>На рис. 2 зображено графік залежності середнього часу простою АТМ від часу модел</w:t>
      </w:r>
      <w:r w:rsidRPr="008632DE">
        <w:rPr>
          <w:lang w:val="uk-UA"/>
        </w:rPr>
        <w:t>ю</w:t>
      </w:r>
      <w:r w:rsidRPr="008632DE">
        <w:rPr>
          <w:lang w:val="uk-UA"/>
        </w:rPr>
        <w:t>вання</w:t>
      </w:r>
      <w:r w:rsidR="00F97EB7">
        <w:rPr>
          <w:lang w:val="uk-UA"/>
        </w:rPr>
        <w:t xml:space="preserve"> для трьох наведених методів</w:t>
      </w:r>
      <w:r w:rsidRPr="008632DE">
        <w:rPr>
          <w:lang w:val="uk-UA"/>
        </w:rPr>
        <w:t>.</w:t>
      </w:r>
    </w:p>
    <w:p w:rsidR="009111BD" w:rsidRPr="008632DE" w:rsidRDefault="009111BD" w:rsidP="008632DE">
      <w:pPr>
        <w:rPr>
          <w:lang w:val="uk-UA"/>
        </w:rPr>
      </w:pPr>
    </w:p>
    <w:p w:rsidR="008632DE" w:rsidRPr="008632DE" w:rsidRDefault="00872506" w:rsidP="008632DE">
      <w:pPr>
        <w:jc w:val="center"/>
        <w:rPr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90950" cy="2314575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DE" w:rsidRDefault="008632DE" w:rsidP="005A2533">
      <w:pPr>
        <w:jc w:val="center"/>
        <w:rPr>
          <w:lang w:val="uk-UA"/>
        </w:rPr>
      </w:pPr>
      <w:r w:rsidRPr="008632DE">
        <w:rPr>
          <w:lang w:val="uk-UA"/>
        </w:rPr>
        <w:t>Рисунок 2. – Графік залежності середнього часу очікування АТМ</w:t>
      </w:r>
    </w:p>
    <w:p w:rsidR="009111BD" w:rsidRPr="008632DE" w:rsidRDefault="009111BD" w:rsidP="005A2533">
      <w:pPr>
        <w:jc w:val="center"/>
        <w:rPr>
          <w:lang w:val="uk-UA"/>
        </w:rPr>
      </w:pPr>
    </w:p>
    <w:p w:rsidR="005A2533" w:rsidRPr="005A2533" w:rsidRDefault="005A2533" w:rsidP="005A2533">
      <w:pPr>
        <w:rPr>
          <w:lang w:val="uk-UA"/>
        </w:rPr>
      </w:pPr>
      <w:r w:rsidRPr="005A2533">
        <w:rPr>
          <w:lang w:val="uk-UA"/>
        </w:rPr>
        <w:t>Метод на основі нечіткого виведення переважає за продуктивністю обидва інші методи. При використанні Методу FCFS може виникнути скупчення АТМ біля одного оброблювального ресурсу, що найдовше чекає на виконання тран</w:t>
      </w:r>
      <w:r w:rsidRPr="005A2533">
        <w:rPr>
          <w:lang w:val="uk-UA"/>
        </w:rPr>
        <w:t>с</w:t>
      </w:r>
      <w:r w:rsidRPr="005A2533">
        <w:rPr>
          <w:lang w:val="uk-UA"/>
        </w:rPr>
        <w:t>портної операції. Це було враховано при розробці СНВ. При використанні CNET сам процес переговорів займає багато часу, оскільки АДГВМ повинен чекати в</w:t>
      </w:r>
      <w:r w:rsidRPr="005A2533">
        <w:rPr>
          <w:lang w:val="uk-UA"/>
        </w:rPr>
        <w:t>і</w:t>
      </w:r>
      <w:r w:rsidRPr="005A2533">
        <w:rPr>
          <w:lang w:val="uk-UA"/>
        </w:rPr>
        <w:t>дповіді від кожного агента АДАТМ, які можуть надійти не одразу. Якщо не д</w:t>
      </w:r>
      <w:r w:rsidRPr="005A2533">
        <w:rPr>
          <w:lang w:val="uk-UA"/>
        </w:rPr>
        <w:t>о</w:t>
      </w:r>
      <w:r w:rsidRPr="005A2533">
        <w:rPr>
          <w:lang w:val="uk-UA"/>
        </w:rPr>
        <w:lastRenderedPageBreak/>
        <w:t xml:space="preserve">чекатися всіх пропозицій — можна не отримати найвигіднішу, якщо чекати — можна втратити багато часу. </w:t>
      </w:r>
    </w:p>
    <w:p w:rsidR="005A2533" w:rsidRPr="000506A3" w:rsidRDefault="004A35FA" w:rsidP="005A2533">
      <w:pPr>
        <w:rPr>
          <w:lang w:val="uk-UA"/>
        </w:rPr>
      </w:pPr>
      <w:r>
        <w:rPr>
          <w:lang w:val="uk-UA"/>
        </w:rPr>
        <w:t>Мультиагентну систему</w:t>
      </w:r>
      <w:r w:rsidR="005A2533" w:rsidRPr="005A2533">
        <w:rPr>
          <w:lang w:val="uk-UA"/>
        </w:rPr>
        <w:t xml:space="preserve"> на основі СНВ було розроблено з урахуванням з</w:t>
      </w:r>
      <w:r w:rsidR="005A2533" w:rsidRPr="005A2533">
        <w:rPr>
          <w:lang w:val="uk-UA"/>
        </w:rPr>
        <w:t>а</w:t>
      </w:r>
      <w:r w:rsidR="005A2533" w:rsidRPr="005A2533">
        <w:rPr>
          <w:lang w:val="uk-UA"/>
        </w:rPr>
        <w:t>вантаженості, відстані і часу очікування. Час прийняття рішення значно зменш</w:t>
      </w:r>
      <w:r w:rsidR="005A2533" w:rsidRPr="005A2533">
        <w:rPr>
          <w:lang w:val="uk-UA"/>
        </w:rPr>
        <w:t>е</w:t>
      </w:r>
      <w:r w:rsidR="005A2533" w:rsidRPr="005A2533">
        <w:rPr>
          <w:lang w:val="uk-UA"/>
        </w:rPr>
        <w:t>но в порівнянні з часом проведення переговорів. Замість надання пропозиції і очікування відповіді АДАТМ оцінює параметри виробничого середовища і об</w:t>
      </w:r>
      <w:r w:rsidR="005A2533" w:rsidRPr="005A2533">
        <w:rPr>
          <w:lang w:val="uk-UA"/>
        </w:rPr>
        <w:t>и</w:t>
      </w:r>
      <w:r w:rsidR="005A2533" w:rsidRPr="005A2533">
        <w:rPr>
          <w:lang w:val="uk-UA"/>
        </w:rPr>
        <w:t>рає рішення (задачу для виконання), яке на його думку найбільш підходить для всієї ГВС. Недоліком такої системи диспетчеризації є те, що обравши задачу, АДАТМ більше не змінює свого рішення. Через це можливості, що можуть з'я</w:t>
      </w:r>
      <w:r w:rsidR="005A2533" w:rsidRPr="005A2533">
        <w:rPr>
          <w:lang w:val="uk-UA"/>
        </w:rPr>
        <w:t>в</w:t>
      </w:r>
      <w:r w:rsidR="005A2533" w:rsidRPr="005A2533">
        <w:rPr>
          <w:lang w:val="uk-UA"/>
        </w:rPr>
        <w:t>итися у високо-динамічному сер</w:t>
      </w:r>
      <w:r w:rsidR="005A2533" w:rsidRPr="005A2533">
        <w:rPr>
          <w:lang w:val="uk-UA"/>
        </w:rPr>
        <w:t>е</w:t>
      </w:r>
      <w:r w:rsidR="005A2533" w:rsidRPr="005A2533">
        <w:rPr>
          <w:lang w:val="uk-UA"/>
        </w:rPr>
        <w:t>довищі можуть бути втрачені.</w:t>
      </w:r>
    </w:p>
    <w:p w:rsidR="0090478C" w:rsidRPr="000506A3" w:rsidRDefault="0090478C" w:rsidP="0090478C">
      <w:pPr>
        <w:pStyle w:val="heading2"/>
        <w:rPr>
          <w:lang w:val="uk-UA"/>
        </w:rPr>
      </w:pPr>
      <w:r w:rsidRPr="000506A3">
        <w:rPr>
          <w:lang w:val="uk-UA"/>
        </w:rPr>
        <w:t>Висновки</w:t>
      </w:r>
    </w:p>
    <w:p w:rsidR="0090478C" w:rsidRPr="007F14B5" w:rsidRDefault="00071525" w:rsidP="0090478C">
      <w:pPr>
        <w:rPr>
          <w:lang w:val="uk-UA"/>
        </w:rPr>
      </w:pPr>
      <w:r w:rsidRPr="000506A3">
        <w:rPr>
          <w:lang w:val="uk-UA"/>
        </w:rPr>
        <w:t xml:space="preserve"> </w:t>
      </w:r>
      <w:r w:rsidR="00107F1A" w:rsidRPr="000506A3">
        <w:rPr>
          <w:lang w:val="uk-UA"/>
        </w:rPr>
        <w:t>У даній роботі</w:t>
      </w:r>
      <w:r w:rsidR="007A39E1">
        <w:rPr>
          <w:lang w:val="uk-UA"/>
        </w:rPr>
        <w:t xml:space="preserve"> з</w:t>
      </w:r>
      <w:r w:rsidR="007F14B5">
        <w:rPr>
          <w:lang w:val="uk-UA"/>
        </w:rPr>
        <w:t>апропоновано підхід на основі нечіткої логіки для підв</w:t>
      </w:r>
      <w:r w:rsidR="007F14B5">
        <w:rPr>
          <w:lang w:val="uk-UA"/>
        </w:rPr>
        <w:t>и</w:t>
      </w:r>
      <w:r w:rsidR="007F14B5">
        <w:rPr>
          <w:lang w:val="uk-UA"/>
        </w:rPr>
        <w:t>щення продуктивності раніше розробленої</w:t>
      </w:r>
      <w:r w:rsidR="004A35FA">
        <w:rPr>
          <w:lang w:val="uk-UA"/>
        </w:rPr>
        <w:t xml:space="preserve"> </w:t>
      </w:r>
      <w:r w:rsidR="004A35FA" w:rsidRPr="004A35FA">
        <w:rPr>
          <w:lang w:val="uk-UA"/>
        </w:rPr>
        <w:t>[2]</w:t>
      </w:r>
      <w:r w:rsidR="007F14B5">
        <w:rPr>
          <w:lang w:val="uk-UA"/>
        </w:rPr>
        <w:t xml:space="preserve"> МАС динамічної диспетчеризації АТМ у ГВС. І</w:t>
      </w:r>
      <w:r w:rsidR="007F14B5" w:rsidRPr="000506A3">
        <w:rPr>
          <w:lang w:val="uk-UA"/>
        </w:rPr>
        <w:t>нтелектуальними агентами</w:t>
      </w:r>
      <w:r w:rsidR="007F14B5">
        <w:rPr>
          <w:lang w:val="uk-UA"/>
        </w:rPr>
        <w:t xml:space="preserve"> в умовах невизначеності використов</w:t>
      </w:r>
      <w:r w:rsidR="007F14B5">
        <w:rPr>
          <w:lang w:val="uk-UA"/>
        </w:rPr>
        <w:t>у</w:t>
      </w:r>
      <w:r w:rsidR="007F14B5">
        <w:rPr>
          <w:lang w:val="uk-UA"/>
        </w:rPr>
        <w:t>ється система</w:t>
      </w:r>
      <w:r w:rsidR="007F14B5" w:rsidRPr="000506A3">
        <w:rPr>
          <w:lang w:val="uk-UA"/>
        </w:rPr>
        <w:t xml:space="preserve"> нечіткого виведення для підтримки прийняття рішень</w:t>
      </w:r>
      <w:r w:rsidR="007F14B5">
        <w:rPr>
          <w:lang w:val="uk-UA"/>
        </w:rPr>
        <w:t xml:space="preserve"> щодо о</w:t>
      </w:r>
      <w:r w:rsidR="007F14B5">
        <w:rPr>
          <w:lang w:val="uk-UA"/>
        </w:rPr>
        <w:t>б</w:t>
      </w:r>
      <w:r w:rsidR="007F14B5">
        <w:rPr>
          <w:lang w:val="uk-UA"/>
        </w:rPr>
        <w:t xml:space="preserve">рання наступної задачі транспортування. </w:t>
      </w:r>
      <w:r w:rsidR="00F97EB7">
        <w:rPr>
          <w:lang w:val="uk-UA"/>
        </w:rPr>
        <w:t>Результати моделювання пок</w:t>
      </w:r>
      <w:r w:rsidR="00F97EB7">
        <w:rPr>
          <w:lang w:val="uk-UA"/>
        </w:rPr>
        <w:t>а</w:t>
      </w:r>
      <w:r w:rsidR="00F97EB7">
        <w:rPr>
          <w:lang w:val="uk-UA"/>
        </w:rPr>
        <w:t>зують, що при використанні методу на основі СНВ</w:t>
      </w:r>
      <w:r w:rsidR="00F97EB7" w:rsidRPr="00F97EB7">
        <w:rPr>
          <w:lang w:val="uk-UA"/>
        </w:rPr>
        <w:t xml:space="preserve"> </w:t>
      </w:r>
      <w:r w:rsidR="00F97EB7">
        <w:rPr>
          <w:lang w:val="uk-UA"/>
        </w:rPr>
        <w:t>досягається підвищення продукти</w:t>
      </w:r>
      <w:r w:rsidR="00F97EB7">
        <w:rPr>
          <w:lang w:val="uk-UA"/>
        </w:rPr>
        <w:t>в</w:t>
      </w:r>
      <w:r w:rsidR="00F97EB7">
        <w:rPr>
          <w:lang w:val="uk-UA"/>
        </w:rPr>
        <w:t xml:space="preserve">ності в порівнянні з МАС на основі </w:t>
      </w:r>
      <w:r w:rsidR="00F97EB7">
        <w:rPr>
          <w:lang w:val="en-US"/>
        </w:rPr>
        <w:t>CNET</w:t>
      </w:r>
      <w:r w:rsidR="00F97EB7" w:rsidRPr="00F97EB7">
        <w:rPr>
          <w:lang w:val="uk-UA"/>
        </w:rPr>
        <w:t xml:space="preserve"> </w:t>
      </w:r>
      <w:r w:rsidR="00F97EB7">
        <w:rPr>
          <w:lang w:val="uk-UA"/>
        </w:rPr>
        <w:t>та поширеним правилом диспетчер</w:t>
      </w:r>
      <w:r w:rsidR="00F97EB7">
        <w:rPr>
          <w:lang w:val="uk-UA"/>
        </w:rPr>
        <w:t>и</w:t>
      </w:r>
      <w:r w:rsidR="00F97EB7">
        <w:rPr>
          <w:lang w:val="uk-UA"/>
        </w:rPr>
        <w:t>зації</w:t>
      </w:r>
      <w:r w:rsidR="00F97EB7" w:rsidRPr="00F97EB7">
        <w:rPr>
          <w:lang w:val="uk-UA"/>
        </w:rPr>
        <w:t xml:space="preserve"> </w:t>
      </w:r>
      <w:r w:rsidR="00F97EB7" w:rsidRPr="005A2533">
        <w:rPr>
          <w:lang w:val="uk-UA"/>
        </w:rPr>
        <w:t>FCFS</w:t>
      </w:r>
      <w:r w:rsidR="00F97EB7">
        <w:rPr>
          <w:lang w:val="uk-UA"/>
        </w:rPr>
        <w:t xml:space="preserve"> завдяки</w:t>
      </w:r>
      <w:r w:rsidR="00F97EB7" w:rsidRPr="000506A3">
        <w:rPr>
          <w:lang w:val="uk-UA"/>
        </w:rPr>
        <w:t xml:space="preserve"> зменшенн</w:t>
      </w:r>
      <w:r w:rsidR="00F97EB7">
        <w:rPr>
          <w:lang w:val="uk-UA"/>
        </w:rPr>
        <w:t>ю</w:t>
      </w:r>
      <w:r w:rsidR="00F97EB7" w:rsidRPr="000506A3">
        <w:rPr>
          <w:lang w:val="uk-UA"/>
        </w:rPr>
        <w:t xml:space="preserve"> часу переговорів агентів</w:t>
      </w:r>
      <w:r w:rsidR="00F97EB7">
        <w:rPr>
          <w:lang w:val="uk-UA"/>
        </w:rPr>
        <w:t xml:space="preserve"> та уникненню </w:t>
      </w:r>
      <w:r w:rsidR="00F97EB7" w:rsidRPr="005A2533">
        <w:rPr>
          <w:lang w:val="uk-UA"/>
        </w:rPr>
        <w:t>скупче</w:t>
      </w:r>
      <w:r w:rsidR="00F97EB7" w:rsidRPr="005A2533">
        <w:rPr>
          <w:lang w:val="uk-UA"/>
        </w:rPr>
        <w:t>н</w:t>
      </w:r>
      <w:r w:rsidR="00F97EB7" w:rsidRPr="005A2533">
        <w:rPr>
          <w:lang w:val="uk-UA"/>
        </w:rPr>
        <w:t>ня АТМ біля одного оброблювального р</w:t>
      </w:r>
      <w:r w:rsidR="00F97EB7" w:rsidRPr="005A2533">
        <w:rPr>
          <w:lang w:val="uk-UA"/>
        </w:rPr>
        <w:t>е</w:t>
      </w:r>
      <w:r w:rsidR="00F97EB7" w:rsidRPr="005A2533">
        <w:rPr>
          <w:lang w:val="uk-UA"/>
        </w:rPr>
        <w:t>сурсу</w:t>
      </w:r>
      <w:r w:rsidR="00F97EB7">
        <w:rPr>
          <w:lang w:val="uk-UA"/>
        </w:rPr>
        <w:t>.</w:t>
      </w:r>
    </w:p>
    <w:p w:rsidR="0090478C" w:rsidRPr="000506A3" w:rsidRDefault="0090478C" w:rsidP="0090478C">
      <w:pPr>
        <w:pStyle w:val="lit"/>
        <w:rPr>
          <w:lang w:val="uk-UA"/>
        </w:rPr>
      </w:pPr>
      <w:r w:rsidRPr="000506A3">
        <w:rPr>
          <w:lang w:val="uk-UA"/>
        </w:rPr>
        <w:t>Література</w:t>
      </w:r>
    </w:p>
    <w:p w:rsidR="005A2533" w:rsidRPr="005A2533" w:rsidRDefault="005A2533" w:rsidP="005A2533">
      <w:pPr>
        <w:numPr>
          <w:ilvl w:val="0"/>
          <w:numId w:val="10"/>
        </w:numPr>
        <w:rPr>
          <w:lang w:val="uk-UA"/>
        </w:rPr>
      </w:pPr>
      <w:r w:rsidRPr="005A2533">
        <w:rPr>
          <w:lang w:val="uk-UA"/>
        </w:rPr>
        <w:t>Гнучкі комп’ютеризовані системи: проектування, моделювання і управління / Л.С. Ямпольський, П.П. Мельничук, Б.Б. Самоткін, М.М. Поліщук, М.М. Ткач, К.Б. Остапченко, О.І. Лісовиченко. – Житомир: ЖДТУ, 2005.–680 с.</w:t>
      </w:r>
    </w:p>
    <w:p w:rsidR="005A2533" w:rsidRPr="005A2533" w:rsidRDefault="005A2533" w:rsidP="005A2533">
      <w:pPr>
        <w:numPr>
          <w:ilvl w:val="0"/>
          <w:numId w:val="10"/>
        </w:numPr>
        <w:rPr>
          <w:lang w:val="uk-UA"/>
        </w:rPr>
      </w:pPr>
      <w:r w:rsidRPr="005A2533">
        <w:rPr>
          <w:lang w:val="uk-UA"/>
        </w:rPr>
        <w:t>Мультиагентне середовище моделювання задач диспетчеризації авт</w:t>
      </w:r>
      <w:r w:rsidRPr="005A2533">
        <w:rPr>
          <w:lang w:val="uk-UA"/>
        </w:rPr>
        <w:t>о</w:t>
      </w:r>
      <w:r w:rsidRPr="005A2533">
        <w:rPr>
          <w:lang w:val="uk-UA"/>
        </w:rPr>
        <w:t>номних транспортних модулів / Л.С. Ямпольський, С.О. Дьяков. – АСАУ, 2013 № 2(23). – с. 9-17.</w:t>
      </w:r>
    </w:p>
    <w:p w:rsidR="005A2533" w:rsidRPr="005A2533" w:rsidRDefault="005A2533" w:rsidP="005A2533">
      <w:pPr>
        <w:numPr>
          <w:ilvl w:val="0"/>
          <w:numId w:val="10"/>
        </w:numPr>
        <w:rPr>
          <w:lang w:val="uk-UA"/>
        </w:rPr>
      </w:pPr>
      <w:r w:rsidRPr="005A2533">
        <w:rPr>
          <w:lang w:val="uk-UA"/>
        </w:rPr>
        <w:t>Multicriteria meta-heuristics for AGV dispatching control based on computational intelligence / D. Naso and B. Turchiano. – 2005. –  pp. 208–226.</w:t>
      </w:r>
    </w:p>
    <w:p w:rsidR="005A2533" w:rsidRPr="005A2533" w:rsidRDefault="005A2533" w:rsidP="005A2533">
      <w:pPr>
        <w:numPr>
          <w:ilvl w:val="0"/>
          <w:numId w:val="10"/>
        </w:numPr>
        <w:rPr>
          <w:lang w:val="uk-UA"/>
        </w:rPr>
      </w:pPr>
      <w:r w:rsidRPr="005A2533">
        <w:rPr>
          <w:lang w:val="uk-UA"/>
        </w:rPr>
        <w:t>Adaptive genetic fuzzy, predictive and multiobjective approach for AGVs dispatching / O. Morandin Jr, V. F. Carida, E. R. R. Kato, and C. C. M. Tuma. – Industrial Electronics Conference, 2011. – pp. 2317–2322.</w:t>
      </w:r>
    </w:p>
    <w:p w:rsidR="005A2533" w:rsidRPr="005A2533" w:rsidRDefault="005A2533" w:rsidP="005A2533">
      <w:pPr>
        <w:rPr>
          <w:lang w:val="uk-UA"/>
        </w:rPr>
      </w:pPr>
    </w:p>
    <w:p w:rsidR="005A2533" w:rsidRPr="005A2533" w:rsidRDefault="005A2533" w:rsidP="005A2533">
      <w:pPr>
        <w:rPr>
          <w:lang w:val="uk-UA"/>
        </w:rPr>
      </w:pPr>
    </w:p>
    <w:p w:rsidR="005A2533" w:rsidRPr="005A2533" w:rsidRDefault="005A2533" w:rsidP="005A2533">
      <w:pPr>
        <w:rPr>
          <w:lang w:val="uk-UA"/>
        </w:rPr>
      </w:pPr>
    </w:p>
    <w:p w:rsidR="001B727F" w:rsidRPr="000506A3" w:rsidRDefault="0090478C" w:rsidP="001B727F">
      <w:pPr>
        <w:pStyle w:val="refer"/>
        <w:rPr>
          <w:lang w:val="uk-UA"/>
        </w:rPr>
      </w:pPr>
      <w:r w:rsidRPr="000506A3">
        <w:rPr>
          <w:lang w:val="uk-UA"/>
        </w:rPr>
        <w:br w:type="page"/>
      </w:r>
      <w:r w:rsidR="001B727F" w:rsidRPr="000506A3">
        <w:rPr>
          <w:lang w:val="uk-UA"/>
        </w:rPr>
        <w:lastRenderedPageBreak/>
        <w:t>УДК 004.896</w:t>
      </w:r>
    </w:p>
    <w:p w:rsidR="001B727F" w:rsidRPr="000506A3" w:rsidRDefault="001B727F" w:rsidP="001B727F">
      <w:pPr>
        <w:pStyle w:val="refer"/>
        <w:rPr>
          <w:lang w:val="uk-UA"/>
        </w:rPr>
      </w:pPr>
      <w:r w:rsidRPr="000506A3">
        <w:rPr>
          <w:lang w:val="uk-UA"/>
        </w:rPr>
        <w:t xml:space="preserve">Дьяков С.О., Ямпольський Л.С. Мультиагентне середовище моделювання задач диспетчеризації </w:t>
      </w:r>
      <w:r w:rsidR="00184208" w:rsidRPr="000506A3">
        <w:rPr>
          <w:lang w:val="uk-UA"/>
        </w:rPr>
        <w:t>автономних</w:t>
      </w:r>
      <w:r w:rsidRPr="000506A3">
        <w:rPr>
          <w:lang w:val="uk-UA"/>
        </w:rPr>
        <w:t xml:space="preserve"> транспортних модулів // Адаптивні системи автоматичного управління. -2013.- № __(__).-С.</w:t>
      </w:r>
    </w:p>
    <w:p w:rsidR="001B727F" w:rsidRPr="000506A3" w:rsidRDefault="00184208" w:rsidP="001B727F">
      <w:pPr>
        <w:pStyle w:val="refer"/>
        <w:rPr>
          <w:lang w:val="uk-UA"/>
        </w:rPr>
      </w:pPr>
      <w:r w:rsidRPr="000506A3">
        <w:rPr>
          <w:lang w:val="uk-UA"/>
        </w:rPr>
        <w:t>Автономні</w:t>
      </w:r>
      <w:r w:rsidR="001B727F" w:rsidRPr="000506A3">
        <w:rPr>
          <w:lang w:val="uk-UA"/>
        </w:rPr>
        <w:t xml:space="preserve"> транспортні модулі (АТМ) зазвичай застосовуються для переміщення об’єктів виробництва у гнучких виробничих системах (ГВС). Диспетчеризація АТМ полягає у призначенні транспортного модуля для переміщення, що базується на дост</w:t>
      </w:r>
      <w:r w:rsidR="001B727F" w:rsidRPr="000506A3">
        <w:rPr>
          <w:lang w:val="uk-UA"/>
        </w:rPr>
        <w:t>у</w:t>
      </w:r>
      <w:r w:rsidR="001B727F" w:rsidRPr="000506A3">
        <w:rPr>
          <w:lang w:val="uk-UA"/>
        </w:rPr>
        <w:t>пності АТМ і об’єктів виробництва. Через складність виробничого середовища значно зростає навантаження на централізовану систему диспетчеризації. Для роботи у таких складних середовищах було розроблено модель диспетчеризації на основі мультиаге</w:t>
      </w:r>
      <w:r w:rsidR="001B727F" w:rsidRPr="000506A3">
        <w:rPr>
          <w:lang w:val="uk-UA"/>
        </w:rPr>
        <w:t>н</w:t>
      </w:r>
      <w:r w:rsidR="001B727F" w:rsidRPr="000506A3">
        <w:rPr>
          <w:lang w:val="uk-UA"/>
        </w:rPr>
        <w:t>тної системи</w:t>
      </w:r>
      <w:r w:rsidR="00D947FA">
        <w:rPr>
          <w:lang w:val="uk-UA"/>
        </w:rPr>
        <w:t xml:space="preserve"> (МАС)</w:t>
      </w:r>
      <w:r w:rsidR="001B727F" w:rsidRPr="000506A3">
        <w:rPr>
          <w:lang w:val="uk-UA"/>
        </w:rPr>
        <w:t>.</w:t>
      </w:r>
      <w:r w:rsidR="00D947FA">
        <w:rPr>
          <w:lang w:val="uk-UA"/>
        </w:rPr>
        <w:t xml:space="preserve"> Запропоновано 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метод диспетчеризації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АТМ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у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ГВС на основі системи неч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і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ткого виведення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.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Даний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 xml:space="preserve">метод покликаний підвищити продуктивність раніше розробленої 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 xml:space="preserve">системи диспетчеризації на основі 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МАС за рахунок зменшення часу переговорів між інтелект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у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альними аге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н</w:t>
      </w:r>
      <w:r w:rsidR="00D947FA">
        <w:rPr>
          <w:rFonts w:ascii="SchoolBookCTT" w:hAnsi="SchoolBookCTT" w:cs="Arial"/>
          <w:sz w:val="22"/>
          <w:szCs w:val="22"/>
          <w:lang w:val="uk-UA" w:eastAsia="uk-UA"/>
        </w:rPr>
        <w:t>тами</w:t>
      </w:r>
      <w:r w:rsidR="00D947FA" w:rsidRPr="000506A3">
        <w:rPr>
          <w:rFonts w:ascii="SchoolBookCTT" w:hAnsi="SchoolBookCTT" w:cs="Arial"/>
          <w:sz w:val="22"/>
          <w:szCs w:val="22"/>
          <w:lang w:val="uk-UA" w:eastAsia="uk-UA"/>
        </w:rPr>
        <w:t>.</w:t>
      </w:r>
    </w:p>
    <w:p w:rsidR="001B727F" w:rsidRPr="000506A3" w:rsidRDefault="001B727F" w:rsidP="001B727F">
      <w:pPr>
        <w:pStyle w:val="refer"/>
        <w:rPr>
          <w:lang w:val="uk-UA"/>
        </w:rPr>
      </w:pPr>
      <w:r w:rsidRPr="000506A3">
        <w:rPr>
          <w:lang w:val="uk-UA"/>
        </w:rPr>
        <w:t xml:space="preserve">Ключові слова: </w:t>
      </w:r>
      <w:r w:rsidR="00DA27DF">
        <w:rPr>
          <w:rFonts w:ascii="SchoolBookCTT" w:hAnsi="SchoolBookCTT" w:cs="Arial"/>
          <w:sz w:val="22"/>
          <w:szCs w:val="22"/>
          <w:lang w:val="uk-UA" w:eastAsia="uk-UA"/>
        </w:rPr>
        <w:t xml:space="preserve">нечітка логіка, система нечіткого виведення, </w:t>
      </w:r>
      <w:r w:rsidRPr="000506A3">
        <w:rPr>
          <w:lang w:val="uk-UA"/>
        </w:rPr>
        <w:t xml:space="preserve">мультиагентна система, диспетчеризація, </w:t>
      </w:r>
      <w:r w:rsidR="00184208" w:rsidRPr="000506A3">
        <w:rPr>
          <w:lang w:val="uk-UA"/>
        </w:rPr>
        <w:t>автономний</w:t>
      </w:r>
      <w:r w:rsidRPr="000506A3">
        <w:rPr>
          <w:lang w:val="uk-UA"/>
        </w:rPr>
        <w:t xml:space="preserve"> транспор</w:t>
      </w:r>
      <w:r w:rsidRPr="000506A3">
        <w:rPr>
          <w:lang w:val="uk-UA"/>
        </w:rPr>
        <w:t>т</w:t>
      </w:r>
      <w:r w:rsidRPr="000506A3">
        <w:rPr>
          <w:lang w:val="uk-UA"/>
        </w:rPr>
        <w:t>ний модуль, гнучка виробнича система.</w:t>
      </w:r>
    </w:p>
    <w:p w:rsidR="001B727F" w:rsidRPr="00872506" w:rsidRDefault="00E350CD" w:rsidP="001B727F">
      <w:pPr>
        <w:pStyle w:val="refer"/>
      </w:pPr>
      <w:r>
        <w:rPr>
          <w:lang w:val="uk-UA"/>
        </w:rPr>
        <w:t xml:space="preserve">Бібл. </w:t>
      </w:r>
      <w:r w:rsidRPr="00872506">
        <w:t>4</w:t>
      </w:r>
      <w:r>
        <w:rPr>
          <w:lang w:val="uk-UA"/>
        </w:rPr>
        <w:t>, іл. 2., табл.</w:t>
      </w:r>
      <w:r w:rsidRPr="00872506">
        <w:t xml:space="preserve"> 1</w:t>
      </w:r>
    </w:p>
    <w:p w:rsidR="001B727F" w:rsidRPr="000506A3" w:rsidRDefault="001B727F" w:rsidP="001B727F">
      <w:pPr>
        <w:pStyle w:val="refer"/>
        <w:rPr>
          <w:lang w:val="uk-UA"/>
        </w:rPr>
      </w:pPr>
    </w:p>
    <w:p w:rsidR="00F704D5" w:rsidRPr="000506A3" w:rsidRDefault="00F704D5" w:rsidP="00F704D5">
      <w:pPr>
        <w:rPr>
          <w:lang w:val="uk-UA"/>
        </w:rPr>
      </w:pPr>
    </w:p>
    <w:p w:rsidR="00F704D5" w:rsidRPr="000506A3" w:rsidRDefault="00F704D5" w:rsidP="00F704D5">
      <w:pPr>
        <w:rPr>
          <w:lang w:val="uk-UA"/>
        </w:rPr>
      </w:pPr>
    </w:p>
    <w:p w:rsidR="001B727F" w:rsidRPr="00D947FA" w:rsidRDefault="001B727F" w:rsidP="001B727F">
      <w:pPr>
        <w:pStyle w:val="refer"/>
      </w:pPr>
      <w:r w:rsidRPr="00D947FA">
        <w:t>УДК 004.896</w:t>
      </w:r>
    </w:p>
    <w:p w:rsidR="001B727F" w:rsidRPr="00D947FA" w:rsidRDefault="001B727F" w:rsidP="001B727F">
      <w:pPr>
        <w:pStyle w:val="refer"/>
      </w:pPr>
      <w:r w:rsidRPr="00D947FA">
        <w:t xml:space="preserve">Дьяков С.А., Ямпольский Л.С. Мультиагентная среда моделирования задач </w:t>
      </w:r>
      <w:r w:rsidR="00FF727D" w:rsidRPr="00D947FA">
        <w:t>ди</w:t>
      </w:r>
      <w:r w:rsidR="00FF727D" w:rsidRPr="00D947FA">
        <w:t>с</w:t>
      </w:r>
      <w:r w:rsidR="00FF727D" w:rsidRPr="00D947FA">
        <w:t>петчеризации</w:t>
      </w:r>
      <w:r w:rsidRPr="00D947FA">
        <w:t xml:space="preserve"> </w:t>
      </w:r>
      <w:r w:rsidR="00184208" w:rsidRPr="00D947FA">
        <w:t>автономных</w:t>
      </w:r>
      <w:r w:rsidRPr="00D947FA">
        <w:t xml:space="preserve"> транспортных модулей // Адаптивные системы </w:t>
      </w:r>
      <w:r w:rsidR="00FF727D" w:rsidRPr="00D947FA">
        <w:t>автоматич</w:t>
      </w:r>
      <w:r w:rsidR="00FF727D" w:rsidRPr="00D947FA">
        <w:t>е</w:t>
      </w:r>
      <w:r w:rsidR="00FF727D" w:rsidRPr="00D947FA">
        <w:t>ского</w:t>
      </w:r>
      <w:r w:rsidRPr="00D947FA">
        <w:t xml:space="preserve"> управления. -2013.- № __(__).-С.</w:t>
      </w:r>
    </w:p>
    <w:p w:rsidR="001B727F" w:rsidRPr="00D947FA" w:rsidRDefault="00184208" w:rsidP="001B727F">
      <w:pPr>
        <w:pStyle w:val="refer"/>
      </w:pPr>
      <w:r w:rsidRPr="00D947FA">
        <w:t>Автономные</w:t>
      </w:r>
      <w:r w:rsidR="001B727F" w:rsidRPr="00D947FA">
        <w:t xml:space="preserve"> транспортные модули (АТМ) обычно применяются для перемещ</w:t>
      </w:r>
      <w:r w:rsidR="001B727F" w:rsidRPr="00D947FA">
        <w:t>е</w:t>
      </w:r>
      <w:r w:rsidR="001B727F" w:rsidRPr="00D947FA">
        <w:t>ния объектов производства в гибких производственных системах (ГИС ) . Диспетчер</w:t>
      </w:r>
      <w:r w:rsidR="001B727F" w:rsidRPr="00D947FA">
        <w:t>и</w:t>
      </w:r>
      <w:r w:rsidR="001B727F" w:rsidRPr="00D947FA">
        <w:t>зация АТМ состоит в назначении транспортного модуля для перемещения, основанном на доступности АТМ и объектов производства. Из-за сложности производственной среды значительно возрастает нагрузка на централизованную систему диспетчериз</w:t>
      </w:r>
      <w:r w:rsidR="001B727F" w:rsidRPr="00D947FA">
        <w:t>а</w:t>
      </w:r>
      <w:r w:rsidR="001B727F" w:rsidRPr="00D947FA">
        <w:t>ции. Для раб</w:t>
      </w:r>
      <w:r w:rsidR="001B727F" w:rsidRPr="00D947FA">
        <w:t>о</w:t>
      </w:r>
      <w:r w:rsidR="001B727F" w:rsidRPr="00D947FA">
        <w:t>ты в таких сложных средах была разработана модель диспетчеризации на основе мультиагентной системы</w:t>
      </w:r>
      <w:r w:rsidR="00D947FA">
        <w:t xml:space="preserve"> (МАС)</w:t>
      </w:r>
      <w:r w:rsidR="001B727F" w:rsidRPr="00D947FA">
        <w:t>.</w:t>
      </w:r>
      <w:r w:rsidR="00D947FA" w:rsidRPr="00D947FA">
        <w:t xml:space="preserve"> Предложен</w:t>
      </w:r>
      <w:r w:rsidR="00D947FA" w:rsidRPr="00DA27DF">
        <w:t xml:space="preserve"> метод диспетчеризации АТМ в ГВС на основе нечеткого </w:t>
      </w:r>
      <w:r w:rsidR="00DA27DF">
        <w:t>вы</w:t>
      </w:r>
      <w:r w:rsidR="00D947FA" w:rsidRPr="00DA27DF">
        <w:t>вода. Данный метод призван улучить продуктивность ранее разр</w:t>
      </w:r>
      <w:r w:rsidR="00D947FA" w:rsidRPr="00DA27DF">
        <w:t>а</w:t>
      </w:r>
      <w:r w:rsidR="00D947FA" w:rsidRPr="00DA27DF">
        <w:t xml:space="preserve">ботанной системы диспетчеризации на основе </w:t>
      </w:r>
      <w:r w:rsidR="00DA27DF" w:rsidRPr="00DA27DF">
        <w:t>МАС за с</w:t>
      </w:r>
      <w:r w:rsidR="00DA27DF">
        <w:t>ч</w:t>
      </w:r>
      <w:r w:rsidR="00DA27DF" w:rsidRPr="00DA27DF">
        <w:t>ет уменьшения времени пер</w:t>
      </w:r>
      <w:r w:rsidR="00DA27DF" w:rsidRPr="00DA27DF">
        <w:t>е</w:t>
      </w:r>
      <w:r w:rsidR="00DA27DF" w:rsidRPr="00DA27DF">
        <w:t>говоров между  интеллектуальными агентами.</w:t>
      </w:r>
    </w:p>
    <w:p w:rsidR="001B727F" w:rsidRPr="00D947FA" w:rsidRDefault="00F704D5" w:rsidP="001B727F">
      <w:pPr>
        <w:pStyle w:val="refer"/>
      </w:pPr>
      <w:r w:rsidRPr="00D947FA">
        <w:t>Ключевые слова:</w:t>
      </w:r>
      <w:r w:rsidR="00DA27DF">
        <w:t xml:space="preserve"> нечеткая логика, система нечеткого вывода,</w:t>
      </w:r>
      <w:r w:rsidRPr="00D947FA">
        <w:t xml:space="preserve"> мультиагентная система, диспетчеризация, </w:t>
      </w:r>
      <w:r w:rsidR="00714884" w:rsidRPr="00D947FA">
        <w:t>автономный</w:t>
      </w:r>
      <w:r w:rsidRPr="00D947FA">
        <w:t xml:space="preserve"> транспортный модуль, гибкая производстве</w:t>
      </w:r>
      <w:r w:rsidRPr="00D947FA">
        <w:t>н</w:t>
      </w:r>
      <w:r w:rsidRPr="00D947FA">
        <w:t>ная си</w:t>
      </w:r>
      <w:r w:rsidRPr="00D947FA">
        <w:t>с</w:t>
      </w:r>
      <w:r w:rsidRPr="00D947FA">
        <w:t>тема.</w:t>
      </w:r>
    </w:p>
    <w:p w:rsidR="001B727F" w:rsidRPr="00E350CD" w:rsidRDefault="00E350CD" w:rsidP="001B727F">
      <w:pPr>
        <w:pStyle w:val="refer"/>
        <w:rPr>
          <w:lang w:val="en-US"/>
        </w:rPr>
      </w:pPr>
      <w:r>
        <w:t>Библ</w:t>
      </w:r>
      <w:r w:rsidRPr="00872506">
        <w:rPr>
          <w:lang w:val="en-US"/>
        </w:rPr>
        <w:t xml:space="preserve">. </w:t>
      </w:r>
      <w:r>
        <w:rPr>
          <w:lang w:val="en-US"/>
        </w:rPr>
        <w:t>4</w:t>
      </w:r>
      <w:r w:rsidRPr="00872506">
        <w:rPr>
          <w:lang w:val="en-US"/>
        </w:rPr>
        <w:t xml:space="preserve">, </w:t>
      </w:r>
      <w:r>
        <w:t>ил</w:t>
      </w:r>
      <w:r w:rsidRPr="00872506">
        <w:rPr>
          <w:lang w:val="en-US"/>
        </w:rPr>
        <w:t xml:space="preserve">. 2., </w:t>
      </w:r>
      <w:r>
        <w:t>табл</w:t>
      </w:r>
      <w:r w:rsidRPr="00872506">
        <w:rPr>
          <w:lang w:val="en-US"/>
        </w:rPr>
        <w:t xml:space="preserve">. </w:t>
      </w:r>
      <w:r>
        <w:rPr>
          <w:lang w:val="en-US"/>
        </w:rPr>
        <w:t>1</w:t>
      </w:r>
    </w:p>
    <w:p w:rsidR="001B727F" w:rsidRPr="000506A3" w:rsidRDefault="001B727F" w:rsidP="001B727F">
      <w:pPr>
        <w:pStyle w:val="refer"/>
        <w:rPr>
          <w:lang w:val="uk-UA"/>
        </w:rPr>
      </w:pPr>
    </w:p>
    <w:p w:rsidR="00F704D5" w:rsidRDefault="00F704D5" w:rsidP="00F704D5">
      <w:pPr>
        <w:rPr>
          <w:lang w:val="en-US"/>
        </w:rPr>
      </w:pPr>
    </w:p>
    <w:p w:rsidR="00E350CD" w:rsidRPr="00E350CD" w:rsidRDefault="00E350CD" w:rsidP="00F704D5">
      <w:pPr>
        <w:rPr>
          <w:lang w:val="en-US"/>
        </w:rPr>
      </w:pPr>
    </w:p>
    <w:p w:rsidR="00F704D5" w:rsidRPr="000506A3" w:rsidRDefault="00F704D5" w:rsidP="00F704D5">
      <w:pPr>
        <w:rPr>
          <w:lang w:val="uk-UA"/>
        </w:rPr>
      </w:pPr>
    </w:p>
    <w:p w:rsidR="001B727F" w:rsidRPr="000506A3" w:rsidRDefault="001B727F" w:rsidP="001B727F">
      <w:pPr>
        <w:pStyle w:val="refer"/>
        <w:rPr>
          <w:lang w:val="uk-UA"/>
        </w:rPr>
      </w:pPr>
      <w:r w:rsidRPr="000506A3">
        <w:rPr>
          <w:lang w:val="uk-UA"/>
        </w:rPr>
        <w:lastRenderedPageBreak/>
        <w:t>UDC 004.896</w:t>
      </w:r>
    </w:p>
    <w:p w:rsidR="001B727F" w:rsidRPr="00DA27DF" w:rsidRDefault="001B727F" w:rsidP="001B727F">
      <w:pPr>
        <w:pStyle w:val="refer"/>
        <w:rPr>
          <w:lang w:val="en-US"/>
        </w:rPr>
      </w:pPr>
      <w:r w:rsidRPr="00DA27DF">
        <w:rPr>
          <w:lang w:val="en-US"/>
        </w:rPr>
        <w:t xml:space="preserve">Dyakov S.O., Yampolsky L.S </w:t>
      </w:r>
      <w:r w:rsidR="00F704D5" w:rsidRPr="00DA27DF">
        <w:rPr>
          <w:lang w:val="en-US"/>
        </w:rPr>
        <w:t xml:space="preserve">Multi-agent environment for simulation of tasks of the scheduling of automated guided vehicles </w:t>
      </w:r>
      <w:r w:rsidRPr="00DA27DF">
        <w:rPr>
          <w:lang w:val="en-US"/>
        </w:rPr>
        <w:t>// Adaptive systems of automatic control.-2013.-№ __(__).- Р.</w:t>
      </w:r>
    </w:p>
    <w:p w:rsidR="001B727F" w:rsidRPr="00DA27DF" w:rsidRDefault="001B727F" w:rsidP="001B727F">
      <w:pPr>
        <w:pStyle w:val="refer"/>
        <w:rPr>
          <w:lang w:val="en-US"/>
        </w:rPr>
      </w:pPr>
      <w:r w:rsidRPr="00DA27DF">
        <w:rPr>
          <w:lang w:val="en-US"/>
        </w:rPr>
        <w:t>Automated guided vehicle</w:t>
      </w:r>
      <w:r w:rsidR="00F704D5" w:rsidRPr="00DA27DF">
        <w:rPr>
          <w:lang w:val="en-US"/>
        </w:rPr>
        <w:t>s</w:t>
      </w:r>
      <w:r w:rsidR="004304B9" w:rsidRPr="00DA27DF">
        <w:rPr>
          <w:lang w:val="en-US"/>
        </w:rPr>
        <w:t xml:space="preserve"> (AGV) are</w:t>
      </w:r>
      <w:r w:rsidRPr="00DA27DF">
        <w:rPr>
          <w:lang w:val="en-US"/>
        </w:rPr>
        <w:t xml:space="preserve"> commonly used to move manufacturing objects in flexible manufacturing systems (FMS). Scheduling of ATM is the assignment of the tran</w:t>
      </w:r>
      <w:r w:rsidRPr="00DA27DF">
        <w:rPr>
          <w:lang w:val="en-US"/>
        </w:rPr>
        <w:t>s</w:t>
      </w:r>
      <w:r w:rsidRPr="00DA27DF">
        <w:rPr>
          <w:lang w:val="en-US"/>
        </w:rPr>
        <w:t>port module to movement based on the availability of ATM and manufacturing objects. The load on a centralized dispatching system significantly increases due to the complexity of the manufacturing environment. Scheduling model based on multi-agent system was developed to work in such complex environments.</w:t>
      </w:r>
      <w:r w:rsidR="009B022B">
        <w:rPr>
          <w:lang w:val="en-US"/>
        </w:rPr>
        <w:t xml:space="preserve"> The method of s</w:t>
      </w:r>
      <w:r w:rsidR="009B022B" w:rsidRPr="00DA27DF">
        <w:rPr>
          <w:lang w:val="en-US"/>
        </w:rPr>
        <w:t>cheduling</w:t>
      </w:r>
      <w:r w:rsidR="009B022B">
        <w:rPr>
          <w:lang w:val="en-US"/>
        </w:rPr>
        <w:t xml:space="preserve"> of </w:t>
      </w:r>
      <w:r w:rsidR="009B022B" w:rsidRPr="00DA27DF">
        <w:rPr>
          <w:lang w:val="en-US"/>
        </w:rPr>
        <w:t>AGV</w:t>
      </w:r>
      <w:r w:rsidR="009B022B">
        <w:rPr>
          <w:lang w:val="en-US"/>
        </w:rPr>
        <w:t xml:space="preserve"> in </w:t>
      </w:r>
      <w:r w:rsidR="009B022B" w:rsidRPr="00DA27DF">
        <w:rPr>
          <w:lang w:val="en-US"/>
        </w:rPr>
        <w:t>FMS</w:t>
      </w:r>
      <w:r w:rsidR="009B022B">
        <w:rPr>
          <w:lang w:val="en-US"/>
        </w:rPr>
        <w:t xml:space="preserve"> based on </w:t>
      </w:r>
      <w:r w:rsidR="009B022B" w:rsidRPr="00DA27DF">
        <w:rPr>
          <w:lang w:val="en-US"/>
        </w:rPr>
        <w:t>fuzzy inference system</w:t>
      </w:r>
      <w:r w:rsidR="009B022B">
        <w:rPr>
          <w:lang w:val="en-US"/>
        </w:rPr>
        <w:t xml:space="preserve"> was proposed. This method is designed to</w:t>
      </w:r>
      <w:r w:rsidR="00E350CD">
        <w:rPr>
          <w:lang w:val="en-US"/>
        </w:rPr>
        <w:t xml:space="preserve"> increase the performance of the MAS-based s</w:t>
      </w:r>
      <w:r w:rsidR="00E350CD" w:rsidRPr="00DA27DF">
        <w:rPr>
          <w:lang w:val="en-US"/>
        </w:rPr>
        <w:t>cheduling</w:t>
      </w:r>
      <w:r w:rsidR="00E350CD">
        <w:rPr>
          <w:lang w:val="en-US"/>
        </w:rPr>
        <w:t xml:space="preserve"> system due to decreasing the time of the conversation between the intelligent agents.</w:t>
      </w:r>
    </w:p>
    <w:p w:rsidR="001B727F" w:rsidRPr="00DA27DF" w:rsidRDefault="00F704D5" w:rsidP="001B727F">
      <w:pPr>
        <w:pStyle w:val="refer"/>
        <w:rPr>
          <w:lang w:val="en-US"/>
        </w:rPr>
      </w:pPr>
      <w:r w:rsidRPr="00DA27DF">
        <w:rPr>
          <w:lang w:val="en-US"/>
        </w:rPr>
        <w:t xml:space="preserve">Keywords: </w:t>
      </w:r>
      <w:r w:rsidR="00DA27DF" w:rsidRPr="00DA27DF">
        <w:rPr>
          <w:lang w:val="en-US"/>
        </w:rPr>
        <w:t xml:space="preserve">fuzzy logic, fuzzy inference system, </w:t>
      </w:r>
      <w:r w:rsidRPr="00DA27DF">
        <w:rPr>
          <w:lang w:val="en-US"/>
        </w:rPr>
        <w:t>multiagent system, scheduling, aut</w:t>
      </w:r>
      <w:r w:rsidRPr="00DA27DF">
        <w:rPr>
          <w:lang w:val="en-US"/>
        </w:rPr>
        <w:t>o</w:t>
      </w:r>
      <w:r w:rsidRPr="00DA27DF">
        <w:rPr>
          <w:lang w:val="en-US"/>
        </w:rPr>
        <w:t>mated guided vehicles, flexible manufacturing system.</w:t>
      </w:r>
    </w:p>
    <w:p w:rsidR="00F704D5" w:rsidRPr="00DA27DF" w:rsidRDefault="00E350CD" w:rsidP="001B727F">
      <w:pPr>
        <w:pStyle w:val="refer"/>
        <w:rPr>
          <w:lang w:val="en-US"/>
        </w:rPr>
      </w:pPr>
      <w:r>
        <w:rPr>
          <w:lang w:val="en-US"/>
        </w:rPr>
        <w:t>Ref. 4, pic. 2., tabl. 1</w:t>
      </w:r>
    </w:p>
    <w:p w:rsidR="0090478C" w:rsidRPr="000506A3" w:rsidRDefault="00F704D5" w:rsidP="00F704D5">
      <w:pPr>
        <w:rPr>
          <w:lang w:val="uk-UA"/>
        </w:rPr>
      </w:pPr>
      <w:r w:rsidRPr="000506A3">
        <w:rPr>
          <w:lang w:val="uk-UA"/>
        </w:rPr>
        <w:br w:type="page"/>
      </w:r>
      <w:r w:rsidR="0090478C" w:rsidRPr="000506A3">
        <w:rPr>
          <w:lang w:val="uk-UA"/>
        </w:rPr>
        <w:lastRenderedPageBreak/>
        <w:t>Про авторів:</w:t>
      </w:r>
    </w:p>
    <w:p w:rsidR="0090478C" w:rsidRPr="000506A3" w:rsidRDefault="0090478C" w:rsidP="0090478C">
      <w:pPr>
        <w:pStyle w:val="refer"/>
        <w:rPr>
          <w:b/>
          <w:lang w:val="uk-UA"/>
        </w:rPr>
      </w:pPr>
      <w:r w:rsidRPr="000506A3">
        <w:rPr>
          <w:b/>
          <w:lang w:val="uk-UA"/>
        </w:rPr>
        <w:t>Дьяков Сергій Олександрович – аспірант кафедри технічної кібернетики НТУ України “КПІ”.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Наукові інтереси: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нейротехнології в задачах прий</w:t>
      </w:r>
      <w:r w:rsidRPr="000506A3">
        <w:rPr>
          <w:lang w:val="uk-UA"/>
        </w:rPr>
        <w:t>н</w:t>
      </w:r>
      <w:r w:rsidRPr="000506A3">
        <w:rPr>
          <w:lang w:val="uk-UA"/>
        </w:rPr>
        <w:t>яття рішень;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інтелектуальне керування рухомими об’єктами.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Вул. Червоноармійська, буд. 9, кв. 59, м. Бориспіль-08300, Київька обл., Україна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Serg.Dyakoff@gmail.com</w:t>
      </w:r>
    </w:p>
    <w:p w:rsidR="0090478C" w:rsidRPr="000506A3" w:rsidRDefault="0090478C" w:rsidP="0090478C">
      <w:pPr>
        <w:rPr>
          <w:lang w:val="uk-UA"/>
        </w:rPr>
      </w:pPr>
    </w:p>
    <w:p w:rsidR="0090478C" w:rsidRPr="000506A3" w:rsidRDefault="0090478C" w:rsidP="0090478C">
      <w:pPr>
        <w:pStyle w:val="refer"/>
        <w:rPr>
          <w:b/>
          <w:lang w:val="uk-UA"/>
        </w:rPr>
      </w:pPr>
      <w:r w:rsidRPr="000506A3">
        <w:rPr>
          <w:b/>
          <w:lang w:val="uk-UA"/>
        </w:rPr>
        <w:t>Ямпольський Леонід Стефанович – к.т.н., доктор філософії, професор кафе</w:t>
      </w:r>
      <w:r w:rsidRPr="000506A3">
        <w:rPr>
          <w:b/>
          <w:lang w:val="uk-UA"/>
        </w:rPr>
        <w:t>д</w:t>
      </w:r>
      <w:r w:rsidRPr="000506A3">
        <w:rPr>
          <w:b/>
          <w:lang w:val="uk-UA"/>
        </w:rPr>
        <w:t>ри технічної кібернетики НТУ України “КПІ”, лауреат державної премії України в галузі на</w:t>
      </w:r>
      <w:r w:rsidRPr="000506A3">
        <w:rPr>
          <w:b/>
          <w:lang w:val="uk-UA"/>
        </w:rPr>
        <w:t>у</w:t>
      </w:r>
      <w:r w:rsidRPr="000506A3">
        <w:rPr>
          <w:b/>
          <w:lang w:val="uk-UA"/>
        </w:rPr>
        <w:t>ки і техніки.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Наукові інтереси: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 xml:space="preserve">проблеми штучного інтелекту; 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нейротехнології та нейрокомп’ютерні системи в задачах прийняття рішень.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Вул. Тарасівська, буд. 16, кв. 14, Київ-01033, Україна</w:t>
      </w:r>
    </w:p>
    <w:p w:rsidR="0090478C" w:rsidRPr="000506A3" w:rsidRDefault="0090478C" w:rsidP="0090478C">
      <w:pPr>
        <w:pStyle w:val="refer"/>
        <w:rPr>
          <w:lang w:val="uk-UA"/>
        </w:rPr>
      </w:pPr>
      <w:r w:rsidRPr="000506A3">
        <w:rPr>
          <w:lang w:val="uk-UA"/>
        </w:rPr>
        <w:t>Lyamp37@Gmail.com</w:t>
      </w:r>
    </w:p>
    <w:p w:rsidR="0090478C" w:rsidRPr="000506A3" w:rsidRDefault="0090478C" w:rsidP="0090478C">
      <w:pPr>
        <w:pStyle w:val="tabhead1"/>
        <w:jc w:val="left"/>
        <w:rPr>
          <w:lang w:val="uk-UA"/>
        </w:rPr>
      </w:pPr>
    </w:p>
    <w:p w:rsidR="0090478C" w:rsidRPr="000506A3" w:rsidRDefault="0090478C" w:rsidP="0090478C">
      <w:pPr>
        <w:rPr>
          <w:lang w:val="uk-UA"/>
        </w:rPr>
      </w:pPr>
    </w:p>
    <w:p w:rsidR="00F3470F" w:rsidRPr="000506A3" w:rsidRDefault="00F3470F" w:rsidP="0090478C">
      <w:pPr>
        <w:rPr>
          <w:lang w:val="uk-UA"/>
        </w:rPr>
      </w:pPr>
    </w:p>
    <w:sectPr w:rsidR="00F3470F" w:rsidRPr="000506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418" w:left="1418" w:header="1134" w:footer="737" w:gutter="0"/>
      <w:cols w:space="720" w:equalWidth="0">
        <w:col w:w="907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D4D" w:rsidRDefault="00462D4D">
      <w:r>
        <w:separator/>
      </w:r>
    </w:p>
  </w:endnote>
  <w:endnote w:type="continuationSeparator" w:id="1">
    <w:p w:rsidR="00462D4D" w:rsidRDefault="00462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oolBook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OfficinaSans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Default="00935ED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Pr="005B36D0" w:rsidRDefault="00935ED9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Default="00935ED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D4D" w:rsidRDefault="00462D4D">
      <w:r>
        <w:separator/>
      </w:r>
    </w:p>
  </w:footnote>
  <w:footnote w:type="continuationSeparator" w:id="1">
    <w:p w:rsidR="00462D4D" w:rsidRDefault="00462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Default="00935ED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Default="00935ED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D9" w:rsidRDefault="00935ED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0DA4028F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1CFA5CD5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0DE0271"/>
    <w:multiLevelType w:val="hybridMultilevel"/>
    <w:tmpl w:val="A0CAE8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01D4E44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4E67166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87A37B9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1B133CD"/>
    <w:multiLevelType w:val="hybridMultilevel"/>
    <w:tmpl w:val="1B6E8FD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57B745D1"/>
    <w:multiLevelType w:val="singleLevel"/>
    <w:tmpl w:val="CBBC79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592653DB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B55262A"/>
    <w:multiLevelType w:val="singleLevel"/>
    <w:tmpl w:val="BAE8FF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5E5657CC"/>
    <w:multiLevelType w:val="singleLevel"/>
    <w:tmpl w:val="CBBC79DA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</w:abstractNum>
  <w:abstractNum w:abstractNumId="12">
    <w:nsid w:val="69582DB7"/>
    <w:multiLevelType w:val="singleLevel"/>
    <w:tmpl w:val="1932039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SwLMLang7" w:val="R"/>
  </w:docVars>
  <w:rsids>
    <w:rsidRoot w:val="00F35344"/>
    <w:rsid w:val="00000AB1"/>
    <w:rsid w:val="000120B5"/>
    <w:rsid w:val="00023A70"/>
    <w:rsid w:val="00032115"/>
    <w:rsid w:val="000462BA"/>
    <w:rsid w:val="00047964"/>
    <w:rsid w:val="000506A3"/>
    <w:rsid w:val="000536C5"/>
    <w:rsid w:val="00071525"/>
    <w:rsid w:val="000814F4"/>
    <w:rsid w:val="000838D9"/>
    <w:rsid w:val="000A0678"/>
    <w:rsid w:val="000C0D02"/>
    <w:rsid w:val="000C2538"/>
    <w:rsid w:val="000C6D37"/>
    <w:rsid w:val="000E13FE"/>
    <w:rsid w:val="000E6010"/>
    <w:rsid w:val="000F6387"/>
    <w:rsid w:val="00107F1A"/>
    <w:rsid w:val="001273A8"/>
    <w:rsid w:val="00127F20"/>
    <w:rsid w:val="00183463"/>
    <w:rsid w:val="00184208"/>
    <w:rsid w:val="00185102"/>
    <w:rsid w:val="001900A9"/>
    <w:rsid w:val="00191336"/>
    <w:rsid w:val="001B727F"/>
    <w:rsid w:val="001C5920"/>
    <w:rsid w:val="001D3E81"/>
    <w:rsid w:val="001D721D"/>
    <w:rsid w:val="001E6AC2"/>
    <w:rsid w:val="001F01B8"/>
    <w:rsid w:val="001F1474"/>
    <w:rsid w:val="0020456E"/>
    <w:rsid w:val="0020604C"/>
    <w:rsid w:val="00210E45"/>
    <w:rsid w:val="002242FF"/>
    <w:rsid w:val="00233451"/>
    <w:rsid w:val="002365A6"/>
    <w:rsid w:val="002438CB"/>
    <w:rsid w:val="00264CAA"/>
    <w:rsid w:val="002755AA"/>
    <w:rsid w:val="00283E56"/>
    <w:rsid w:val="002852F3"/>
    <w:rsid w:val="002948EE"/>
    <w:rsid w:val="002B0FAD"/>
    <w:rsid w:val="002B1064"/>
    <w:rsid w:val="002C01F7"/>
    <w:rsid w:val="002E0BF7"/>
    <w:rsid w:val="002F0310"/>
    <w:rsid w:val="002F27FB"/>
    <w:rsid w:val="002F3460"/>
    <w:rsid w:val="00310F2A"/>
    <w:rsid w:val="00313BA8"/>
    <w:rsid w:val="00332BE0"/>
    <w:rsid w:val="00335996"/>
    <w:rsid w:val="00341665"/>
    <w:rsid w:val="00343344"/>
    <w:rsid w:val="0035410E"/>
    <w:rsid w:val="003543EF"/>
    <w:rsid w:val="00383429"/>
    <w:rsid w:val="00385CAF"/>
    <w:rsid w:val="00385D62"/>
    <w:rsid w:val="003C3C40"/>
    <w:rsid w:val="003D1F3D"/>
    <w:rsid w:val="003D668A"/>
    <w:rsid w:val="003E38F7"/>
    <w:rsid w:val="00406BD9"/>
    <w:rsid w:val="0041335A"/>
    <w:rsid w:val="00416F0A"/>
    <w:rsid w:val="004304B9"/>
    <w:rsid w:val="00436638"/>
    <w:rsid w:val="004408C3"/>
    <w:rsid w:val="00462D4D"/>
    <w:rsid w:val="00467428"/>
    <w:rsid w:val="00490B41"/>
    <w:rsid w:val="00494DB7"/>
    <w:rsid w:val="004A35FA"/>
    <w:rsid w:val="004C37DE"/>
    <w:rsid w:val="004E4F29"/>
    <w:rsid w:val="004E514B"/>
    <w:rsid w:val="004F47E2"/>
    <w:rsid w:val="004F4FD1"/>
    <w:rsid w:val="004F5B5B"/>
    <w:rsid w:val="004F6ACB"/>
    <w:rsid w:val="00500014"/>
    <w:rsid w:val="00500511"/>
    <w:rsid w:val="00552CA5"/>
    <w:rsid w:val="00553CEC"/>
    <w:rsid w:val="00556672"/>
    <w:rsid w:val="00566C88"/>
    <w:rsid w:val="00593933"/>
    <w:rsid w:val="005957B3"/>
    <w:rsid w:val="005A0C76"/>
    <w:rsid w:val="005A2533"/>
    <w:rsid w:val="005A796C"/>
    <w:rsid w:val="005B36D0"/>
    <w:rsid w:val="005C0AAD"/>
    <w:rsid w:val="005C6CF1"/>
    <w:rsid w:val="005D1944"/>
    <w:rsid w:val="005D4BC9"/>
    <w:rsid w:val="005F72EF"/>
    <w:rsid w:val="00616E7A"/>
    <w:rsid w:val="00622765"/>
    <w:rsid w:val="00624A22"/>
    <w:rsid w:val="006469BB"/>
    <w:rsid w:val="0065283B"/>
    <w:rsid w:val="00670524"/>
    <w:rsid w:val="0067072E"/>
    <w:rsid w:val="00680069"/>
    <w:rsid w:val="006838B9"/>
    <w:rsid w:val="00694ACB"/>
    <w:rsid w:val="006974A5"/>
    <w:rsid w:val="006A7C15"/>
    <w:rsid w:val="006B25EB"/>
    <w:rsid w:val="006B403B"/>
    <w:rsid w:val="006B52DF"/>
    <w:rsid w:val="006B6A1B"/>
    <w:rsid w:val="006C7908"/>
    <w:rsid w:val="006D19C4"/>
    <w:rsid w:val="006D5B22"/>
    <w:rsid w:val="006E0525"/>
    <w:rsid w:val="006E2FAF"/>
    <w:rsid w:val="006E61FB"/>
    <w:rsid w:val="00703834"/>
    <w:rsid w:val="00705858"/>
    <w:rsid w:val="00714884"/>
    <w:rsid w:val="00734F5A"/>
    <w:rsid w:val="0075724D"/>
    <w:rsid w:val="00780B57"/>
    <w:rsid w:val="0078606F"/>
    <w:rsid w:val="007874E9"/>
    <w:rsid w:val="007A39E1"/>
    <w:rsid w:val="007C6224"/>
    <w:rsid w:val="007C6BAD"/>
    <w:rsid w:val="007D71D4"/>
    <w:rsid w:val="007E3996"/>
    <w:rsid w:val="007E5932"/>
    <w:rsid w:val="007F14B5"/>
    <w:rsid w:val="007F311E"/>
    <w:rsid w:val="007F3BBC"/>
    <w:rsid w:val="007F6349"/>
    <w:rsid w:val="00810C15"/>
    <w:rsid w:val="008306CE"/>
    <w:rsid w:val="00830EF4"/>
    <w:rsid w:val="00847C88"/>
    <w:rsid w:val="008546AD"/>
    <w:rsid w:val="008550A6"/>
    <w:rsid w:val="008632DE"/>
    <w:rsid w:val="00872506"/>
    <w:rsid w:val="00881B1C"/>
    <w:rsid w:val="00882FF8"/>
    <w:rsid w:val="008955D1"/>
    <w:rsid w:val="008A7F55"/>
    <w:rsid w:val="008D67C8"/>
    <w:rsid w:val="0090478C"/>
    <w:rsid w:val="009111BD"/>
    <w:rsid w:val="0091562E"/>
    <w:rsid w:val="00935ED9"/>
    <w:rsid w:val="00952F34"/>
    <w:rsid w:val="00971958"/>
    <w:rsid w:val="00972FE5"/>
    <w:rsid w:val="00980F8A"/>
    <w:rsid w:val="00990FBF"/>
    <w:rsid w:val="00992440"/>
    <w:rsid w:val="009B022B"/>
    <w:rsid w:val="009D1927"/>
    <w:rsid w:val="009D413F"/>
    <w:rsid w:val="009D49D5"/>
    <w:rsid w:val="009E1A07"/>
    <w:rsid w:val="00A1120C"/>
    <w:rsid w:val="00A12868"/>
    <w:rsid w:val="00A406FE"/>
    <w:rsid w:val="00A57AD2"/>
    <w:rsid w:val="00A62263"/>
    <w:rsid w:val="00A764AE"/>
    <w:rsid w:val="00A80A78"/>
    <w:rsid w:val="00A865C8"/>
    <w:rsid w:val="00A91BF4"/>
    <w:rsid w:val="00A923E8"/>
    <w:rsid w:val="00AA4CAE"/>
    <w:rsid w:val="00AB6873"/>
    <w:rsid w:val="00AC14BA"/>
    <w:rsid w:val="00AC7A69"/>
    <w:rsid w:val="00AE3E6F"/>
    <w:rsid w:val="00AE4742"/>
    <w:rsid w:val="00AF1608"/>
    <w:rsid w:val="00AF38F6"/>
    <w:rsid w:val="00AF595B"/>
    <w:rsid w:val="00B1410E"/>
    <w:rsid w:val="00B26B19"/>
    <w:rsid w:val="00B36FFC"/>
    <w:rsid w:val="00B434EC"/>
    <w:rsid w:val="00B46238"/>
    <w:rsid w:val="00B46FF9"/>
    <w:rsid w:val="00B75B87"/>
    <w:rsid w:val="00B91574"/>
    <w:rsid w:val="00BB7D72"/>
    <w:rsid w:val="00BC1341"/>
    <w:rsid w:val="00BD4888"/>
    <w:rsid w:val="00BD6297"/>
    <w:rsid w:val="00BF22A3"/>
    <w:rsid w:val="00BF72DC"/>
    <w:rsid w:val="00C012CE"/>
    <w:rsid w:val="00C0199E"/>
    <w:rsid w:val="00C01C03"/>
    <w:rsid w:val="00C02DB7"/>
    <w:rsid w:val="00C04EAD"/>
    <w:rsid w:val="00C04EDC"/>
    <w:rsid w:val="00C22969"/>
    <w:rsid w:val="00C23489"/>
    <w:rsid w:val="00C406CE"/>
    <w:rsid w:val="00C55FD0"/>
    <w:rsid w:val="00C574A5"/>
    <w:rsid w:val="00C6249F"/>
    <w:rsid w:val="00C77759"/>
    <w:rsid w:val="00C92649"/>
    <w:rsid w:val="00CB4509"/>
    <w:rsid w:val="00CD3689"/>
    <w:rsid w:val="00CD48EE"/>
    <w:rsid w:val="00CE02B5"/>
    <w:rsid w:val="00D04D82"/>
    <w:rsid w:val="00D153B8"/>
    <w:rsid w:val="00D33F88"/>
    <w:rsid w:val="00D3650C"/>
    <w:rsid w:val="00D4042A"/>
    <w:rsid w:val="00D43C22"/>
    <w:rsid w:val="00D52A82"/>
    <w:rsid w:val="00D64807"/>
    <w:rsid w:val="00D648B9"/>
    <w:rsid w:val="00D66212"/>
    <w:rsid w:val="00D66AC3"/>
    <w:rsid w:val="00D67AC0"/>
    <w:rsid w:val="00D83B95"/>
    <w:rsid w:val="00D93049"/>
    <w:rsid w:val="00D947FA"/>
    <w:rsid w:val="00D95569"/>
    <w:rsid w:val="00DA27DF"/>
    <w:rsid w:val="00DB1BE6"/>
    <w:rsid w:val="00DC5192"/>
    <w:rsid w:val="00DC5E12"/>
    <w:rsid w:val="00DD4D86"/>
    <w:rsid w:val="00DF04BE"/>
    <w:rsid w:val="00E03313"/>
    <w:rsid w:val="00E204BE"/>
    <w:rsid w:val="00E22F8C"/>
    <w:rsid w:val="00E31089"/>
    <w:rsid w:val="00E3456F"/>
    <w:rsid w:val="00E34725"/>
    <w:rsid w:val="00E350CD"/>
    <w:rsid w:val="00E632FD"/>
    <w:rsid w:val="00E6494A"/>
    <w:rsid w:val="00E67781"/>
    <w:rsid w:val="00E70125"/>
    <w:rsid w:val="00E75506"/>
    <w:rsid w:val="00E836A6"/>
    <w:rsid w:val="00E87315"/>
    <w:rsid w:val="00EA66A5"/>
    <w:rsid w:val="00EA792F"/>
    <w:rsid w:val="00EB5989"/>
    <w:rsid w:val="00EC4010"/>
    <w:rsid w:val="00EC5CF8"/>
    <w:rsid w:val="00ED17D2"/>
    <w:rsid w:val="00EE1D62"/>
    <w:rsid w:val="00F3470F"/>
    <w:rsid w:val="00F35344"/>
    <w:rsid w:val="00F358A6"/>
    <w:rsid w:val="00F50D6E"/>
    <w:rsid w:val="00F5556A"/>
    <w:rsid w:val="00F60AD0"/>
    <w:rsid w:val="00F704D5"/>
    <w:rsid w:val="00F715B8"/>
    <w:rsid w:val="00F844B7"/>
    <w:rsid w:val="00F97EB7"/>
    <w:rsid w:val="00FA6BE5"/>
    <w:rsid w:val="00FB15A8"/>
    <w:rsid w:val="00FC12D3"/>
    <w:rsid w:val="00FC7FA7"/>
    <w:rsid w:val="00FD0B9C"/>
    <w:rsid w:val="00FD265A"/>
    <w:rsid w:val="00FE5F8E"/>
    <w:rsid w:val="00FE6790"/>
    <w:rsid w:val="00FF1BD4"/>
    <w:rsid w:val="00FF727D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7" type="connector" idref="#_x0000_s1029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12" w:lineRule="auto"/>
      <w:ind w:firstLine="567"/>
      <w:jc w:val="both"/>
    </w:pPr>
    <w:rPr>
      <w:rFonts w:ascii="SchoolBookCTT" w:hAnsi="SchoolBookCTT"/>
      <w:sz w:val="26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suppressAutoHyphens/>
      <w:spacing w:after="120"/>
      <w:ind w:left="284" w:right="284" w:firstLine="0"/>
      <w:jc w:val="center"/>
      <w:outlineLvl w:val="0"/>
    </w:pPr>
    <w:rPr>
      <w:b/>
      <w:caps/>
      <w:spacing w:val="20"/>
    </w:rPr>
  </w:style>
  <w:style w:type="paragraph" w:styleId="2">
    <w:name w:val="heading 2"/>
    <w:basedOn w:val="a"/>
    <w:next w:val="a"/>
    <w:qFormat/>
    <w:pPr>
      <w:keepNext/>
      <w:keepLines/>
      <w:suppressAutoHyphens/>
      <w:spacing w:before="60" w:after="6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keepLines/>
      <w:suppressAutoHyphens/>
      <w:spacing w:before="60" w:after="60"/>
      <w:ind w:firstLine="0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8955D1"/>
    <w:pPr>
      <w:keepNext/>
      <w:spacing w:line="240" w:lineRule="auto"/>
      <w:ind w:firstLine="720"/>
      <w:outlineLvl w:val="3"/>
    </w:pPr>
    <w:rPr>
      <w:rFonts w:ascii="Times New Roman" w:hAnsi="Times New Roman"/>
      <w:b/>
      <w:i/>
      <w:sz w:val="24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536"/>
        <w:tab w:val="right" w:pos="9072"/>
      </w:tabs>
      <w:ind w:firstLine="0"/>
    </w:pPr>
  </w:style>
  <w:style w:type="paragraph" w:customStyle="1" w:styleId="autor">
    <w:name w:val="autor"/>
    <w:basedOn w:val="a"/>
    <w:next w:val="1"/>
    <w:autoRedefine/>
    <w:rsid w:val="00490B41"/>
    <w:pPr>
      <w:keepNext/>
      <w:keepLines/>
      <w:suppressAutoHyphens/>
      <w:spacing w:after="120"/>
      <w:ind w:firstLine="0"/>
      <w:jc w:val="right"/>
    </w:pPr>
  </w:style>
  <w:style w:type="paragraph" w:customStyle="1" w:styleId="lit">
    <w:name w:val="lit"/>
    <w:basedOn w:val="a"/>
    <w:next w:val="a"/>
    <w:pPr>
      <w:keepNext/>
      <w:keepLines/>
      <w:spacing w:before="60" w:after="60"/>
      <w:ind w:firstLine="0"/>
      <w:jc w:val="center"/>
    </w:pPr>
    <w:rPr>
      <w:b/>
      <w:caps/>
    </w:rPr>
  </w:style>
  <w:style w:type="paragraph" w:customStyle="1" w:styleId="litelm">
    <w:name w:val="litelm"/>
    <w:basedOn w:val="a"/>
    <w:next w:val="a"/>
    <w:autoRedefine/>
    <w:rsid w:val="00490B41"/>
    <w:pPr>
      <w:ind w:left="283" w:hanging="283"/>
      <w:jc w:val="left"/>
    </w:pPr>
  </w:style>
  <w:style w:type="paragraph" w:customStyle="1" w:styleId="piclbl">
    <w:name w:val="pic_lbl"/>
    <w:basedOn w:val="a"/>
    <w:next w:val="a"/>
    <w:autoRedefine/>
    <w:rsid w:val="00490B41"/>
    <w:pPr>
      <w:keepLines/>
      <w:spacing w:after="80"/>
      <w:ind w:firstLine="0"/>
      <w:jc w:val="center"/>
    </w:pPr>
    <w:rPr>
      <w:sz w:val="24"/>
    </w:rPr>
  </w:style>
  <w:style w:type="paragraph" w:customStyle="1" w:styleId="equation">
    <w:name w:val="equation"/>
    <w:basedOn w:val="a"/>
    <w:next w:val="a"/>
    <w:pPr>
      <w:tabs>
        <w:tab w:val="center" w:pos="4536"/>
        <w:tab w:val="right" w:pos="9072"/>
      </w:tabs>
      <w:spacing w:before="120" w:after="120" w:line="288" w:lineRule="auto"/>
      <w:ind w:firstLine="0"/>
      <w:jc w:val="left"/>
    </w:pPr>
    <w:rPr>
      <w:noProof/>
    </w:rPr>
  </w:style>
  <w:style w:type="character" w:styleId="a4">
    <w:name w:val="page number"/>
    <w:rPr>
      <w:rFonts w:ascii="SchoolBookCTT" w:hAnsi="SchoolBookCTT"/>
      <w:sz w:val="26"/>
    </w:rPr>
  </w:style>
  <w:style w:type="paragraph" w:styleId="a5">
    <w:name w:val="header"/>
    <w:basedOn w:val="a"/>
    <w:pPr>
      <w:tabs>
        <w:tab w:val="center" w:pos="4536"/>
        <w:tab w:val="right" w:pos="9072"/>
      </w:tabs>
      <w:spacing w:after="60" w:line="240" w:lineRule="auto"/>
      <w:ind w:firstLine="0"/>
      <w:jc w:val="left"/>
    </w:pPr>
    <w:rPr>
      <w:u w:val="single"/>
    </w:rPr>
  </w:style>
  <w:style w:type="paragraph" w:styleId="a6">
    <w:name w:val="caption"/>
    <w:basedOn w:val="a"/>
    <w:next w:val="a"/>
    <w:qFormat/>
    <w:pPr>
      <w:spacing w:before="60" w:after="60"/>
      <w:ind w:firstLine="0"/>
      <w:jc w:val="center"/>
    </w:pPr>
  </w:style>
  <w:style w:type="paragraph" w:styleId="a7">
    <w:name w:val="Body Text"/>
    <w:basedOn w:val="a"/>
  </w:style>
  <w:style w:type="paragraph" w:styleId="a8">
    <w:name w:val="Body Text Indent"/>
    <w:basedOn w:val="a"/>
    <w:pPr>
      <w:ind w:left="284"/>
    </w:pPr>
  </w:style>
  <w:style w:type="paragraph" w:styleId="a9">
    <w:name w:val="footnote text"/>
    <w:basedOn w:val="a"/>
    <w:semiHidden/>
    <w:pPr>
      <w:ind w:firstLine="0"/>
    </w:pPr>
    <w:rPr>
      <w:sz w:val="24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udk">
    <w:name w:val="udk"/>
    <w:basedOn w:val="a"/>
    <w:next w:val="autor"/>
    <w:autoRedefine/>
    <w:rsid w:val="00490B41"/>
    <w:pPr>
      <w:keepNext/>
      <w:keepLines/>
      <w:ind w:firstLine="0"/>
      <w:jc w:val="left"/>
    </w:pPr>
  </w:style>
  <w:style w:type="paragraph" w:customStyle="1" w:styleId="refer">
    <w:name w:val="refer"/>
    <w:basedOn w:val="a"/>
    <w:next w:val="a"/>
    <w:autoRedefine/>
    <w:rsid w:val="00490B41"/>
    <w:pPr>
      <w:spacing w:after="60" w:line="264" w:lineRule="auto"/>
    </w:pPr>
    <w:rPr>
      <w:rFonts w:ascii="OfficinaSansCTT" w:hAnsi="OfficinaSansCTT"/>
      <w:sz w:val="24"/>
    </w:rPr>
  </w:style>
  <w:style w:type="paragraph" w:customStyle="1" w:styleId="tabhead">
    <w:name w:val="tabhead"/>
    <w:basedOn w:val="a"/>
    <w:next w:val="a"/>
    <w:autoRedefine/>
    <w:rsid w:val="00490B41"/>
    <w:pPr>
      <w:keepNext/>
      <w:keepLines/>
      <w:spacing w:before="80"/>
      <w:ind w:firstLine="0"/>
      <w:jc w:val="right"/>
    </w:pPr>
  </w:style>
  <w:style w:type="paragraph" w:customStyle="1" w:styleId="tabhead1">
    <w:name w:val="tabhead1"/>
    <w:basedOn w:val="tabhead"/>
    <w:pPr>
      <w:suppressAutoHyphens/>
      <w:spacing w:before="0" w:after="80"/>
      <w:jc w:val="center"/>
    </w:pPr>
  </w:style>
  <w:style w:type="paragraph" w:customStyle="1" w:styleId="pic">
    <w:name w:val="pic"/>
    <w:basedOn w:val="a"/>
    <w:next w:val="piclbl"/>
    <w:autoRedefine/>
    <w:rsid w:val="00490B41"/>
    <w:pPr>
      <w:keepNext/>
      <w:keepLines/>
      <w:spacing w:before="80"/>
      <w:ind w:firstLine="0"/>
      <w:jc w:val="center"/>
    </w:pPr>
  </w:style>
  <w:style w:type="paragraph" w:styleId="aa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customStyle="1" w:styleId="refer0">
    <w:name w:val="Стиль refer + После:  0 пт"/>
    <w:basedOn w:val="refer"/>
    <w:autoRedefine/>
    <w:rsid w:val="00490B41"/>
    <w:pPr>
      <w:spacing w:after="0"/>
    </w:pPr>
  </w:style>
  <w:style w:type="paragraph" w:customStyle="1" w:styleId="heading1">
    <w:name w:val="heading 1"/>
    <w:basedOn w:val="1"/>
    <w:autoRedefine/>
    <w:rsid w:val="00EE1D62"/>
  </w:style>
  <w:style w:type="paragraph" w:customStyle="1" w:styleId="heading2">
    <w:name w:val="heading 2"/>
    <w:basedOn w:val="2"/>
    <w:autoRedefine/>
    <w:rsid w:val="00EE1D62"/>
  </w:style>
  <w:style w:type="paragraph" w:customStyle="1" w:styleId="heading3">
    <w:name w:val="heading 3"/>
    <w:basedOn w:val="3"/>
    <w:autoRedefine/>
    <w:rsid w:val="00EE1D62"/>
    <w:rPr>
      <w:i/>
    </w:rPr>
  </w:style>
  <w:style w:type="character" w:styleId="ab">
    <w:name w:val="footnote reference"/>
    <w:semiHidden/>
    <w:rsid w:val="00EE1D62"/>
    <w:rPr>
      <w:vertAlign w:val="superscript"/>
    </w:rPr>
  </w:style>
  <w:style w:type="paragraph" w:customStyle="1" w:styleId="footnote">
    <w:name w:val="footnote"/>
    <w:basedOn w:val="a9"/>
    <w:autoRedefine/>
    <w:rsid w:val="00EE1D62"/>
  </w:style>
  <w:style w:type="paragraph" w:customStyle="1" w:styleId="annothead">
    <w:name w:val="annot_head"/>
    <w:basedOn w:val="a"/>
    <w:link w:val="annothead0"/>
    <w:autoRedefine/>
    <w:rsid w:val="00A1120C"/>
    <w:pPr>
      <w:spacing w:before="120"/>
      <w:ind w:firstLine="181"/>
    </w:pPr>
    <w:rPr>
      <w:rFonts w:ascii="OfficinaSansCTT" w:hAnsi="OfficinaSansCTT"/>
      <w:i/>
      <w:sz w:val="24"/>
    </w:rPr>
  </w:style>
  <w:style w:type="paragraph" w:customStyle="1" w:styleId="annottext">
    <w:name w:val="annot_text"/>
    <w:basedOn w:val="annothead"/>
    <w:link w:val="annottext0"/>
    <w:autoRedefine/>
    <w:rsid w:val="008955D1"/>
    <w:rPr>
      <w:i w:val="0"/>
    </w:rPr>
  </w:style>
  <w:style w:type="paragraph" w:customStyle="1" w:styleId="Keywordshead">
    <w:name w:val="Keywords_head"/>
    <w:basedOn w:val="annothead"/>
    <w:link w:val="Keywordshead0"/>
    <w:autoRedefine/>
    <w:rsid w:val="00A1120C"/>
  </w:style>
  <w:style w:type="character" w:customStyle="1" w:styleId="annothead0">
    <w:name w:val="annot_head Знак"/>
    <w:link w:val="annothead"/>
    <w:rsid w:val="00A1120C"/>
    <w:rPr>
      <w:rFonts w:ascii="OfficinaSansCTT" w:hAnsi="OfficinaSansCTT"/>
      <w:i/>
      <w:sz w:val="24"/>
      <w:lang w:val="ru-RU" w:eastAsia="ru-RU" w:bidi="ar-SA"/>
    </w:rPr>
  </w:style>
  <w:style w:type="paragraph" w:customStyle="1" w:styleId="Keywordstext">
    <w:name w:val="Keywords_text"/>
    <w:basedOn w:val="annottext"/>
    <w:link w:val="Keywordstext0"/>
    <w:autoRedefine/>
    <w:rsid w:val="00A1120C"/>
  </w:style>
  <w:style w:type="character" w:customStyle="1" w:styleId="annottext0">
    <w:name w:val="annot_text Знак"/>
    <w:link w:val="annottext"/>
    <w:rsid w:val="008955D1"/>
    <w:rPr>
      <w:rFonts w:ascii="OfficinaSansCTT" w:hAnsi="OfficinaSansCTT"/>
      <w:sz w:val="24"/>
      <w:lang w:val="ru-RU" w:eastAsia="ru-RU" w:bidi="ar-SA"/>
    </w:rPr>
  </w:style>
  <w:style w:type="character" w:customStyle="1" w:styleId="Keywordstext0">
    <w:name w:val="Keywords_text Знак"/>
    <w:basedOn w:val="annottext0"/>
    <w:link w:val="Keywordstext"/>
    <w:rsid w:val="00A1120C"/>
  </w:style>
  <w:style w:type="character" w:customStyle="1" w:styleId="Keywordshead0">
    <w:name w:val="Keywords_head Знак"/>
    <w:basedOn w:val="annothead0"/>
    <w:link w:val="Keywordshead"/>
    <w:rsid w:val="00A1120C"/>
  </w:style>
  <w:style w:type="paragraph" w:styleId="20">
    <w:name w:val="Body Text 2"/>
    <w:basedOn w:val="a"/>
    <w:rsid w:val="008955D1"/>
    <w:pPr>
      <w:spacing w:after="120" w:line="480" w:lineRule="auto"/>
      <w:ind w:firstLine="0"/>
      <w:jc w:val="left"/>
    </w:pPr>
    <w:rPr>
      <w:rFonts w:ascii="Times New Roman" w:hAnsi="Times New Roman"/>
      <w:sz w:val="24"/>
      <w:szCs w:val="24"/>
      <w:lang w:val="en-GB" w:eastAsia="en-US"/>
    </w:rPr>
  </w:style>
  <w:style w:type="paragraph" w:styleId="ac">
    <w:name w:val="Normal (Web)"/>
    <w:basedOn w:val="a"/>
    <w:rsid w:val="008955D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</w:rPr>
  </w:style>
  <w:style w:type="character" w:styleId="ad">
    <w:name w:val="Hyperlink"/>
    <w:rsid w:val="008955D1"/>
    <w:rPr>
      <w:color w:val="0000FF"/>
      <w:u w:val="single"/>
    </w:rPr>
  </w:style>
  <w:style w:type="paragraph" w:customStyle="1" w:styleId="stattext">
    <w:name w:val="stat_text"/>
    <w:basedOn w:val="a"/>
    <w:autoRedefine/>
    <w:rsid w:val="008955D1"/>
    <w:pPr>
      <w:ind w:firstLine="180"/>
    </w:pPr>
    <w:rPr>
      <w:lang w:val="en-US"/>
    </w:rPr>
  </w:style>
  <w:style w:type="paragraph" w:styleId="30">
    <w:name w:val="Body Text 3"/>
    <w:basedOn w:val="a"/>
    <w:link w:val="31"/>
    <w:rsid w:val="000E6010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rsid w:val="000E6010"/>
    <w:rPr>
      <w:rFonts w:ascii="SchoolBookCTT" w:hAnsi="SchoolBookCTT"/>
      <w:sz w:val="16"/>
      <w:szCs w:val="16"/>
      <w:lang w:val="ru-RU" w:eastAsia="ru-RU"/>
    </w:rPr>
  </w:style>
  <w:style w:type="character" w:customStyle="1" w:styleId="hps">
    <w:name w:val="hps"/>
    <w:basedOn w:val="a0"/>
    <w:uiPriority w:val="99"/>
    <w:rsid w:val="00DF04BE"/>
  </w:style>
  <w:style w:type="paragraph" w:styleId="ae">
    <w:name w:val="Balloon Text"/>
    <w:basedOn w:val="a"/>
    <w:link w:val="af"/>
    <w:rsid w:val="00D33F8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rsid w:val="00D33F88"/>
    <w:rPr>
      <w:rFonts w:ascii="Tahoma" w:hAnsi="Tahoma" w:cs="Tahoma"/>
      <w:sz w:val="16"/>
      <w:szCs w:val="16"/>
      <w:lang w:val="ru-RU" w:eastAsia="ru-RU"/>
    </w:rPr>
  </w:style>
  <w:style w:type="character" w:styleId="af0">
    <w:name w:val="annotation reference"/>
    <w:rsid w:val="00AA4CAE"/>
    <w:rPr>
      <w:sz w:val="16"/>
      <w:szCs w:val="16"/>
    </w:rPr>
  </w:style>
  <w:style w:type="paragraph" w:styleId="af1">
    <w:name w:val="annotation text"/>
    <w:basedOn w:val="a"/>
    <w:link w:val="af2"/>
    <w:rsid w:val="00AA4CAE"/>
    <w:rPr>
      <w:sz w:val="20"/>
    </w:rPr>
  </w:style>
  <w:style w:type="character" w:customStyle="1" w:styleId="af2">
    <w:name w:val="Текст примечания Знак"/>
    <w:link w:val="af1"/>
    <w:rsid w:val="00AA4CAE"/>
    <w:rPr>
      <w:rFonts w:ascii="SchoolBookCTT" w:hAnsi="SchoolBookCTT"/>
      <w:lang w:val="ru-RU" w:eastAsia="ru-RU"/>
    </w:rPr>
  </w:style>
  <w:style w:type="paragraph" w:styleId="af3">
    <w:name w:val="annotation subject"/>
    <w:basedOn w:val="af1"/>
    <w:next w:val="af1"/>
    <w:link w:val="af4"/>
    <w:rsid w:val="00AA4CAE"/>
    <w:rPr>
      <w:b/>
      <w:bCs/>
    </w:rPr>
  </w:style>
  <w:style w:type="character" w:customStyle="1" w:styleId="af4">
    <w:name w:val="Тема примечания Знак"/>
    <w:link w:val="af3"/>
    <w:rsid w:val="00AA4CAE"/>
    <w:rPr>
      <w:rFonts w:ascii="SchoolBookCTT" w:hAnsi="SchoolBookCTT"/>
      <w:b/>
      <w:bCs/>
      <w:lang w:val="ru-RU" w:eastAsia="ru-RU"/>
    </w:rPr>
  </w:style>
  <w:style w:type="paragraph" w:customStyle="1" w:styleId="11">
    <w:name w:val="Заголовок 11"/>
    <w:basedOn w:val="1"/>
    <w:autoRedefine/>
    <w:rsid w:val="0035410E"/>
    <w:rPr>
      <w:lang w:val="uk-UA"/>
    </w:rPr>
  </w:style>
  <w:style w:type="paragraph" w:customStyle="1" w:styleId="21">
    <w:name w:val="Заголовок 21"/>
    <w:basedOn w:val="2"/>
    <w:autoRedefine/>
    <w:rsid w:val="0090478C"/>
  </w:style>
  <w:style w:type="table" w:styleId="af5">
    <w:name w:val="Table Grid"/>
    <w:basedOn w:val="a1"/>
    <w:uiPriority w:val="59"/>
    <w:rsid w:val="0090478C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10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k438\Application%20Data\Microsoft\Templates\SYSTEXS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ABD9-C65E-4BA5-9819-EF3CB662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SYSTEXSB.dot</Template>
  <TotalTime>3</TotalTime>
  <Pages>8</Pages>
  <Words>7780</Words>
  <Characters>4436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dmeti</Company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Oleg</dc:creator>
  <cp:lastModifiedBy>SPS-ik</cp:lastModifiedBy>
  <cp:revision>2</cp:revision>
  <cp:lastPrinted>1601-01-01T00:00:00Z</cp:lastPrinted>
  <dcterms:created xsi:type="dcterms:W3CDTF">2014-10-20T22:49:00Z</dcterms:created>
  <dcterms:modified xsi:type="dcterms:W3CDTF">2014-10-20T22:49:00Z</dcterms:modified>
</cp:coreProperties>
</file>