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4529" w:rsidRDefault="001E4529" w:rsidP="00022B94">
      <w:pPr>
        <w:jc w:val="center"/>
      </w:pPr>
    </w:p>
    <w:p w:rsidR="00022B94" w:rsidRDefault="00022B94" w:rsidP="00022B94">
      <w:pPr>
        <w:jc w:val="center"/>
      </w:pPr>
    </w:p>
    <w:p w:rsidR="00022B94" w:rsidRDefault="00022B94" w:rsidP="00022B94">
      <w:pPr>
        <w:jc w:val="center"/>
      </w:pPr>
    </w:p>
    <w:p w:rsidR="00022B94" w:rsidRDefault="00022B94" w:rsidP="00022B94">
      <w:pPr>
        <w:jc w:val="center"/>
      </w:pPr>
    </w:p>
    <w:p w:rsidR="00022B94" w:rsidRDefault="00022B94" w:rsidP="00022B94">
      <w:pPr>
        <w:jc w:val="center"/>
      </w:pPr>
    </w:p>
    <w:p w:rsidR="00022B94" w:rsidRDefault="00022B94" w:rsidP="00022B94">
      <w:pPr>
        <w:jc w:val="center"/>
      </w:pPr>
    </w:p>
    <w:p w:rsidR="00022B94" w:rsidRDefault="00022B94" w:rsidP="00022B94">
      <w:pPr>
        <w:jc w:val="center"/>
      </w:pPr>
    </w:p>
    <w:p w:rsidR="00022B94" w:rsidRDefault="00022B94" w:rsidP="00022B94">
      <w:pPr>
        <w:jc w:val="center"/>
      </w:pPr>
    </w:p>
    <w:p w:rsidR="007D7991" w:rsidRPr="007D7991" w:rsidRDefault="007D7991" w:rsidP="00022B94">
      <w:pPr>
        <w:jc w:val="center"/>
        <w:rPr>
          <w:b/>
          <w:sz w:val="44"/>
          <w:szCs w:val="44"/>
        </w:rPr>
      </w:pPr>
      <w:r w:rsidRPr="007D7991">
        <w:rPr>
          <w:b/>
          <w:sz w:val="44"/>
          <w:szCs w:val="44"/>
        </w:rPr>
        <w:t xml:space="preserve">Secure Online Voting System </w:t>
      </w:r>
    </w:p>
    <w:p w:rsidR="00022B94" w:rsidRPr="007D7991" w:rsidRDefault="007D7991" w:rsidP="00022B94">
      <w:pPr>
        <w:jc w:val="center"/>
        <w:rPr>
          <w:b/>
          <w:sz w:val="44"/>
          <w:szCs w:val="44"/>
        </w:rPr>
      </w:pPr>
      <w:r w:rsidRPr="007D7991">
        <w:rPr>
          <w:b/>
          <w:sz w:val="44"/>
          <w:szCs w:val="44"/>
        </w:rPr>
        <w:t>Security Design</w:t>
      </w:r>
    </w:p>
    <w:p w:rsidR="00022B94" w:rsidRDefault="00022B94" w:rsidP="00022B94">
      <w:pPr>
        <w:jc w:val="center"/>
        <w:rPr>
          <w:b/>
          <w:sz w:val="32"/>
          <w:szCs w:val="32"/>
        </w:rPr>
      </w:pPr>
    </w:p>
    <w:p w:rsidR="005C0FB4" w:rsidRDefault="005C0FB4" w:rsidP="005C0FB4">
      <w:pPr>
        <w:jc w:val="center"/>
        <w:rPr>
          <w:b/>
          <w:sz w:val="32"/>
          <w:szCs w:val="32"/>
        </w:rPr>
      </w:pPr>
      <w:r>
        <w:rPr>
          <w:b/>
          <w:sz w:val="32"/>
          <w:szCs w:val="32"/>
        </w:rPr>
        <w:t>Maik Tessmann</w:t>
      </w:r>
    </w:p>
    <w:p w:rsidR="005C0FB4" w:rsidRDefault="005C0FB4" w:rsidP="00022B94">
      <w:pPr>
        <w:jc w:val="center"/>
        <w:rPr>
          <w:b/>
          <w:sz w:val="32"/>
          <w:szCs w:val="32"/>
        </w:rPr>
      </w:pPr>
      <w:r>
        <w:rPr>
          <w:b/>
          <w:sz w:val="32"/>
          <w:szCs w:val="32"/>
        </w:rPr>
        <w:t>Ermideline Louis</w:t>
      </w:r>
    </w:p>
    <w:p w:rsidR="00022B94" w:rsidRDefault="00022B94" w:rsidP="00022B94">
      <w:pPr>
        <w:jc w:val="center"/>
        <w:rPr>
          <w:b/>
          <w:sz w:val="32"/>
          <w:szCs w:val="32"/>
        </w:rPr>
      </w:pPr>
      <w:r>
        <w:rPr>
          <w:b/>
          <w:sz w:val="32"/>
          <w:szCs w:val="32"/>
        </w:rPr>
        <w:t>Sebastian R. Possis</w:t>
      </w:r>
    </w:p>
    <w:p w:rsidR="00022B94" w:rsidRDefault="005C0FB4" w:rsidP="00022B94">
      <w:pPr>
        <w:jc w:val="center"/>
      </w:pPr>
      <w:r>
        <w:rPr>
          <w:b/>
        </w:rPr>
        <w:t>April</w:t>
      </w:r>
      <w:r w:rsidR="00022B94" w:rsidRPr="00022B94">
        <w:rPr>
          <w:b/>
        </w:rPr>
        <w:t xml:space="preserve"> 2025</w:t>
      </w:r>
    </w:p>
    <w:p w:rsidR="00022B94" w:rsidRDefault="00022B94" w:rsidP="00022B94">
      <w:pPr>
        <w:jc w:val="center"/>
      </w:pPr>
    </w:p>
    <w:p w:rsidR="00022B94" w:rsidRDefault="00022B94" w:rsidP="00022B94">
      <w:pPr>
        <w:jc w:val="center"/>
      </w:pPr>
    </w:p>
    <w:p w:rsidR="00022B94" w:rsidRDefault="00022B94" w:rsidP="00022B94">
      <w:pPr>
        <w:jc w:val="center"/>
      </w:pPr>
    </w:p>
    <w:p w:rsidR="00022B94" w:rsidRDefault="00022B94" w:rsidP="00022B94">
      <w:pPr>
        <w:jc w:val="center"/>
      </w:pPr>
    </w:p>
    <w:p w:rsidR="00022B94" w:rsidRDefault="00022B94" w:rsidP="00022B94">
      <w:pPr>
        <w:jc w:val="center"/>
      </w:pPr>
    </w:p>
    <w:p w:rsidR="00022B94" w:rsidRDefault="00022B94" w:rsidP="00022B94">
      <w:pPr>
        <w:jc w:val="center"/>
      </w:pPr>
    </w:p>
    <w:p w:rsidR="00022B94" w:rsidRDefault="00022B94" w:rsidP="00022B94">
      <w:pPr>
        <w:jc w:val="center"/>
      </w:pPr>
    </w:p>
    <w:p w:rsidR="00022B94" w:rsidRDefault="00022B94" w:rsidP="00022B94">
      <w:pPr>
        <w:jc w:val="center"/>
      </w:pPr>
    </w:p>
    <w:p w:rsidR="00DB1072" w:rsidRPr="00DB1072" w:rsidRDefault="00DB1072" w:rsidP="00DB1072"/>
    <w:p w:rsidR="000A72BA" w:rsidRPr="007F5816" w:rsidRDefault="00372E04" w:rsidP="007F5816">
      <w:pPr>
        <w:spacing w:line="480" w:lineRule="auto"/>
        <w:jc w:val="center"/>
        <w:rPr>
          <w:b/>
          <w:sz w:val="28"/>
          <w:szCs w:val="28"/>
        </w:rPr>
      </w:pPr>
      <w:r>
        <w:rPr>
          <w:b/>
          <w:sz w:val="28"/>
          <w:szCs w:val="28"/>
        </w:rPr>
        <w:t xml:space="preserve">1. </w:t>
      </w:r>
      <w:r w:rsidR="007F5816" w:rsidRPr="007F5816">
        <w:rPr>
          <w:b/>
          <w:sz w:val="28"/>
          <w:szCs w:val="28"/>
        </w:rPr>
        <w:t xml:space="preserve">Executive </w:t>
      </w:r>
      <w:r w:rsidR="007F5816">
        <w:rPr>
          <w:b/>
          <w:sz w:val="28"/>
          <w:szCs w:val="28"/>
        </w:rPr>
        <w:t>Summary</w:t>
      </w:r>
    </w:p>
    <w:p w:rsidR="00CA1D64" w:rsidRPr="00CB5B60" w:rsidRDefault="00CA1D64" w:rsidP="00CA1D64">
      <w:pPr>
        <w:spacing w:line="480" w:lineRule="auto"/>
      </w:pPr>
      <w:r>
        <w:t>In recent years there has been a loud call from the general population to make the United States Voting System accessible online. It is easier said than done, and requires the creation of secure</w:t>
      </w:r>
      <w:r w:rsidRPr="00CB5B60">
        <w:t xml:space="preserve"> </w:t>
      </w:r>
      <w:r>
        <w:t xml:space="preserve">and accessible </w:t>
      </w:r>
      <w:r w:rsidRPr="00CB5B60">
        <w:t>systems</w:t>
      </w:r>
      <w:r>
        <w:t xml:space="preserve"> that cover from the end user, to the voting servers. The following</w:t>
      </w:r>
      <w:r w:rsidRPr="00CB5B60">
        <w:t xml:space="preserve"> </w:t>
      </w:r>
      <w:r w:rsidR="00415A6A" w:rsidRPr="00CB5B60">
        <w:t xml:space="preserve">report </w:t>
      </w:r>
      <w:r w:rsidR="00415A6A">
        <w:t>is</w:t>
      </w:r>
      <w:r>
        <w:t xml:space="preserve"> our proposal of</w:t>
      </w:r>
      <w:r w:rsidRPr="00CB5B60">
        <w:t xml:space="preserve"> a comprehensive, secure, and scalable online voting </w:t>
      </w:r>
      <w:r>
        <w:t>system. This framework is</w:t>
      </w:r>
      <w:r w:rsidRPr="00CB5B60">
        <w:t xml:space="preserve"> designed to maintain </w:t>
      </w:r>
      <w:r>
        <w:t>the anonymity of voters</w:t>
      </w:r>
      <w:r w:rsidRPr="00CB5B60">
        <w:t>, ballot integrity, and protect against cyber</w:t>
      </w:r>
      <w:r>
        <w:t>security</w:t>
      </w:r>
      <w:r w:rsidRPr="00CB5B60">
        <w:t xml:space="preserve"> threats.</w:t>
      </w:r>
    </w:p>
    <w:p w:rsidR="00CA1D64" w:rsidRDefault="00CA1D64" w:rsidP="00CA1D64">
      <w:pPr>
        <w:spacing w:line="480" w:lineRule="auto"/>
      </w:pPr>
      <w:r>
        <w:tab/>
      </w:r>
      <w:r w:rsidRPr="00CB5B60">
        <w:t xml:space="preserve">Our solution begins with in-person identity verification </w:t>
      </w:r>
      <w:r>
        <w:t>using a United States passport or</w:t>
      </w:r>
      <w:r w:rsidRPr="00CB5B60">
        <w:t xml:space="preserve"> birth certificate</w:t>
      </w:r>
      <w:r>
        <w:t xml:space="preserve"> in conjunction with their social security number, and legal photo ID. The </w:t>
      </w:r>
      <w:r w:rsidR="00415A6A">
        <w:t>voters’</w:t>
      </w:r>
      <w:r>
        <w:t xml:space="preserve"> information</w:t>
      </w:r>
      <w:r w:rsidRPr="00CB5B60">
        <w:t xml:space="preserve"> is then tokenize</w:t>
      </w:r>
      <w:r>
        <w:t>d and never stored in plain text</w:t>
      </w:r>
      <w:r w:rsidRPr="00CB5B60">
        <w:t xml:space="preserve">. Once verified, each voter </w:t>
      </w:r>
      <w:r>
        <w:t>goes through</w:t>
      </w:r>
      <w:r w:rsidRPr="00CB5B60">
        <w:t xml:space="preserve"> a secure </w:t>
      </w:r>
      <w:r>
        <w:t>account creation</w:t>
      </w:r>
      <w:r w:rsidRPr="00CB5B60">
        <w:t xml:space="preserve"> process,</w:t>
      </w:r>
      <w:r>
        <w:t xml:space="preserve"> and activates</w:t>
      </w:r>
      <w:r w:rsidRPr="00CB5B60">
        <w:t xml:space="preserve"> their digital voter identity. For authentication, voters will use a federally developed authenticator app</w:t>
      </w:r>
      <w:r>
        <w:t xml:space="preserve"> in conjunction with device specific biometrics such as fingerprint scans or Apple FaceID.  If they do not have access to a smart phone</w:t>
      </w:r>
      <w:r w:rsidR="00E32959">
        <w:t xml:space="preserve"> which estimates show that roughly 10% of the population does not</w:t>
      </w:r>
      <w:r>
        <w:t xml:space="preserve">, they will be issued a </w:t>
      </w:r>
      <w:r w:rsidRPr="00CB5B60">
        <w:t xml:space="preserve">FIDO2-compatible </w:t>
      </w:r>
      <w:r>
        <w:t>USB-C security key, with fingerprint biometric capabilities. Both the app and the FIDO2 key will generate</w:t>
      </w:r>
      <w:r w:rsidRPr="00CB5B60">
        <w:t xml:space="preserve"> one-time passwords (TOTP)</w:t>
      </w:r>
      <w:r>
        <w:t xml:space="preserve"> that refresh every 60</w:t>
      </w:r>
      <w:r w:rsidRPr="00CB5B60">
        <w:t xml:space="preserve"> seconds. </w:t>
      </w:r>
      <w:r>
        <w:t>These authentication features provide a “what I have”, and “what I am”, security factor, on top of the tokenized ID, ensuring</w:t>
      </w:r>
      <w:r w:rsidRPr="00CB5B60">
        <w:t xml:space="preserve"> strong multi-factor authentication</w:t>
      </w:r>
      <w:r>
        <w:t>. To ensure broad access to the system</w:t>
      </w:r>
      <w:r w:rsidRPr="00CB5B60">
        <w:t xml:space="preserve">, </w:t>
      </w:r>
      <w:r>
        <w:t>our</w:t>
      </w:r>
      <w:r w:rsidRPr="00CB5B60">
        <w:t xml:space="preserve"> solution supports</w:t>
      </w:r>
      <w:r>
        <w:t xml:space="preserve"> the following platforms:</w:t>
      </w:r>
    </w:p>
    <w:p w:rsidR="00CA1D64" w:rsidRDefault="00CA1D64" w:rsidP="00CA1D64">
      <w:pPr>
        <w:pStyle w:val="ListParagraph"/>
        <w:numPr>
          <w:ilvl w:val="0"/>
          <w:numId w:val="35"/>
        </w:numPr>
        <w:spacing w:line="480" w:lineRule="auto"/>
      </w:pPr>
      <w:r>
        <w:t>Windows 10 and later</w:t>
      </w:r>
    </w:p>
    <w:p w:rsidR="00CA1D64" w:rsidRDefault="00CA1D64" w:rsidP="00CA1D64">
      <w:pPr>
        <w:pStyle w:val="ListParagraph"/>
        <w:numPr>
          <w:ilvl w:val="0"/>
          <w:numId w:val="35"/>
        </w:numPr>
        <w:spacing w:line="480" w:lineRule="auto"/>
      </w:pPr>
      <w:r>
        <w:t>Linux Systems using Kernel 5.5 and later</w:t>
      </w:r>
    </w:p>
    <w:p w:rsidR="00CA1D64" w:rsidRDefault="00CA1D64" w:rsidP="00CA1D64">
      <w:pPr>
        <w:pStyle w:val="ListParagraph"/>
        <w:numPr>
          <w:ilvl w:val="0"/>
          <w:numId w:val="35"/>
        </w:numPr>
        <w:spacing w:line="480" w:lineRule="auto"/>
      </w:pPr>
      <w:r>
        <w:lastRenderedPageBreak/>
        <w:t>Android 10 and later</w:t>
      </w:r>
    </w:p>
    <w:p w:rsidR="00CA1D64" w:rsidRDefault="00CA1D64" w:rsidP="00CA1D64">
      <w:pPr>
        <w:pStyle w:val="ListParagraph"/>
        <w:numPr>
          <w:ilvl w:val="0"/>
          <w:numId w:val="35"/>
        </w:numPr>
        <w:spacing w:line="480" w:lineRule="auto"/>
      </w:pPr>
      <w:r>
        <w:t>MacOS 11 and later</w:t>
      </w:r>
    </w:p>
    <w:p w:rsidR="00CA1D64" w:rsidRDefault="00CA1D64" w:rsidP="00CA1D64">
      <w:pPr>
        <w:pStyle w:val="ListParagraph"/>
        <w:numPr>
          <w:ilvl w:val="0"/>
          <w:numId w:val="35"/>
        </w:numPr>
        <w:spacing w:line="480" w:lineRule="auto"/>
      </w:pPr>
      <w:r>
        <w:t>iOS 13 and later</w:t>
      </w:r>
    </w:p>
    <w:p w:rsidR="00CA1D64" w:rsidRDefault="00CA1D64" w:rsidP="00CA1D64">
      <w:pPr>
        <w:spacing w:line="480" w:lineRule="auto"/>
      </w:pPr>
      <w:r>
        <w:t>This ensures that the majority of devices currently in use by the populace are supported, and reduces or eliminates the need for any upgrade strains on the voter.</w:t>
      </w:r>
    </w:p>
    <w:p w:rsidR="00CA1D64" w:rsidRDefault="00CA1D64" w:rsidP="00CA1D64">
      <w:pPr>
        <w:spacing w:line="480" w:lineRule="auto"/>
      </w:pPr>
      <w:r>
        <w:t xml:space="preserve">For additional accessibility and convenience, mobile bus units will be deployed nationwide, at an average of 2 per county, to aid with account registration, recovery, any in-person voting for underserved segments of the population. Additionally all existing offices of </w:t>
      </w:r>
      <w:r w:rsidR="00372E04">
        <w:t>election</w:t>
      </w:r>
      <w:r>
        <w:t xml:space="preserve"> and local polling locations will be utilized to reduce the need for new infrastructure. To ensure that the </w:t>
      </w:r>
      <w:r w:rsidR="00372E04">
        <w:t>elderly</w:t>
      </w:r>
      <w:r>
        <w:t xml:space="preserve"> and those with disabilities are afforded proper access, each mobile unit, and physical location will include an ADA-compliant kiosk, and assistive technologies.</w:t>
      </w:r>
    </w:p>
    <w:p w:rsidR="00CA1D64" w:rsidRDefault="00CA1D64" w:rsidP="00CA1D64">
      <w:pPr>
        <w:spacing w:line="480" w:lineRule="auto"/>
      </w:pPr>
      <w:r>
        <w:tab/>
        <w:t xml:space="preserve">In addition to normal registration, ahead of any voting period, there will be a 6-8 week window of open registration. During this window, all existing polling locations will be utilized to register new voters and complete the secure account creation process. This ensures adequate </w:t>
      </w:r>
      <w:r w:rsidR="002A5257">
        <w:t xml:space="preserve">time to include any previously </w:t>
      </w:r>
      <w:r w:rsidR="0033223A">
        <w:t>u</w:t>
      </w:r>
      <w:r>
        <w:t>nregistered voters ready for the coming election.</w:t>
      </w:r>
    </w:p>
    <w:p w:rsidR="00CA1D64" w:rsidRDefault="00CA1D64" w:rsidP="00CA1D64">
      <w:pPr>
        <w:spacing w:line="480" w:lineRule="auto"/>
      </w:pPr>
      <w:r>
        <w:tab/>
        <w:t>Our</w:t>
      </w:r>
      <w:r w:rsidRPr="00CB5B60">
        <w:t xml:space="preserve"> system supports an open</w:t>
      </w:r>
      <w:r>
        <w:t>-enrollment-style voting period. This ensures voters can cast their vote any time during the voting window. In addition they may view and revise their votes if they change their mind at any time until voting closes. On top of the flexibility afforded to voters, this method also serves to reduce</w:t>
      </w:r>
      <w:r w:rsidRPr="00CB5B60">
        <w:t xml:space="preserve"> traffic spikes</w:t>
      </w:r>
      <w:r>
        <w:t xml:space="preserve"> since there will be no longer be the rush of one day voting. This improves</w:t>
      </w:r>
      <w:r w:rsidRPr="00CB5B60">
        <w:t xml:space="preserve"> system availability and reliability. </w:t>
      </w:r>
      <w:r w:rsidR="00372E04">
        <w:t>This system will be available for</w:t>
      </w:r>
      <w:r w:rsidR="00372E04" w:rsidRPr="00CB5B60">
        <w:t xml:space="preserve"> U.S. citizens abroad, </w:t>
      </w:r>
      <w:r w:rsidR="00372E04">
        <w:t xml:space="preserve">and accessed via the same secure channel. </w:t>
      </w:r>
      <w:r>
        <w:t xml:space="preserve">In the event that there is no safe internet access, such as with countries the USA has sanctions against, there will be </w:t>
      </w:r>
      <w:r w:rsidRPr="00CB5B60">
        <w:t xml:space="preserve">fallback </w:t>
      </w:r>
      <w:r w:rsidRPr="00CB5B60">
        <w:lastRenderedPageBreak/>
        <w:t>options at U.S. embassies or thro</w:t>
      </w:r>
      <w:r>
        <w:t xml:space="preserve">ugh satellite internet. In exceedingly rare edge </w:t>
      </w:r>
      <w:r w:rsidRPr="00CB5B60">
        <w:t xml:space="preserve">cases where no digital access is possible, traditional vote-by-mail </w:t>
      </w:r>
      <w:r>
        <w:t>will remain</w:t>
      </w:r>
      <w:r w:rsidRPr="00CB5B60">
        <w:t xml:space="preserve"> available.</w:t>
      </w:r>
    </w:p>
    <w:p w:rsidR="00CA1D64" w:rsidRPr="00CB5B60" w:rsidRDefault="00CA1D64" w:rsidP="00CA1D64">
      <w:pPr>
        <w:spacing w:line="480" w:lineRule="auto"/>
      </w:pPr>
      <w:r>
        <w:tab/>
        <w:t xml:space="preserve">Security </w:t>
      </w:r>
      <w:r w:rsidRPr="00CB5B60">
        <w:t>during the voting process</w:t>
      </w:r>
      <w:r>
        <w:t xml:space="preserve"> is handled via a</w:t>
      </w:r>
      <w:r w:rsidRPr="00CB5B60">
        <w:t xml:space="preserve"> lockdown browser</w:t>
      </w:r>
      <w:r>
        <w:t xml:space="preserve">, </w:t>
      </w:r>
      <w:r w:rsidRPr="00CB5B60">
        <w:t>similar to the Respondus browser</w:t>
      </w:r>
      <w:r>
        <w:t xml:space="preserve"> used for the civic literacy exam. Lockdown browsers are </w:t>
      </w:r>
      <w:r w:rsidRPr="00CB5B60">
        <w:t xml:space="preserve">designed to </w:t>
      </w:r>
      <w:r>
        <w:t>prevent any</w:t>
      </w:r>
      <w:r w:rsidRPr="00CB5B60">
        <w:t xml:space="preserve"> background activity</w:t>
      </w:r>
      <w:r>
        <w:t xml:space="preserve"> of the device and</w:t>
      </w:r>
      <w:r w:rsidRPr="00CB5B60">
        <w:t xml:space="preserve"> </w:t>
      </w:r>
      <w:r>
        <w:t>screenshots, as well as any unauthorized and unnecessary network access. The government issue browser will also</w:t>
      </w:r>
      <w:r w:rsidRPr="00CB5B60">
        <w:t xml:space="preserve"> </w:t>
      </w:r>
      <w:r>
        <w:t>form</w:t>
      </w:r>
      <w:r w:rsidRPr="00CB5B60">
        <w:t xml:space="preserve"> a</w:t>
      </w:r>
      <w:r>
        <w:t>n AES-256 encrypted</w:t>
      </w:r>
      <w:r w:rsidRPr="00CB5B60">
        <w:t xml:space="preserve"> direct tunnel between the voter's device and the </w:t>
      </w:r>
      <w:r>
        <w:t>voting servers</w:t>
      </w:r>
      <w:r w:rsidRPr="00CB5B60">
        <w:t>,</w:t>
      </w:r>
      <w:r>
        <w:t xml:space="preserve"> ensuring </w:t>
      </w:r>
      <w:r w:rsidRPr="00CB5B60">
        <w:t>data in transit</w:t>
      </w:r>
      <w:r>
        <w:t xml:space="preserve"> is protected</w:t>
      </w:r>
      <w:r w:rsidRPr="00CB5B60">
        <w:t xml:space="preserve"> and </w:t>
      </w:r>
      <w:r>
        <w:t>tamper-proof</w:t>
      </w:r>
      <w:r w:rsidRPr="00CB5B60">
        <w:t>.</w:t>
      </w:r>
    </w:p>
    <w:p w:rsidR="00CA1D64" w:rsidRPr="00CB5B60" w:rsidRDefault="00CA1D64" w:rsidP="00CA1D64">
      <w:pPr>
        <w:spacing w:line="480" w:lineRule="auto"/>
      </w:pPr>
      <w:r>
        <w:tab/>
      </w:r>
      <w:r w:rsidRPr="00CB5B60">
        <w:t>All system activi</w:t>
      </w:r>
      <w:r>
        <w:t xml:space="preserve">ties </w:t>
      </w:r>
      <w:r w:rsidRPr="00CB5B60">
        <w:t>including</w:t>
      </w:r>
      <w:r>
        <w:t xml:space="preserve"> but not limited to:</w:t>
      </w:r>
      <w:r w:rsidRPr="00CB5B60">
        <w:t xml:space="preserve"> login attempts, vote</w:t>
      </w:r>
      <w:r>
        <w:t>r</w:t>
      </w:r>
      <w:r w:rsidRPr="00CB5B60">
        <w:t xml:space="preserve"> s</w:t>
      </w:r>
      <w:r>
        <w:t xml:space="preserve">ubmissions, and authentications </w:t>
      </w:r>
      <w:r w:rsidRPr="00CB5B60">
        <w:t xml:space="preserve">are securely logged with immutable timestamps. Logs </w:t>
      </w:r>
      <w:r>
        <w:t xml:space="preserve">will be stored in a </w:t>
      </w:r>
      <w:r w:rsidRPr="00CB5B60">
        <w:t xml:space="preserve">secure cloud </w:t>
      </w:r>
      <w:r>
        <w:t xml:space="preserve">environment with fully transparent </w:t>
      </w:r>
      <w:r w:rsidRPr="00CB5B60">
        <w:t>audit trails. The system</w:t>
      </w:r>
      <w:r>
        <w:t xml:space="preserve"> will also incorporate the use of Intrusion Detection Systems(IDS) and Security Information and Event Management(SIEM’s) to</w:t>
      </w:r>
      <w:r w:rsidRPr="00CB5B60">
        <w:t xml:space="preserve"> actively monitors for anomalies, triggering alerts</w:t>
      </w:r>
      <w:r>
        <w:t xml:space="preserve"> after defined thresholds (i.e.</w:t>
      </w:r>
      <w:r w:rsidRPr="00CB5B60">
        <w:t xml:space="preserve"> five failed login attempts result in account lockout and user notification). Account recovery mirrors the original registration process and </w:t>
      </w:r>
      <w:r>
        <w:t xml:space="preserve">can only be completed in person. Upon account lockout, the user must return to one of the registration locations, to have their account unlocked, after validating their identity as the owner. They will again be required to provide valid identification, however a state issued drivers license, id, or passport will be sufficient. This ensures that there can be no fraudulent and unsecure method that can circumvent the secure structure of the system such as a man in the middle </w:t>
      </w:r>
      <w:r w:rsidR="00372E04">
        <w:t>attack (</w:t>
      </w:r>
      <w:r>
        <w:t xml:space="preserve">MITM). </w:t>
      </w:r>
    </w:p>
    <w:p w:rsidR="00CA1D64" w:rsidRPr="00CB5B60" w:rsidRDefault="00CA1D64" w:rsidP="00CA1D64">
      <w:pPr>
        <w:spacing w:line="480" w:lineRule="auto"/>
        <w:jc w:val="center"/>
        <w:rPr>
          <w:b/>
        </w:rPr>
      </w:pPr>
      <w:r w:rsidRPr="00CB5B60">
        <w:rPr>
          <w:b/>
        </w:rPr>
        <w:t>Cost &amp; Feasibility</w:t>
      </w:r>
    </w:p>
    <w:p w:rsidR="00CA1D64" w:rsidRPr="00CB5B60" w:rsidRDefault="00CA1D64" w:rsidP="00CA1D64">
      <w:pPr>
        <w:spacing w:line="480" w:lineRule="auto"/>
      </w:pPr>
      <w:r>
        <w:tab/>
      </w:r>
      <w:r w:rsidRPr="00CB5B60">
        <w:t>Initial implementation costs are expected in the areas of:</w:t>
      </w:r>
    </w:p>
    <w:p w:rsidR="00CA1D64" w:rsidRPr="00CB5B60" w:rsidRDefault="00CA1D64" w:rsidP="00CA1D64">
      <w:pPr>
        <w:spacing w:line="480" w:lineRule="auto"/>
      </w:pPr>
      <w:r w:rsidRPr="00CB5B60">
        <w:lastRenderedPageBreak/>
        <w:t xml:space="preserve">Hardware: Security keys, </w:t>
      </w:r>
      <w:r>
        <w:t xml:space="preserve">Azure cloud </w:t>
      </w:r>
      <w:r w:rsidRPr="00CB5B60">
        <w:t>servers, secure cloud storage</w:t>
      </w:r>
      <w:r>
        <w:t>, Mobile Registration Units, Kiosks/PC’s, and Mobile Internet Access.</w:t>
      </w:r>
    </w:p>
    <w:p w:rsidR="00CA1D64" w:rsidRPr="00CB5B60" w:rsidRDefault="00CA1D64" w:rsidP="00CA1D64">
      <w:pPr>
        <w:spacing w:line="480" w:lineRule="auto"/>
      </w:pPr>
      <w:r w:rsidRPr="00CB5B60">
        <w:t xml:space="preserve">Software: Authenticator app development, lockdown browser, </w:t>
      </w:r>
      <w:r>
        <w:t xml:space="preserve">Azure </w:t>
      </w:r>
      <w:r w:rsidRPr="00CB5B60">
        <w:t>monitoring tools</w:t>
      </w:r>
    </w:p>
    <w:p w:rsidR="00CA1D64" w:rsidRDefault="00CA1D64" w:rsidP="00CA1D64">
      <w:pPr>
        <w:spacing w:line="480" w:lineRule="auto"/>
      </w:pPr>
      <w:r w:rsidRPr="00CB5B60">
        <w:t>Personnel: Security experts, developers, tech support, and local election officials</w:t>
      </w:r>
      <w:r>
        <w:t>.</w:t>
      </w:r>
    </w:p>
    <w:p w:rsidR="00CA1D64" w:rsidRPr="00CB5B60" w:rsidRDefault="00CA1D64" w:rsidP="00CA1D64">
      <w:pPr>
        <w:spacing w:line="480" w:lineRule="auto"/>
      </w:pPr>
      <w:r>
        <w:t>Miscellaneous Additional Costs.</w:t>
      </w:r>
    </w:p>
    <w:p w:rsidR="00CA1D64" w:rsidRPr="00CB5B60" w:rsidRDefault="00CA1D64" w:rsidP="00CA1D64">
      <w:pPr>
        <w:spacing w:line="480" w:lineRule="auto"/>
      </w:pPr>
      <w:r w:rsidRPr="00CB5B60">
        <w:t xml:space="preserve">While </w:t>
      </w:r>
      <w:r>
        <w:t>the initial</w:t>
      </w:r>
      <w:r w:rsidRPr="00CB5B60">
        <w:t xml:space="preserve"> investm</w:t>
      </w:r>
      <w:r>
        <w:t>ent will not be small</w:t>
      </w:r>
      <w:r w:rsidRPr="00CB5B60">
        <w:t xml:space="preserve">, the system is designed to scale </w:t>
      </w:r>
      <w:r>
        <w:t>with the needs of the nation</w:t>
      </w:r>
      <w:r w:rsidRPr="00CB5B60">
        <w:t>,</w:t>
      </w:r>
      <w:r>
        <w:t xml:space="preserve"> beginning with</w:t>
      </w:r>
      <w:r w:rsidRPr="00CB5B60">
        <w:t xml:space="preserve"> serving over 150 million eligible </w:t>
      </w:r>
      <w:r>
        <w:t>voters</w:t>
      </w:r>
      <w:r w:rsidRPr="00CB5B60">
        <w:t>. Leveraging existing</w:t>
      </w:r>
      <w:r>
        <w:t xml:space="preserve"> polling infrastructure, as well as</w:t>
      </w:r>
      <w:r w:rsidRPr="00CB5B60">
        <w:t xml:space="preserve"> personal devices significantly reduces the need for additional hardware expenditures.</w:t>
      </w:r>
    </w:p>
    <w:p w:rsidR="00CA1D64" w:rsidRPr="00CB5B60" w:rsidRDefault="00CA1D64" w:rsidP="00CA1D64">
      <w:pPr>
        <w:spacing w:line="480" w:lineRule="auto"/>
        <w:jc w:val="center"/>
        <w:rPr>
          <w:b/>
        </w:rPr>
      </w:pPr>
      <w:r w:rsidRPr="00CB5B60">
        <w:rPr>
          <w:b/>
        </w:rPr>
        <w:t>Recommendation</w:t>
      </w:r>
    </w:p>
    <w:p w:rsidR="00CA1D64" w:rsidRPr="00CB5B60" w:rsidRDefault="00CA1D64" w:rsidP="00CA1D64">
      <w:pPr>
        <w:spacing w:line="480" w:lineRule="auto"/>
      </w:pPr>
      <w:r>
        <w:tab/>
      </w:r>
      <w:r w:rsidRPr="00CB5B60">
        <w:t>We recommend a phased rollout, beginning with pilot testing at local and state l</w:t>
      </w:r>
      <w:r>
        <w:t>evels within the next 2–3 years. If all goes well, it should be</w:t>
      </w:r>
      <w:r w:rsidRPr="00CB5B60">
        <w:t xml:space="preserve"> followed by a nationwide deployment within 5–7 years, subject to infrastructure readiness. </w:t>
      </w:r>
      <w:r>
        <w:t>Though</w:t>
      </w:r>
      <w:r w:rsidRPr="00CB5B60">
        <w:t xml:space="preserve"> challenges</w:t>
      </w:r>
      <w:r>
        <w:t xml:space="preserve"> </w:t>
      </w:r>
      <w:r w:rsidRPr="00CB5B60">
        <w:t xml:space="preserve">such </w:t>
      </w:r>
      <w:r>
        <w:t>as ensuring bipartisan trust</w:t>
      </w:r>
      <w:r w:rsidRPr="00CB5B60">
        <w:t xml:space="preserve"> </w:t>
      </w:r>
      <w:r>
        <w:t>remain, our</w:t>
      </w:r>
      <w:r w:rsidRPr="00CB5B60">
        <w:t xml:space="preserve"> system </w:t>
      </w:r>
      <w:r>
        <w:t>re</w:t>
      </w:r>
      <w:r w:rsidRPr="00CB5B60">
        <w:t>presents a realistic and forward-thinking approach to securing online elections in the near future.</w:t>
      </w:r>
    </w:p>
    <w:p w:rsidR="000A72BA" w:rsidRDefault="000A72BA" w:rsidP="00C127ED"/>
    <w:p w:rsidR="00A450C6" w:rsidRDefault="00A450C6" w:rsidP="00C127ED"/>
    <w:p w:rsidR="001E55D0" w:rsidRDefault="001E55D0" w:rsidP="00C127ED"/>
    <w:p w:rsidR="001E55D0" w:rsidRDefault="001E55D0" w:rsidP="00C127ED"/>
    <w:p w:rsidR="001E55D0" w:rsidRDefault="001E55D0" w:rsidP="00C127ED"/>
    <w:p w:rsidR="001E55D0" w:rsidRDefault="001E55D0" w:rsidP="00C127ED"/>
    <w:p w:rsidR="00A450C6" w:rsidRPr="001E55D0" w:rsidRDefault="00372E04" w:rsidP="001E55D0">
      <w:pPr>
        <w:jc w:val="center"/>
        <w:rPr>
          <w:b/>
          <w:sz w:val="28"/>
          <w:szCs w:val="28"/>
        </w:rPr>
      </w:pPr>
      <w:r>
        <w:rPr>
          <w:b/>
          <w:sz w:val="28"/>
          <w:szCs w:val="28"/>
        </w:rPr>
        <w:lastRenderedPageBreak/>
        <w:t xml:space="preserve">2. </w:t>
      </w:r>
      <w:r w:rsidR="00A450C6">
        <w:rPr>
          <w:b/>
          <w:sz w:val="28"/>
          <w:szCs w:val="28"/>
        </w:rPr>
        <w:t>Scenario Walkthrough</w:t>
      </w:r>
    </w:p>
    <w:p w:rsidR="008B61B9" w:rsidRPr="00101FD4" w:rsidRDefault="008B61B9" w:rsidP="00A450C6"/>
    <w:p w:rsidR="008B61B9" w:rsidRDefault="001E55D0" w:rsidP="00A450C6">
      <w:r>
        <w:rPr>
          <w:noProof/>
        </w:rPr>
        <w:drawing>
          <wp:inline distT="0" distB="0" distL="0" distR="0">
            <wp:extent cx="5943600" cy="1876425"/>
            <wp:effectExtent l="19050" t="0" r="0" b="0"/>
            <wp:docPr id="1" name="Picture 0" descr="Team_4_voter_flowchart_Versi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_4_voter_flowchart_Version_1.png"/>
                    <pic:cNvPicPr/>
                  </pic:nvPicPr>
                  <pic:blipFill>
                    <a:blip r:embed="rId7" cstate="print"/>
                    <a:stretch>
                      <a:fillRect/>
                    </a:stretch>
                  </pic:blipFill>
                  <pic:spPr>
                    <a:xfrm>
                      <a:off x="0" y="0"/>
                      <a:ext cx="5943600" cy="1876425"/>
                    </a:xfrm>
                    <a:prstGeom prst="rect">
                      <a:avLst/>
                    </a:prstGeom>
                  </pic:spPr>
                </pic:pic>
              </a:graphicData>
            </a:graphic>
          </wp:inline>
        </w:drawing>
      </w:r>
    </w:p>
    <w:p w:rsidR="001E55D0" w:rsidRPr="001E55D0" w:rsidRDefault="001E55D0" w:rsidP="001E55D0">
      <w:pPr>
        <w:shd w:val="clear" w:color="auto" w:fill="FFFFFF"/>
        <w:spacing w:before="144" w:after="144" w:line="480" w:lineRule="auto"/>
        <w:rPr>
          <w:rFonts w:eastAsia="Times New Roman" w:cstheme="minorHAnsi"/>
        </w:rPr>
      </w:pPr>
      <w:r>
        <w:rPr>
          <w:rFonts w:eastAsia="Times New Roman" w:cstheme="minorHAnsi"/>
        </w:rPr>
        <w:tab/>
      </w:r>
      <w:r w:rsidRPr="001E55D0">
        <w:rPr>
          <w:rFonts w:eastAsia="Times New Roman" w:cstheme="minorHAnsi"/>
        </w:rPr>
        <w:t>Our voting solution begins with an in-person registration process by the voter. Those unable to travel to the brick-and-mortar registration sites may use one of the traveling mobile registration units. As a tertiary solution, travel vouchers are provided to voters who require additional travel assistance, such as bus or accessible (ADA) transportation. Valid credentials are presented to confirm their identity. This documentation includes Personally Identifiable Information (PII) in the form of a driver’s license, birth certificate, or certificate of naturalization, coupled with a social security card. The representative of the registration site verifies this information and proceeds to create the voter’s digital account.</w:t>
      </w:r>
    </w:p>
    <w:p w:rsidR="001E55D0" w:rsidRPr="001E55D0" w:rsidRDefault="001E55D0" w:rsidP="001E55D0">
      <w:pPr>
        <w:shd w:val="clear" w:color="auto" w:fill="FFFFFF"/>
        <w:spacing w:before="144" w:after="144" w:line="480" w:lineRule="auto"/>
        <w:rPr>
          <w:rFonts w:eastAsia="Times New Roman" w:cstheme="minorHAnsi"/>
        </w:rPr>
      </w:pPr>
      <w:r>
        <w:rPr>
          <w:rFonts w:eastAsia="Times New Roman" w:cstheme="minorHAnsi"/>
        </w:rPr>
        <w:tab/>
      </w:r>
      <w:r w:rsidRPr="001E55D0">
        <w:rPr>
          <w:rFonts w:eastAsia="Times New Roman" w:cstheme="minorHAnsi"/>
        </w:rPr>
        <w:t>The social security number of the voter is tokenized to generate the login ID of the voter. This ensures security for the voter’s social security number. In addition, the use of a tokenized credential ensures anonymity and confidentiality of the voter.</w:t>
      </w:r>
    </w:p>
    <w:p w:rsidR="001E55D0" w:rsidRPr="001E55D0" w:rsidRDefault="001E55D0" w:rsidP="001E55D0">
      <w:pPr>
        <w:shd w:val="clear" w:color="auto" w:fill="FFFFFF"/>
        <w:spacing w:before="144" w:after="144" w:line="480" w:lineRule="auto"/>
        <w:rPr>
          <w:rFonts w:eastAsia="Times New Roman" w:cstheme="minorHAnsi"/>
        </w:rPr>
      </w:pPr>
      <w:r>
        <w:rPr>
          <w:rFonts w:eastAsia="Times New Roman" w:cstheme="minorHAnsi"/>
        </w:rPr>
        <w:tab/>
      </w:r>
      <w:r w:rsidRPr="001E55D0">
        <w:rPr>
          <w:rFonts w:eastAsia="Times New Roman" w:cstheme="minorHAnsi"/>
        </w:rPr>
        <w:t xml:space="preserve">Once this portion is complete, the registration official verifies if the voter possesses a device compatible with the Federal voter authentication app. If a device is available, the app is downloaded and set up. This includes the mandatory use of biometric features on the device. Those without a compatible device are issued a biometric-enabled FIDO2 USB authenticator </w:t>
      </w:r>
      <w:r w:rsidRPr="001E55D0">
        <w:rPr>
          <w:rFonts w:eastAsia="Times New Roman" w:cstheme="minorHAnsi"/>
        </w:rPr>
        <w:lastRenderedPageBreak/>
        <w:t>key. In each setup, the One Time Passcode (OTP) and biometric features introduce two-factor authentication (2FA). Coupled with the voter’s tokenized user login ID, these components provide a complete multi-factor authentication (MFA) solution at each login attempt. Upon completion of the account setup process, the voter attempts a successful login before leaving the registration site.</w:t>
      </w:r>
    </w:p>
    <w:p w:rsidR="001E55D0" w:rsidRPr="001E55D0" w:rsidRDefault="001E55D0" w:rsidP="001E55D0">
      <w:pPr>
        <w:shd w:val="clear" w:color="auto" w:fill="FFFFFF"/>
        <w:spacing w:before="144" w:after="144" w:line="480" w:lineRule="auto"/>
        <w:rPr>
          <w:rFonts w:eastAsia="Times New Roman" w:cstheme="minorHAnsi"/>
        </w:rPr>
      </w:pPr>
      <w:r>
        <w:rPr>
          <w:rFonts w:eastAsia="Times New Roman" w:cstheme="minorHAnsi"/>
        </w:rPr>
        <w:tab/>
      </w:r>
      <w:r w:rsidRPr="001E55D0">
        <w:rPr>
          <w:rFonts w:eastAsia="Times New Roman" w:cstheme="minorHAnsi"/>
        </w:rPr>
        <w:t>Once the open voting period initiates, voters may use a variety of options to access the ballot portal. Home users may use a compatible compute device (e.g., computer, tablet, laptop), international voters visit a voting location (i.e. embassy), and users requiring additional accessibility options may access the mobile voting buses traveling through each county. The compute voting device needs to meet only a few basic requirements. Our solution is based on operating system support by the various vendors, and therefore the device only needs a stable internet connection and one of the following:</w:t>
      </w:r>
    </w:p>
    <w:p w:rsidR="001E55D0" w:rsidRPr="001E55D0" w:rsidRDefault="001E55D0" w:rsidP="001E55D0">
      <w:pPr>
        <w:numPr>
          <w:ilvl w:val="0"/>
          <w:numId w:val="36"/>
        </w:numPr>
        <w:shd w:val="clear" w:color="auto" w:fill="FFFFFF"/>
        <w:spacing w:before="100" w:beforeAutospacing="1" w:after="100" w:afterAutospacing="1" w:line="480" w:lineRule="auto"/>
        <w:ind w:left="300"/>
        <w:rPr>
          <w:rFonts w:eastAsia="Times New Roman" w:cstheme="minorHAnsi"/>
        </w:rPr>
      </w:pPr>
      <w:r w:rsidRPr="001E55D0">
        <w:rPr>
          <w:rFonts w:eastAsia="Times New Roman" w:cstheme="minorHAnsi"/>
        </w:rPr>
        <w:t>Windows 10 and later</w:t>
      </w:r>
    </w:p>
    <w:p w:rsidR="001E55D0" w:rsidRPr="001E55D0" w:rsidRDefault="001E55D0" w:rsidP="001E55D0">
      <w:pPr>
        <w:numPr>
          <w:ilvl w:val="0"/>
          <w:numId w:val="36"/>
        </w:numPr>
        <w:shd w:val="clear" w:color="auto" w:fill="FFFFFF"/>
        <w:spacing w:before="100" w:beforeAutospacing="1" w:after="100" w:afterAutospacing="1" w:line="480" w:lineRule="auto"/>
        <w:ind w:left="300"/>
        <w:rPr>
          <w:rFonts w:eastAsia="Times New Roman" w:cstheme="minorHAnsi"/>
        </w:rPr>
      </w:pPr>
      <w:r w:rsidRPr="001E55D0">
        <w:rPr>
          <w:rFonts w:eastAsia="Times New Roman" w:cstheme="minorHAnsi"/>
        </w:rPr>
        <w:t>Linux Systems using Kernel 5.5 and later</w:t>
      </w:r>
    </w:p>
    <w:p w:rsidR="001E55D0" w:rsidRPr="001E55D0" w:rsidRDefault="001E55D0" w:rsidP="001E55D0">
      <w:pPr>
        <w:numPr>
          <w:ilvl w:val="0"/>
          <w:numId w:val="36"/>
        </w:numPr>
        <w:shd w:val="clear" w:color="auto" w:fill="FFFFFF"/>
        <w:spacing w:before="100" w:beforeAutospacing="1" w:after="100" w:afterAutospacing="1" w:line="480" w:lineRule="auto"/>
        <w:ind w:left="300"/>
        <w:rPr>
          <w:rFonts w:eastAsia="Times New Roman" w:cstheme="minorHAnsi"/>
        </w:rPr>
      </w:pPr>
      <w:r w:rsidRPr="001E55D0">
        <w:rPr>
          <w:rFonts w:eastAsia="Times New Roman" w:cstheme="minorHAnsi"/>
        </w:rPr>
        <w:t>Android 10 and later</w:t>
      </w:r>
    </w:p>
    <w:p w:rsidR="001E55D0" w:rsidRPr="001E55D0" w:rsidRDefault="001E55D0" w:rsidP="001E55D0">
      <w:pPr>
        <w:numPr>
          <w:ilvl w:val="0"/>
          <w:numId w:val="36"/>
        </w:numPr>
        <w:shd w:val="clear" w:color="auto" w:fill="FFFFFF"/>
        <w:spacing w:before="100" w:beforeAutospacing="1" w:after="100" w:afterAutospacing="1" w:line="480" w:lineRule="auto"/>
        <w:ind w:left="300"/>
        <w:rPr>
          <w:rFonts w:eastAsia="Times New Roman" w:cstheme="minorHAnsi"/>
        </w:rPr>
      </w:pPr>
      <w:r w:rsidRPr="001E55D0">
        <w:rPr>
          <w:rFonts w:eastAsia="Times New Roman" w:cstheme="minorHAnsi"/>
        </w:rPr>
        <w:t>MacOS 11 and later</w:t>
      </w:r>
    </w:p>
    <w:p w:rsidR="001E55D0" w:rsidRPr="001E55D0" w:rsidRDefault="001E55D0" w:rsidP="001E55D0">
      <w:pPr>
        <w:numPr>
          <w:ilvl w:val="0"/>
          <w:numId w:val="36"/>
        </w:numPr>
        <w:shd w:val="clear" w:color="auto" w:fill="FFFFFF"/>
        <w:spacing w:before="100" w:beforeAutospacing="1" w:after="100" w:afterAutospacing="1" w:line="480" w:lineRule="auto"/>
        <w:ind w:left="300"/>
        <w:rPr>
          <w:rFonts w:eastAsia="Times New Roman" w:cstheme="minorHAnsi"/>
        </w:rPr>
      </w:pPr>
      <w:r w:rsidRPr="001E55D0">
        <w:rPr>
          <w:rFonts w:eastAsia="Times New Roman" w:cstheme="minorHAnsi"/>
        </w:rPr>
        <w:t>iOS 13 and later</w:t>
      </w:r>
    </w:p>
    <w:p w:rsidR="001E55D0" w:rsidRPr="001E55D0" w:rsidRDefault="001E55D0" w:rsidP="001E55D0">
      <w:pPr>
        <w:shd w:val="clear" w:color="auto" w:fill="FFFFFF"/>
        <w:spacing w:before="144" w:after="144" w:line="480" w:lineRule="auto"/>
        <w:rPr>
          <w:rFonts w:eastAsia="Times New Roman" w:cstheme="minorHAnsi"/>
        </w:rPr>
      </w:pPr>
      <w:r>
        <w:rPr>
          <w:rFonts w:eastAsia="Times New Roman" w:cstheme="minorHAnsi"/>
        </w:rPr>
        <w:tab/>
      </w:r>
      <w:r w:rsidRPr="001E55D0">
        <w:rPr>
          <w:rFonts w:eastAsia="Times New Roman" w:cstheme="minorHAnsi"/>
        </w:rPr>
        <w:t xml:space="preserve">Once situated at a compatible device, the voter visits the voting portal to launch the secure browser session. The user then logs in with their login ID, biometric verification, and OTP. Login failures one to four will redirect the voter to attempt another login. As an added security measure, login failure number five will lock the voter’s account. This will require a visit to the registration site for account reset. In-person verification is required to maintain the </w:t>
      </w:r>
      <w:r w:rsidRPr="001E55D0">
        <w:rPr>
          <w:rFonts w:eastAsia="Times New Roman" w:cstheme="minorHAnsi"/>
        </w:rPr>
        <w:lastRenderedPageBreak/>
        <w:t>integrity of the system. Successful authentication presents the voter with an overview page of the voting process and guidelines.</w:t>
      </w:r>
    </w:p>
    <w:p w:rsidR="001E55D0" w:rsidRDefault="001E55D0" w:rsidP="001E55D0">
      <w:pPr>
        <w:shd w:val="clear" w:color="auto" w:fill="FFFFFF"/>
        <w:spacing w:before="144" w:after="144" w:line="480" w:lineRule="auto"/>
        <w:rPr>
          <w:rFonts w:eastAsia="Times New Roman" w:cstheme="minorHAnsi"/>
        </w:rPr>
      </w:pPr>
      <w:r>
        <w:rPr>
          <w:rFonts w:eastAsia="Times New Roman" w:cstheme="minorHAnsi"/>
        </w:rPr>
        <w:tab/>
      </w:r>
      <w:r w:rsidRPr="001E55D0">
        <w:rPr>
          <w:rFonts w:eastAsia="Times New Roman" w:cstheme="minorHAnsi"/>
        </w:rPr>
        <w:t>At the end of the ballot, the voter is presented with a review screen, followed by an electronic signature (E-sign) prompt. Once signed, this will lock the ballot and automatically submit it at the end of the open voting period. The voter is presented with an announcement providing the time remaining to change their ballot if desired. Should the voter return later to change their ballot, they will need to rescind their signature. Once done, their ballot will not count until it is signed again, even if a signed ballot was previously submitted during open voting. The voter will always see their current ballot status at the end of the process.</w:t>
      </w:r>
      <w:r w:rsidR="00530C02">
        <w:rPr>
          <w:rFonts w:eastAsia="Times New Roman" w:cstheme="minorHAnsi"/>
        </w:rPr>
        <w:t xml:space="preserve"> </w:t>
      </w:r>
    </w:p>
    <w:p w:rsidR="00F95D5A" w:rsidRDefault="00F95D5A" w:rsidP="001E55D0">
      <w:pPr>
        <w:shd w:val="clear" w:color="auto" w:fill="FFFFFF"/>
        <w:spacing w:before="144" w:after="144" w:line="480" w:lineRule="auto"/>
        <w:rPr>
          <w:rFonts w:eastAsia="Times New Roman" w:cstheme="minorHAnsi"/>
        </w:rPr>
      </w:pPr>
    </w:p>
    <w:p w:rsidR="00F95D5A" w:rsidRDefault="00F95D5A" w:rsidP="001E55D0">
      <w:pPr>
        <w:shd w:val="clear" w:color="auto" w:fill="FFFFFF"/>
        <w:spacing w:before="144" w:after="144" w:line="480" w:lineRule="auto"/>
        <w:rPr>
          <w:rFonts w:eastAsia="Times New Roman" w:cstheme="minorHAnsi"/>
        </w:rPr>
      </w:pPr>
    </w:p>
    <w:p w:rsidR="00F95D5A" w:rsidRDefault="00F95D5A" w:rsidP="001E55D0">
      <w:pPr>
        <w:shd w:val="clear" w:color="auto" w:fill="FFFFFF"/>
        <w:spacing w:before="144" w:after="144" w:line="480" w:lineRule="auto"/>
        <w:rPr>
          <w:rFonts w:eastAsia="Times New Roman" w:cstheme="minorHAnsi"/>
        </w:rPr>
      </w:pPr>
    </w:p>
    <w:p w:rsidR="00F95D5A" w:rsidRDefault="00F95D5A" w:rsidP="001E55D0">
      <w:pPr>
        <w:shd w:val="clear" w:color="auto" w:fill="FFFFFF"/>
        <w:spacing w:before="144" w:after="144" w:line="480" w:lineRule="auto"/>
        <w:rPr>
          <w:rFonts w:eastAsia="Times New Roman" w:cstheme="minorHAnsi"/>
        </w:rPr>
      </w:pPr>
    </w:p>
    <w:p w:rsidR="00F95D5A" w:rsidRDefault="00F95D5A" w:rsidP="001E55D0">
      <w:pPr>
        <w:shd w:val="clear" w:color="auto" w:fill="FFFFFF"/>
        <w:spacing w:before="144" w:after="144" w:line="480" w:lineRule="auto"/>
        <w:rPr>
          <w:rFonts w:eastAsia="Times New Roman" w:cstheme="minorHAnsi"/>
        </w:rPr>
      </w:pPr>
    </w:p>
    <w:p w:rsidR="00F95D5A" w:rsidRDefault="00F95D5A" w:rsidP="001E55D0">
      <w:pPr>
        <w:shd w:val="clear" w:color="auto" w:fill="FFFFFF"/>
        <w:spacing w:before="144" w:after="144" w:line="480" w:lineRule="auto"/>
        <w:rPr>
          <w:rFonts w:eastAsia="Times New Roman" w:cstheme="minorHAnsi"/>
        </w:rPr>
      </w:pPr>
    </w:p>
    <w:p w:rsidR="00F95D5A" w:rsidRDefault="00F95D5A" w:rsidP="001E55D0">
      <w:pPr>
        <w:shd w:val="clear" w:color="auto" w:fill="FFFFFF"/>
        <w:spacing w:before="144" w:after="144" w:line="480" w:lineRule="auto"/>
        <w:rPr>
          <w:rFonts w:eastAsia="Times New Roman" w:cstheme="minorHAnsi"/>
        </w:rPr>
      </w:pPr>
    </w:p>
    <w:p w:rsidR="00F95D5A" w:rsidRDefault="00F95D5A" w:rsidP="001E55D0">
      <w:pPr>
        <w:shd w:val="clear" w:color="auto" w:fill="FFFFFF"/>
        <w:spacing w:before="144" w:after="144" w:line="480" w:lineRule="auto"/>
        <w:rPr>
          <w:rFonts w:eastAsia="Times New Roman" w:cstheme="minorHAnsi"/>
        </w:rPr>
      </w:pPr>
    </w:p>
    <w:p w:rsidR="00F95D5A" w:rsidRDefault="00F95D5A" w:rsidP="001E55D0">
      <w:pPr>
        <w:shd w:val="clear" w:color="auto" w:fill="FFFFFF"/>
        <w:spacing w:before="144" w:after="144" w:line="480" w:lineRule="auto"/>
        <w:rPr>
          <w:rFonts w:eastAsia="Times New Roman" w:cstheme="minorHAnsi"/>
        </w:rPr>
      </w:pPr>
    </w:p>
    <w:p w:rsidR="00F95D5A" w:rsidRDefault="00F95D5A" w:rsidP="001E55D0">
      <w:pPr>
        <w:shd w:val="clear" w:color="auto" w:fill="FFFFFF"/>
        <w:spacing w:before="144" w:after="144" w:line="480" w:lineRule="auto"/>
        <w:rPr>
          <w:rFonts w:eastAsia="Times New Roman" w:cstheme="minorHAnsi"/>
        </w:rPr>
      </w:pPr>
    </w:p>
    <w:p w:rsidR="00F95D5A" w:rsidRPr="001E55D0" w:rsidRDefault="00F95D5A" w:rsidP="001E55D0">
      <w:pPr>
        <w:shd w:val="clear" w:color="auto" w:fill="FFFFFF"/>
        <w:spacing w:before="144" w:after="144" w:line="480" w:lineRule="auto"/>
        <w:rPr>
          <w:rFonts w:ascii="Helvetica" w:eastAsia="Times New Roman" w:hAnsi="Helvetica" w:cs="Helvetica"/>
          <w:color w:val="333333"/>
          <w:sz w:val="19"/>
          <w:szCs w:val="19"/>
        </w:rPr>
      </w:pPr>
    </w:p>
    <w:p w:rsidR="001E55D0" w:rsidRDefault="001E55D0" w:rsidP="00A450C6"/>
    <w:p w:rsidR="008B61B9" w:rsidRDefault="00372E04" w:rsidP="008B61B9">
      <w:pPr>
        <w:jc w:val="center"/>
        <w:rPr>
          <w:b/>
          <w:sz w:val="28"/>
          <w:szCs w:val="28"/>
        </w:rPr>
      </w:pPr>
      <w:r>
        <w:rPr>
          <w:b/>
          <w:sz w:val="28"/>
          <w:szCs w:val="28"/>
        </w:rPr>
        <w:t xml:space="preserve">3. </w:t>
      </w:r>
      <w:r w:rsidR="008B61B9">
        <w:rPr>
          <w:b/>
          <w:sz w:val="28"/>
          <w:szCs w:val="28"/>
        </w:rPr>
        <w:t>Network Topology</w:t>
      </w:r>
    </w:p>
    <w:p w:rsidR="00F95D5A" w:rsidRDefault="00F95D5A" w:rsidP="008B61B9">
      <w:pPr>
        <w:jc w:val="center"/>
        <w:rPr>
          <w:b/>
          <w:sz w:val="28"/>
          <w:szCs w:val="28"/>
        </w:rPr>
      </w:pPr>
    </w:p>
    <w:p w:rsidR="008B61B9" w:rsidRPr="00101FD4" w:rsidRDefault="00F95D5A" w:rsidP="00101FD4">
      <w:r>
        <w:rPr>
          <w:b/>
          <w:noProof/>
          <w:sz w:val="28"/>
          <w:szCs w:val="28"/>
        </w:rPr>
        <w:drawing>
          <wp:inline distT="0" distB="0" distL="0" distR="0">
            <wp:extent cx="5943600" cy="4248785"/>
            <wp:effectExtent l="19050" t="0" r="0" b="0"/>
            <wp:docPr id="3" name="Picture 1" descr="Vote_topology_V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te_topology_V_1.png"/>
                    <pic:cNvPicPr/>
                  </pic:nvPicPr>
                  <pic:blipFill>
                    <a:blip r:embed="rId8"/>
                    <a:stretch>
                      <a:fillRect/>
                    </a:stretch>
                  </pic:blipFill>
                  <pic:spPr>
                    <a:xfrm>
                      <a:off x="0" y="0"/>
                      <a:ext cx="5943600" cy="4248785"/>
                    </a:xfrm>
                    <a:prstGeom prst="rect">
                      <a:avLst/>
                    </a:prstGeom>
                  </pic:spPr>
                </pic:pic>
              </a:graphicData>
            </a:graphic>
          </wp:inline>
        </w:drawing>
      </w:r>
    </w:p>
    <w:p w:rsidR="008B61B9" w:rsidRDefault="008B61B9" w:rsidP="008B61B9">
      <w:pPr>
        <w:jc w:val="center"/>
        <w:rPr>
          <w:b/>
          <w:sz w:val="28"/>
          <w:szCs w:val="28"/>
        </w:rPr>
      </w:pPr>
    </w:p>
    <w:p w:rsidR="00F95D5A" w:rsidRP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Pr>
          <w:rFonts w:asciiTheme="majorHAnsi" w:hAnsiTheme="majorHAnsi" w:cstheme="majorHAnsi"/>
          <w:color w:val="333333"/>
        </w:rPr>
        <w:tab/>
      </w:r>
      <w:r w:rsidRPr="00F95D5A">
        <w:rPr>
          <w:rFonts w:asciiTheme="majorHAnsi" w:hAnsiTheme="majorHAnsi" w:cstheme="majorHAnsi"/>
          <w:color w:val="333333"/>
        </w:rPr>
        <w:t>Our network topology provides an end-to-end view of the voting system infrastructure, incorporating potential voter connection options, our Azure-based (Microsoft, 2025b) voting system, and the backend system archivers. This cloud aspect allows us to allocate system resources as needed to accommodate capacity, failover, and back-up services. The instant-on scalability of Azure provides us with a proven and secure architecture for the voting system, while also accommodating users outside the scope of a traditional in-person voting system.</w:t>
      </w:r>
    </w:p>
    <w:p w:rsidR="00F95D5A" w:rsidRPr="00F95D5A" w:rsidRDefault="008817D5"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Pr>
          <w:rFonts w:asciiTheme="majorHAnsi" w:hAnsiTheme="majorHAnsi" w:cstheme="majorHAnsi"/>
          <w:color w:val="333333"/>
        </w:rPr>
        <w:lastRenderedPageBreak/>
        <w:tab/>
      </w:r>
      <w:r w:rsidR="00F95D5A" w:rsidRPr="00F95D5A">
        <w:rPr>
          <w:rFonts w:asciiTheme="majorHAnsi" w:hAnsiTheme="majorHAnsi" w:cstheme="majorHAnsi"/>
          <w:color w:val="333333"/>
        </w:rPr>
        <w:t>Our voter facing topology includes three scenarios for connectivity. We consider users voting from a home environment, mobile voting stations, or internationally based voters utilizing Federal resources such as their local US embassy. These in turn connect via traditional ISP services or WAN providers to our web-based voting portal which provides the frontend for our system.</w:t>
      </w:r>
    </w:p>
    <w:p w:rsidR="00F95D5A" w:rsidRP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Pr>
          <w:rFonts w:asciiTheme="majorHAnsi" w:hAnsiTheme="majorHAnsi" w:cstheme="majorHAnsi"/>
          <w:color w:val="333333"/>
        </w:rPr>
        <w:tab/>
      </w:r>
      <w:r w:rsidRPr="00F95D5A">
        <w:rPr>
          <w:rFonts w:asciiTheme="majorHAnsi" w:hAnsiTheme="majorHAnsi" w:cstheme="majorHAnsi"/>
          <w:color w:val="333333"/>
        </w:rPr>
        <w:t>Home users will connect to a traditional ISP-provided home gateway with a compatible compute device (e.g., desktop, laptop, tablet) for internet accessibility. No specialized infrastructure is needed by the user. Support is provided by the user’s internet service provider for any questions related to internet access.</w:t>
      </w:r>
    </w:p>
    <w:p w:rsidR="00F95D5A" w:rsidRP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Pr>
          <w:rFonts w:asciiTheme="majorHAnsi" w:hAnsiTheme="majorHAnsi" w:cstheme="majorHAnsi"/>
          <w:color w:val="333333"/>
        </w:rPr>
        <w:tab/>
      </w:r>
      <w:r w:rsidRPr="00F95D5A">
        <w:rPr>
          <w:rFonts w:asciiTheme="majorHAnsi" w:hAnsiTheme="majorHAnsi" w:cstheme="majorHAnsi"/>
          <w:color w:val="333333"/>
        </w:rPr>
        <w:t>Our mobile units are fitted with Starlink modules for direct uplink via satellite at community locations throughout the nation. Voters need no specialized equipment or experience to use these mobile vehicles, as they simply access walk-up kiosks. For accessibility options, these units are fitted with ADA-compliant stations that include various assistive technologies and hardware (Microsoft, 2025a).</w:t>
      </w:r>
    </w:p>
    <w:p w:rsidR="00F95D5A" w:rsidRP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Pr>
          <w:rFonts w:asciiTheme="majorHAnsi" w:hAnsiTheme="majorHAnsi" w:cstheme="majorHAnsi"/>
          <w:color w:val="333333"/>
        </w:rPr>
        <w:tab/>
      </w:r>
      <w:r w:rsidRPr="00F95D5A">
        <w:rPr>
          <w:rFonts w:asciiTheme="majorHAnsi" w:hAnsiTheme="majorHAnsi" w:cstheme="majorHAnsi"/>
          <w:color w:val="333333"/>
        </w:rPr>
        <w:t>International voters will need to access a secure US embassy for voting at a kiosk station there. In addition to the basic components of a home network, this location’s topology relies on network segmentation (CISA, 2025) via switched networks, a managed router, and firewall/security services as needed. Voting is again performed at an accessible station if required.</w:t>
      </w:r>
    </w:p>
    <w:p w:rsidR="00F95D5A" w:rsidRP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Pr>
          <w:rFonts w:asciiTheme="majorHAnsi" w:hAnsiTheme="majorHAnsi" w:cstheme="majorHAnsi"/>
          <w:color w:val="333333"/>
        </w:rPr>
        <w:tab/>
      </w:r>
      <w:r w:rsidRPr="00F95D5A">
        <w:rPr>
          <w:rFonts w:asciiTheme="majorHAnsi" w:hAnsiTheme="majorHAnsi" w:cstheme="majorHAnsi"/>
          <w:color w:val="333333"/>
        </w:rPr>
        <w:t xml:space="preserve">Once the user reaches our web portal server, located in the DMZ, our Azure cloud platform takes over. In addition to firewalls, we utilize an intent-based cloud segmentation (Fortinet, 2019) aspect to branch out management and support services (e.g., Sentinel, DDoS, Cloud services) on one dedicated virtual network segment. Our next segment provides load </w:t>
      </w:r>
      <w:r w:rsidRPr="00F95D5A">
        <w:rPr>
          <w:rFonts w:asciiTheme="majorHAnsi" w:hAnsiTheme="majorHAnsi" w:cstheme="majorHAnsi"/>
          <w:color w:val="333333"/>
        </w:rPr>
        <w:lastRenderedPageBreak/>
        <w:t>balancing services to our App Services (housing our authentication and token services) and the actual server farm and virtual machines hosting the ballots and voting submissions. Isolated on a dedicated segment is our Azure AD platform, covering the needs of IAA. We round out the network with a dedicated link to back-up archivers at physical data center sites for data resiliency, data lifecycle management, and business continuity. This design allows us to account for not only specific resources but adds to the layered approach related to network design (OWASP, 2025).</w:t>
      </w:r>
    </w:p>
    <w:p w:rsidR="008B61B9" w:rsidRDefault="008B61B9" w:rsidP="00F95D5A">
      <w:pPr>
        <w:rPr>
          <w:b/>
          <w:sz w:val="28"/>
          <w:szCs w:val="28"/>
        </w:rPr>
      </w:pPr>
    </w:p>
    <w:p w:rsidR="008B61B9" w:rsidRDefault="008B61B9" w:rsidP="008B61B9">
      <w:pPr>
        <w:jc w:val="center"/>
        <w:rPr>
          <w:b/>
          <w:sz w:val="28"/>
          <w:szCs w:val="28"/>
        </w:rPr>
      </w:pPr>
    </w:p>
    <w:p w:rsidR="004D3013" w:rsidRDefault="004D3013" w:rsidP="008B61B9">
      <w:pPr>
        <w:jc w:val="center"/>
        <w:rPr>
          <w:b/>
          <w:sz w:val="28"/>
          <w:szCs w:val="28"/>
        </w:rPr>
      </w:pPr>
    </w:p>
    <w:p w:rsidR="004D3013" w:rsidRDefault="004D3013" w:rsidP="008B61B9">
      <w:pPr>
        <w:jc w:val="center"/>
        <w:rPr>
          <w:b/>
          <w:sz w:val="28"/>
          <w:szCs w:val="28"/>
        </w:rPr>
      </w:pPr>
    </w:p>
    <w:p w:rsidR="004D3013" w:rsidRDefault="004D3013" w:rsidP="008B61B9">
      <w:pPr>
        <w:jc w:val="center"/>
        <w:rPr>
          <w:b/>
          <w:sz w:val="28"/>
          <w:szCs w:val="28"/>
        </w:rPr>
      </w:pPr>
    </w:p>
    <w:p w:rsidR="004D3013" w:rsidRDefault="004D3013" w:rsidP="008B61B9">
      <w:pPr>
        <w:jc w:val="center"/>
        <w:rPr>
          <w:b/>
          <w:sz w:val="28"/>
          <w:szCs w:val="28"/>
        </w:rPr>
      </w:pPr>
    </w:p>
    <w:p w:rsidR="004D3013" w:rsidRDefault="004D3013" w:rsidP="008B61B9">
      <w:pPr>
        <w:jc w:val="center"/>
        <w:rPr>
          <w:b/>
          <w:sz w:val="28"/>
          <w:szCs w:val="28"/>
        </w:rPr>
      </w:pPr>
    </w:p>
    <w:p w:rsidR="004D3013" w:rsidRDefault="004D3013" w:rsidP="008B61B9">
      <w:pPr>
        <w:jc w:val="center"/>
        <w:rPr>
          <w:b/>
          <w:sz w:val="28"/>
          <w:szCs w:val="28"/>
        </w:rPr>
      </w:pPr>
    </w:p>
    <w:p w:rsidR="004D3013" w:rsidRDefault="004D3013"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6039B8" w:rsidRDefault="006039B8" w:rsidP="008B61B9">
      <w:pPr>
        <w:jc w:val="center"/>
        <w:rPr>
          <w:b/>
          <w:sz w:val="28"/>
          <w:szCs w:val="28"/>
        </w:rPr>
      </w:pPr>
    </w:p>
    <w:p w:rsidR="008B61B9" w:rsidRDefault="00372E04" w:rsidP="008B61B9">
      <w:pPr>
        <w:jc w:val="center"/>
        <w:rPr>
          <w:b/>
          <w:sz w:val="28"/>
          <w:szCs w:val="28"/>
        </w:rPr>
      </w:pPr>
      <w:r>
        <w:rPr>
          <w:b/>
          <w:sz w:val="28"/>
          <w:szCs w:val="28"/>
        </w:rPr>
        <w:lastRenderedPageBreak/>
        <w:t xml:space="preserve">4. </w:t>
      </w:r>
      <w:r w:rsidR="008B61B9">
        <w:rPr>
          <w:b/>
          <w:sz w:val="28"/>
          <w:szCs w:val="28"/>
        </w:rPr>
        <w:t>Identity, Authorization, and Accounting (IAA)</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An online secure voting system should prevent everyone who are not verified from participating as well as ensuring that the verifiable users operate within their pre</w:t>
      </w:r>
      <w:r w:rsidR="00372E04">
        <w:rPr>
          <w:rFonts w:ascii="Times New Roman" w:hAnsi="Times New Roman" w:cs="Times New Roman"/>
        </w:rPr>
        <w:t>-</w:t>
      </w:r>
      <w:r w:rsidR="00372E04" w:rsidRPr="001E5137">
        <w:rPr>
          <w:rFonts w:ascii="Times New Roman" w:hAnsi="Times New Roman" w:cs="Times New Roman"/>
        </w:rPr>
        <w:t>assigned role and the interaction is trac</w:t>
      </w:r>
      <w:r w:rsidR="00372E04">
        <w:rPr>
          <w:rFonts w:ascii="Times New Roman" w:hAnsi="Times New Roman" w:cs="Times New Roman"/>
        </w:rPr>
        <w:t>e</w:t>
      </w:r>
      <w:r w:rsidR="00372E04" w:rsidRPr="001E5137">
        <w:rPr>
          <w:rFonts w:ascii="Times New Roman" w:hAnsi="Times New Roman" w:cs="Times New Roman"/>
        </w:rPr>
        <w:t>able to provide accountability. The IAA framework is based on the zero trust model and follows national and industry standards in order to protect system integrity and voter trust. It uses Microsoft Azure’s security ecosystem to centrali</w:t>
      </w:r>
      <w:r w:rsidR="00372E04">
        <w:rPr>
          <w:rFonts w:ascii="Times New Roman" w:hAnsi="Times New Roman" w:cs="Times New Roman"/>
        </w:rPr>
        <w:t>z</w:t>
      </w:r>
      <w:r w:rsidR="00372E04" w:rsidRPr="001E5137">
        <w:rPr>
          <w:rFonts w:ascii="Times New Roman" w:hAnsi="Times New Roman" w:cs="Times New Roman"/>
        </w:rPr>
        <w:t>e identity management, role based controls and full breath audit logging. Security of the electoral process is achieved with each component, the identity verification, multi-factor authentication, access control, logging, and lifecycle management.</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Given the enterprise scale nature of the identity and policy enforcement required, Azure AD also provided capabilities much more favorable to us than alternative core identity providers. Within such a system, external verification tools can be integrated to provide a clean voter -- administrator separation but also checking the voter legitimacy. With policy enforcement, RBAC structures and sure compliance support that Azure offers, we’re able to implement very fine governance over who can do what and when. The security of this strategy is aligned with the CIS Microsoft Azure Foundations Benchmark and NIST digital identity guidelines so that there is a high standard of security in maintaining accessibility and transparency (Groce et al., 2025).</w:t>
      </w:r>
    </w:p>
    <w:p w:rsidR="00372E04" w:rsidRPr="00707F43" w:rsidRDefault="00372E04" w:rsidP="00372E04">
      <w:pPr>
        <w:spacing w:line="480" w:lineRule="auto"/>
        <w:rPr>
          <w:rFonts w:ascii="Times New Roman" w:hAnsi="Times New Roman" w:cs="Times New Roman"/>
          <w:b/>
          <w:bCs/>
        </w:rPr>
      </w:pPr>
      <w:r w:rsidRPr="00707F43">
        <w:rPr>
          <w:rFonts w:ascii="Times New Roman" w:hAnsi="Times New Roman" w:cs="Times New Roman"/>
          <w:b/>
          <w:bCs/>
        </w:rPr>
        <w:t>4.1 Identity Management</w:t>
      </w:r>
    </w:p>
    <w:p w:rsidR="00372E04" w:rsidRPr="00372E04" w:rsidRDefault="00372E04" w:rsidP="00372E04">
      <w:pPr>
        <w:spacing w:line="480" w:lineRule="auto"/>
        <w:rPr>
          <w:rFonts w:ascii="Times New Roman" w:hAnsi="Times New Roman" w:cs="Times New Roman"/>
          <w:i/>
        </w:rPr>
      </w:pPr>
      <w:r w:rsidRPr="00372E04">
        <w:rPr>
          <w:rFonts w:ascii="Times New Roman" w:hAnsi="Times New Roman" w:cs="Times New Roman"/>
          <w:b/>
          <w:bCs/>
          <w:i/>
        </w:rPr>
        <w:t>Centralized Identity Infrastructure</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 xml:space="preserve">All users in the system are authorized by Azure Active Directory (Azure AD). This gives us the ability to establish the single user to a role: voter, election official or administrator. Through an automated onboard process integrated with a government backed third party identity </w:t>
      </w:r>
      <w:r w:rsidR="00372E04" w:rsidRPr="001E5137">
        <w:rPr>
          <w:rFonts w:ascii="Times New Roman" w:hAnsi="Times New Roman" w:cs="Times New Roman"/>
        </w:rPr>
        <w:lastRenderedPageBreak/>
        <w:t xml:space="preserve">verification system, Voter identities are </w:t>
      </w:r>
      <w:r w:rsidR="00372E04">
        <w:rPr>
          <w:rFonts w:ascii="Times New Roman" w:hAnsi="Times New Roman" w:cs="Times New Roman"/>
        </w:rPr>
        <w:t>on</w:t>
      </w:r>
      <w:r w:rsidR="00372E04" w:rsidRPr="001E5137">
        <w:rPr>
          <w:rFonts w:ascii="Times New Roman" w:hAnsi="Times New Roman" w:cs="Times New Roman"/>
        </w:rPr>
        <w:t>boarded. This helps in preventing only genuine voters from entering the ballot system.</w:t>
      </w:r>
    </w:p>
    <w:p w:rsidR="00372E04" w:rsidRPr="00707F43"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 xml:space="preserve">Whereas, the IT security team manually provisions the election staff and system administrators within Azure AD. This eliminates the possibility of </w:t>
      </w:r>
      <w:r w:rsidR="00372E04">
        <w:rPr>
          <w:rFonts w:ascii="Times New Roman" w:hAnsi="Times New Roman" w:cs="Times New Roman"/>
        </w:rPr>
        <w:t xml:space="preserve">misassignment </w:t>
      </w:r>
      <w:r w:rsidR="00372E04" w:rsidRPr="001E5137">
        <w:rPr>
          <w:rFonts w:ascii="Times New Roman" w:hAnsi="Times New Roman" w:cs="Times New Roman"/>
        </w:rPr>
        <w:t>of the privileges and adds to the tighter control over administrative roles. The RBAC that the backbone of the, putting on a place in custom security groups based on access needs for each account. Separation of duties and minimum privilege across all layers of the system requires role segmentation within identity management (Ferraiolo &amp; Kuhn, 2009).</w:t>
      </w:r>
    </w:p>
    <w:p w:rsidR="00372E04" w:rsidRPr="00372E04" w:rsidRDefault="00372E04" w:rsidP="00372E04">
      <w:pPr>
        <w:spacing w:line="480" w:lineRule="auto"/>
        <w:rPr>
          <w:rFonts w:ascii="Times New Roman" w:hAnsi="Times New Roman" w:cs="Times New Roman"/>
          <w:i/>
        </w:rPr>
      </w:pPr>
      <w:r w:rsidRPr="00372E04">
        <w:rPr>
          <w:rFonts w:ascii="Times New Roman" w:hAnsi="Times New Roman" w:cs="Times New Roman"/>
          <w:b/>
          <w:bCs/>
          <w:i/>
        </w:rPr>
        <w:t>Azure AD B2C for Voters</w:t>
      </w:r>
    </w:p>
    <w:p w:rsidR="00372E04" w:rsidRPr="00707F43"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Azure AD B2C (Business-to-Consumer) is used for managing self-service registration and login for public facing voter authentication. This platform takes users to a login page which has an option either by username and password or with the possibility of a federated login through OAuth2 or SAML. With this approach, the user wouldn’t have to go through much and yet will have a very strong security standards maintained. Brute force and credential stuffing attacks are mitigated by built in policies as they include account lock out after attempted failed and forced password complexity (Khan, 2023).</w:t>
      </w:r>
    </w:p>
    <w:p w:rsidR="00372E04" w:rsidRPr="00372E04" w:rsidRDefault="00372E04" w:rsidP="00372E04">
      <w:pPr>
        <w:spacing w:line="480" w:lineRule="auto"/>
        <w:rPr>
          <w:rFonts w:ascii="Times New Roman" w:hAnsi="Times New Roman" w:cs="Times New Roman"/>
          <w:i/>
        </w:rPr>
      </w:pPr>
      <w:r w:rsidRPr="00372E04">
        <w:rPr>
          <w:rFonts w:ascii="Times New Roman" w:hAnsi="Times New Roman" w:cs="Times New Roman"/>
          <w:b/>
          <w:bCs/>
          <w:i/>
        </w:rPr>
        <w:t>Conditional Access Enforcement</w:t>
      </w:r>
    </w:p>
    <w:p w:rsidR="00372E04" w:rsidRPr="00707F43"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 xml:space="preserve">Conditional access policies govern all identities, regardless of identity role. Examples of such are that certain devices have to comply with compliance requirements before it can be granted permission to access, and voting accounts access can only be done within approved regions. Thus, these policies are enforced by Azure’s integrated security policy engine that keeps </w:t>
      </w:r>
      <w:r w:rsidR="00372E04" w:rsidRPr="001E5137">
        <w:rPr>
          <w:rFonts w:ascii="Times New Roman" w:hAnsi="Times New Roman" w:cs="Times New Roman"/>
        </w:rPr>
        <w:lastRenderedPageBreak/>
        <w:t>on evaluating the access context. When policy is violated, i.e. the access attempt comes from an untrusted device, the system rejects the attempt or asks for elevated authentication on the spot.</w:t>
      </w:r>
    </w:p>
    <w:p w:rsidR="00372E04" w:rsidRPr="00372E04" w:rsidRDefault="00372E04" w:rsidP="00372E04">
      <w:pPr>
        <w:spacing w:line="480" w:lineRule="auto"/>
        <w:rPr>
          <w:rFonts w:ascii="Times New Roman" w:hAnsi="Times New Roman" w:cs="Times New Roman"/>
          <w:i/>
        </w:rPr>
      </w:pPr>
      <w:r w:rsidRPr="00372E04">
        <w:rPr>
          <w:rFonts w:ascii="Times New Roman" w:hAnsi="Times New Roman" w:cs="Times New Roman"/>
          <w:b/>
          <w:bCs/>
          <w:i/>
        </w:rPr>
        <w:t>Federated Identity Integration</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The system also validates voter eligibility using federated identity providers. With trusted government ID credentials, users register and those identities are mapped to our directory with standard protocols. This means that, given users that are new or dependent on technology, there is no longer a need to manage the password for these users, and identity verification is still robust and auditable. Being decoupled from verification, both verifies and authenticates, offers flexibility with no loss in assurance but is highlighted in what frameworks of digital identity (National Institute of Standards and Technology, 2020).</w:t>
      </w:r>
    </w:p>
    <w:p w:rsidR="00372E04" w:rsidRPr="00707F43" w:rsidRDefault="00372E04" w:rsidP="00372E04">
      <w:pPr>
        <w:spacing w:line="480" w:lineRule="auto"/>
        <w:rPr>
          <w:rFonts w:ascii="Times New Roman" w:hAnsi="Times New Roman" w:cs="Times New Roman"/>
          <w:b/>
          <w:bCs/>
        </w:rPr>
      </w:pPr>
      <w:r w:rsidRPr="00707F43">
        <w:rPr>
          <w:rFonts w:ascii="Times New Roman" w:hAnsi="Times New Roman" w:cs="Times New Roman"/>
          <w:b/>
          <w:bCs/>
        </w:rPr>
        <w:t>4.2 Authentication (MFA &amp; Access Control)</w:t>
      </w:r>
    </w:p>
    <w:p w:rsidR="00372E04" w:rsidRPr="00372E04" w:rsidRDefault="00372E04" w:rsidP="00372E04">
      <w:pPr>
        <w:spacing w:line="480" w:lineRule="auto"/>
        <w:rPr>
          <w:rFonts w:ascii="Times New Roman" w:hAnsi="Times New Roman" w:cs="Times New Roman"/>
          <w:i/>
        </w:rPr>
      </w:pPr>
      <w:r w:rsidRPr="00372E04">
        <w:rPr>
          <w:rFonts w:ascii="Times New Roman" w:hAnsi="Times New Roman" w:cs="Times New Roman"/>
          <w:b/>
          <w:bCs/>
          <w:i/>
        </w:rPr>
        <w:t>Multi-Factor Authentication for All User Roles</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Authentication is a strong defense line when running in online voting for example vote submitting, election oversight and system configuration. Users whether voters, election officials, or administrators must authenticate with Azure Multi Factor Authentication (MFA) as applicable to the sensitivity of role. This allows voters to enter their username and password, which they are prompted for a second factor, such as an SMS code or another authenticator app confirmation. Higher-privilege users such as officials and admins will have to use stronger methods such as FIDO2 security keys or push notifications from the Microsoft Authenticator app.</w:t>
      </w:r>
    </w:p>
    <w:p w:rsidR="00372E04" w:rsidRPr="00707F43"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 xml:space="preserve">This policy driven MFA configuration using Azure AD allows consistency and enforcement of these requirements across the board with risk determination of each login attempt </w:t>
      </w:r>
      <w:r w:rsidR="00372E04" w:rsidRPr="001E5137">
        <w:rPr>
          <w:rFonts w:ascii="Times New Roman" w:hAnsi="Times New Roman" w:cs="Times New Roman"/>
        </w:rPr>
        <w:lastRenderedPageBreak/>
        <w:t>constantly evaluated by the platform. For instance, devices not known to their hosts will trigger extra verification once they log in from unfamiliar IPs or devices. Such real time policy checks on access ensure that the access that is elevated has a provable strength of identity (Khan, 2023).</w:t>
      </w:r>
    </w:p>
    <w:p w:rsidR="00372E04" w:rsidRPr="00372E04" w:rsidRDefault="00372E04" w:rsidP="00372E04">
      <w:pPr>
        <w:spacing w:line="480" w:lineRule="auto"/>
        <w:rPr>
          <w:rFonts w:ascii="Times New Roman" w:hAnsi="Times New Roman" w:cs="Times New Roman"/>
          <w:i/>
        </w:rPr>
      </w:pPr>
      <w:r w:rsidRPr="00372E04">
        <w:rPr>
          <w:rFonts w:ascii="Times New Roman" w:hAnsi="Times New Roman" w:cs="Times New Roman"/>
          <w:b/>
          <w:bCs/>
          <w:i/>
        </w:rPr>
        <w:t>Conditional Access and Session Controls</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Access control decisions are enforced by Azure Conditional Access policies. These policies evaluate such conditions as user role, location, device conformity, as well as risk signals before they issue an authentication token. Extra measures are also taken for any of the administrative accounts, those can only log in from registered company devices through the allowed IP ranges. This prevents the use of offsite or unauthorized device that circumvents any prevention of compromised credentials from being used for lateral movement (Groce et al., 2025).</w:t>
      </w:r>
    </w:p>
    <w:p w:rsidR="00372E04" w:rsidRPr="00707F43"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It is also important to prevent account misuse using session management. To reduce lingering exposure, there are system wide idle session timeouts. When a voter finishes the voting, they are signed out so that session hijacking cannot happen. Moreover, users require attendance to re authenticate at the beginning of every new session for an additional barrier to the exploitation of persistent sessions.</w:t>
      </w:r>
    </w:p>
    <w:p w:rsidR="00372E04" w:rsidRPr="00372E04" w:rsidRDefault="00372E04" w:rsidP="00372E04">
      <w:pPr>
        <w:spacing w:line="480" w:lineRule="auto"/>
        <w:rPr>
          <w:rFonts w:ascii="Times New Roman" w:hAnsi="Times New Roman" w:cs="Times New Roman"/>
          <w:i/>
        </w:rPr>
      </w:pPr>
      <w:r w:rsidRPr="00372E04">
        <w:rPr>
          <w:rFonts w:ascii="Times New Roman" w:hAnsi="Times New Roman" w:cs="Times New Roman"/>
          <w:b/>
          <w:bCs/>
          <w:i/>
        </w:rPr>
        <w:t>Token Lifetime and Revocation Policies</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 xml:space="preserve">Azure AD issues authentication tokens so that they have short lifespans and are narrowly scoped to roles and permissions found in the organization. Consider for example, if a voter is given a token and the validity of this token is only for a short period in time and cannot be reused. In the case suspicious behavior is detected, such as simultaneous logins from two </w:t>
      </w:r>
      <w:r w:rsidR="00372E04" w:rsidRPr="001E5137">
        <w:rPr>
          <w:rFonts w:ascii="Times New Roman" w:hAnsi="Times New Roman" w:cs="Times New Roman"/>
        </w:rPr>
        <w:lastRenderedPageBreak/>
        <w:t>geographically distanced locations, the system automatically revokes the session using Azure AD’s token revocation API (National Institute of Standards and Technology, 2020).</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This forms a fine grained approach to access control which allows users to be verified at the time of login, as well as at anytime during the duration of their session. The combined multi factor verification, risk-based conditional access and session governance through the system maintains strict compliance and reduces the authentication related attack surfaces.</w:t>
      </w:r>
    </w:p>
    <w:p w:rsidR="00372E04" w:rsidRPr="00765A8C" w:rsidRDefault="00372E04" w:rsidP="00372E04">
      <w:pPr>
        <w:spacing w:line="480" w:lineRule="auto"/>
        <w:rPr>
          <w:rFonts w:ascii="Times New Roman" w:hAnsi="Times New Roman" w:cs="Times New Roman"/>
          <w:b/>
          <w:bCs/>
        </w:rPr>
      </w:pPr>
      <w:r w:rsidRPr="00765A8C">
        <w:rPr>
          <w:rFonts w:ascii="Times New Roman" w:hAnsi="Times New Roman" w:cs="Times New Roman"/>
          <w:b/>
          <w:bCs/>
        </w:rPr>
        <w:t>4.3 Authorization (Role-Based Access Control)</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In order to ensure a secure system for online voting, extremely tight authorization boundaries must be enforced on users and only perform the actions permitted. To control access, Microsoft Azure’s Role Based Access Control (RBAC) is employed to ensure access only to pre-defined roles granted to users. This approach also protects sensitive data, prevents privilege abuse and acts in accordance with zero trust principles and the cybersecurity framework.</w:t>
      </w:r>
    </w:p>
    <w:p w:rsidR="00372E04" w:rsidRPr="00372E04" w:rsidRDefault="00372E04" w:rsidP="00372E04">
      <w:pPr>
        <w:spacing w:line="480" w:lineRule="auto"/>
        <w:rPr>
          <w:rFonts w:ascii="Times New Roman" w:hAnsi="Times New Roman" w:cs="Times New Roman"/>
          <w:b/>
          <w:bCs/>
          <w:i/>
        </w:rPr>
      </w:pPr>
      <w:r w:rsidRPr="00372E04">
        <w:rPr>
          <w:rFonts w:ascii="Times New Roman" w:hAnsi="Times New Roman" w:cs="Times New Roman"/>
          <w:b/>
          <w:bCs/>
          <w:i/>
        </w:rPr>
        <w:t>Role Definitions and Responsibilities</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 xml:space="preserve">Access is basically separated based on the user categories. The access for voters is limited, enough to log in, see the ballot, vote, and get confirmation. They are intentionally blocked from knowing what backend configurations or what sensitive metadata they attempt to access. Election officials run at a higher privilege level, those only in overseeing elections, where they can look through voter eligibility logs and see vote tally, but not have access to make changes to the infrastructure or to raw vote data. The technical privileges of system administrators are broader than mere access to the voter personally identifiable information (PII) or cast votes, but they have been blocked from the ability to manage infrastructure, virtual machines, Azure resources, and telemetry dashboards. This separation enables that no one single </w:t>
      </w:r>
      <w:r w:rsidR="00372E04" w:rsidRPr="001E5137">
        <w:rPr>
          <w:rFonts w:ascii="Times New Roman" w:hAnsi="Times New Roman" w:cs="Times New Roman"/>
        </w:rPr>
        <w:lastRenderedPageBreak/>
        <w:t>user has the responsibility of having full access to the entire voting pipeline, being line with principle of least privilege and accountability (Ferraiolo &amp; Kuhn, 2009).</w:t>
      </w:r>
    </w:p>
    <w:p w:rsidR="00372E04" w:rsidRPr="00372E04" w:rsidRDefault="00372E04" w:rsidP="00372E04">
      <w:pPr>
        <w:spacing w:line="480" w:lineRule="auto"/>
        <w:rPr>
          <w:rFonts w:ascii="Times New Roman" w:hAnsi="Times New Roman" w:cs="Times New Roman"/>
          <w:b/>
          <w:bCs/>
          <w:i/>
        </w:rPr>
      </w:pPr>
      <w:r w:rsidRPr="00372E04">
        <w:rPr>
          <w:rFonts w:ascii="Times New Roman" w:hAnsi="Times New Roman" w:cs="Times New Roman"/>
          <w:b/>
          <w:bCs/>
          <w:i/>
        </w:rPr>
        <w:t>Role Management via Azure Security Groups</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As enforced by Azure AD, all user roles fall into security groups. They have the permission to those particular groups and assign each of the users to that group that it pertains to what the person does for a living. For instance, once onboarded and added to the relevant group, an election official will inherit the necessary access without manual role configuration. Additionally, this group based assignment is not only efficient but also gives auditable and easy to govern access control (Khan, 2023). Directory audit logs are used to tightly control role changes or permission escalations and to make them transparent for every such authorization related event.</w:t>
      </w:r>
    </w:p>
    <w:p w:rsidR="00372E04" w:rsidRPr="00372E04" w:rsidRDefault="00372E04" w:rsidP="00372E04">
      <w:pPr>
        <w:spacing w:line="480" w:lineRule="auto"/>
        <w:rPr>
          <w:rFonts w:ascii="Times New Roman" w:hAnsi="Times New Roman" w:cs="Times New Roman"/>
          <w:b/>
          <w:bCs/>
          <w:i/>
        </w:rPr>
      </w:pPr>
      <w:r w:rsidRPr="00372E04">
        <w:rPr>
          <w:rFonts w:ascii="Times New Roman" w:hAnsi="Times New Roman" w:cs="Times New Roman"/>
          <w:b/>
          <w:bCs/>
          <w:i/>
        </w:rPr>
        <w:t>Policy Enforcement and Access Constraints</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To prevent privilege escalation that is unauthorized or is inadvertently misconfigured, fine-grained access rules are defined with Azure Policy and enforced. These policies also limit access to specific resource types and observe compliance on each session. For example, an election official cannot up their privileges to administrative by any more than what is specifically granted through the already established governance path. Especially in the settings where voter privacy and regulatory oversight are concerned, such constraints prove to be crucial (Groce et al., 2025). All Conditional Access payoffs work hand in hand with Conditional Access to deliver real-time contextual policies on authentication and resource access.</w:t>
      </w:r>
    </w:p>
    <w:p w:rsidR="00372E04" w:rsidRPr="00372E04" w:rsidRDefault="00372E04" w:rsidP="00372E04">
      <w:pPr>
        <w:spacing w:line="480" w:lineRule="auto"/>
        <w:rPr>
          <w:rFonts w:ascii="Times New Roman" w:hAnsi="Times New Roman" w:cs="Times New Roman"/>
          <w:b/>
          <w:bCs/>
          <w:i/>
        </w:rPr>
      </w:pPr>
      <w:r w:rsidRPr="00372E04">
        <w:rPr>
          <w:rFonts w:ascii="Times New Roman" w:hAnsi="Times New Roman" w:cs="Times New Roman"/>
          <w:b/>
          <w:bCs/>
          <w:i/>
        </w:rPr>
        <w:t>Conditional Access and Context-Aware Enforcement</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lastRenderedPageBreak/>
        <w:tab/>
      </w:r>
      <w:r w:rsidR="00372E04" w:rsidRPr="001E5137">
        <w:rPr>
          <w:rFonts w:ascii="Times New Roman" w:hAnsi="Times New Roman" w:cs="Times New Roman"/>
        </w:rPr>
        <w:t>The system goes beyond static assignment of roles, taking advantage of Azure Conditional Access to evaluate the access attempt’s context dynamically. Allowing access is based on factors such as the user’s location, whether the device is compliant, sign in risk level, and IP address range. Some of these parameters are used by a valid user attempting to access the system from a non-compliant device such as an unauthorized location, which could get blocked or get prompted again for additional verification. National Institute of Standards and Technology (2020). Rule based enforcement in this way provides dynamic, enforcement based in a situation threatening manner, without interfering with the normal user works (workflow).</w:t>
      </w:r>
    </w:p>
    <w:p w:rsidR="00372E04" w:rsidRPr="00372E04" w:rsidRDefault="00372E04" w:rsidP="00372E04">
      <w:pPr>
        <w:spacing w:line="480" w:lineRule="auto"/>
        <w:rPr>
          <w:rFonts w:ascii="Times New Roman" w:hAnsi="Times New Roman" w:cs="Times New Roman"/>
          <w:b/>
          <w:bCs/>
          <w:i/>
        </w:rPr>
      </w:pPr>
      <w:r w:rsidRPr="00372E04">
        <w:rPr>
          <w:rFonts w:ascii="Times New Roman" w:hAnsi="Times New Roman" w:cs="Times New Roman"/>
          <w:b/>
          <w:bCs/>
          <w:i/>
        </w:rPr>
        <w:t>Segregation of Duties and Zero-Trust Alignment</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Authorization design also involves role segregation, in order to eliminate the chance of a single person having total control of each system component. Voter data are inaccessible by a system administrator, election official cannot change backend infrastructure. This separation of responsibility is deliberate and is in line with the principles of zero trust, where there is zero implicit trust in the network and any trust built up must be verified all the time and separated (Groce et al., 2025). In addition, regular access reviews are also scheduled so that users can retain only such access that they otherwise require for their active roles.</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t>Monitoring and Auditability of Authorization</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 xml:space="preserve">Once access control events complete (including role changes, policy violation, and access denial) they are logged in Azure Monitor, Log Analytics, and Microsoft Sentinel. Real time to authorize and track authorization events, these tools correlate such with alerting ability on anomalies like multiple access failures, or attempts to access restricted resources. The log can be used not only as operational visibility but also among others for the long term traceability in </w:t>
      </w:r>
      <w:r w:rsidR="00372E04" w:rsidRPr="001E5137">
        <w:rPr>
          <w:rFonts w:ascii="Times New Roman" w:hAnsi="Times New Roman" w:cs="Times New Roman"/>
        </w:rPr>
        <w:lastRenderedPageBreak/>
        <w:t>compliance audits and incident investigations (Kent &amp;Souppaya, 2006). This monitoring system is creating an immutable audit trail which is kept pursuant to legal and organizational policies.</w:t>
      </w:r>
    </w:p>
    <w:p w:rsidR="00372E04" w:rsidRPr="00765A8C" w:rsidRDefault="00372E04" w:rsidP="00372E04">
      <w:pPr>
        <w:spacing w:line="480" w:lineRule="auto"/>
        <w:rPr>
          <w:rFonts w:ascii="Times New Roman" w:hAnsi="Times New Roman" w:cs="Times New Roman"/>
          <w:b/>
          <w:bCs/>
        </w:rPr>
      </w:pPr>
      <w:r w:rsidRPr="00765A8C">
        <w:rPr>
          <w:rFonts w:ascii="Times New Roman" w:hAnsi="Times New Roman" w:cs="Times New Roman"/>
          <w:b/>
          <w:bCs/>
        </w:rPr>
        <w:t>4.4 Accounting and Audit Logging</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Comprehensive accounting and audit logging are a founding block for any secure online voting system. This means that every access, action or change to the system is tracked and recorded so that it can be analyzed, accountable and compliant later. These logs in a voting environment help as both a deterrent against malicious activity and an incident response mechanism once an action is corrupted. It uses Microsoft Azure suite of monitoring tools to combine centralized, tamper resistant logs that fit industry regulations and security standards.</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t>Centralized Logging Architecture</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Every system activity, from voter logins to administrative actions, is logged in Azure Monitor, Azure Log Analytics, and Microsoft Sentinel. They complement each other in order to have a unification of monitoring system. Logs are collected from all Azure services including Azure AD, virtual machines, storage accounts, and networking components by Azure Monitor. Once so logged, these are streamed to a Log Analytics Workspace that allows for querying, visualization and correlation of data. This consolidation means that no critical event is missed as well as that all identity, network, and resource level actions are traceable (Groce et al. 2025).</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t>What Gets Logged and Why</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A wide range of activity data is captured by the system. Login attempts, token issuance, password reset, MFA event, permission change, etc. are time</w:t>
      </w:r>
      <w:r w:rsidR="0059037A">
        <w:rPr>
          <w:rFonts w:ascii="Times New Roman" w:hAnsi="Times New Roman" w:cs="Times New Roman"/>
        </w:rPr>
        <w:t>-</w:t>
      </w:r>
      <w:r w:rsidR="00372E04" w:rsidRPr="001E5137">
        <w:rPr>
          <w:rFonts w:ascii="Times New Roman" w:hAnsi="Times New Roman" w:cs="Times New Roman"/>
        </w:rPr>
        <w:t xml:space="preserve">stamped and recorded with associated metadata on who, what, and when made a request to an Action type and each </w:t>
      </w:r>
      <w:r w:rsidR="00372E04" w:rsidRPr="001E5137">
        <w:rPr>
          <w:rFonts w:ascii="Times New Roman" w:hAnsi="Times New Roman" w:cs="Times New Roman"/>
        </w:rPr>
        <w:lastRenderedPageBreak/>
        <w:t>occurrence is stored for audit. This gives you the full picture of whom was doing what, when and from where. Particularly for privileged roles such as system administrators and election officials, logging is especially strict. Nearly in real time, they’re recording what they’re doing each – whether watching telemetry dashboards, updating system settings or examining logs – they are logged. Particularly, these logs are essential for both investigation for incidents as well as identifying suspicious patterns (Kent &amp;Souppaya, 2006).</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t>Compliance and Retention Policies</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All the logs are stored in immutable Azure Storage accounts with retention policies preventing deletion or altering. These logs are held for at least seven years, and that can meet framework requirements such as NIST SP 800-92 and CIS Control 8 to maintain audit records for use in forensic and compliance audits. Immutable storage implemented on Azure makes it impossible for log data to be tampered with (not even administrators) once it has been written. This is in line with the practices for security logging in high assurance environments (National Institute of Standards and Technology, 2020).</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t>Alerting and Anomaly Detection</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By acting as a real time security analytics across log data, Microsoft Sentinel improves the system’s visibility. In particular, it is based on rule based alerts and built in machine learning models to detect anomalous behavior. For instance, Sentinel detects that something is wrong when there’s a sequence of several failed login tries and an unusual privilege escalation or log in from an unknown IP address. The alerts are passed to the incident response team for immediate investigation. Proactive monitoring of this sort enables the system to react rapidly to threats before they have the potential to become breaches (Khan, 2023).</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lastRenderedPageBreak/>
        <w:t>Supporting Transparency and Forensic Investigation</w:t>
      </w:r>
    </w:p>
    <w:p w:rsidR="00372E04" w:rsidRPr="00765A8C"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When a suspected security incident or after election audit, the audit logs enable the forensic to kick in for investigation. The time</w:t>
      </w:r>
      <w:r w:rsidR="0059037A">
        <w:rPr>
          <w:rFonts w:ascii="Times New Roman" w:hAnsi="Times New Roman" w:cs="Times New Roman"/>
        </w:rPr>
        <w:t>-</w:t>
      </w:r>
      <w:r w:rsidR="00372E04" w:rsidRPr="001E5137">
        <w:rPr>
          <w:rFonts w:ascii="Times New Roman" w:hAnsi="Times New Roman" w:cs="Times New Roman"/>
        </w:rPr>
        <w:t>stamped log trail can reconstruct every system interaction: from a voter, an official, or an administrator. This transparency helps in developing trust of the people in the voting system. But when it comes to integrity, officials have immutable logs which clarifies who accessed what and when. Furthermore, the audit trail may be used to determine the scope of exposure and help in recovery processing (when an administrative account is compromised), (Ferraiolo &amp; Kuhn, 2009).</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t>Operational Efficiency and Reporting</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Finally, the logging system ensures the daily operational health of solid waste and wastewater management. Administrators can use it as a tool to monitor the system performance, detect misconfiguration and track the trend of resource usage. Log Analytics offers dashboards created all of which offer to visualize critical metrics and scheduled reports trigger early so that any deviation from the baseline is caught. The result is an operational feedback loop which does not only enhance the security of the system, but also contributes to the reliability of the whole system (Groce et al., 2025).</w:t>
      </w:r>
    </w:p>
    <w:p w:rsidR="00372E04" w:rsidRPr="001E5137" w:rsidRDefault="00372E04" w:rsidP="00372E04">
      <w:pPr>
        <w:spacing w:line="480" w:lineRule="auto"/>
        <w:rPr>
          <w:rFonts w:ascii="Times New Roman" w:hAnsi="Times New Roman" w:cs="Times New Roman"/>
          <w:b/>
          <w:bCs/>
        </w:rPr>
      </w:pPr>
      <w:r w:rsidRPr="001E5137">
        <w:rPr>
          <w:rFonts w:ascii="Times New Roman" w:hAnsi="Times New Roman" w:cs="Times New Roman"/>
          <w:b/>
          <w:bCs/>
        </w:rPr>
        <w:t>4.5 Account Lifecycle and Recovery</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 xml:space="preserve">A secure online voting system must have an effective identity lifecycle management. This allows for mostly inactive accounts whereby user can be active only when needed, have regular reviews that must be performed for compliance, and enable recovery of accounts when required. The platform creates and maintains full visibility and control over voter, election official, administrative accounts from creation to deactivation in Microsoft Azure AD Identity </w:t>
      </w:r>
      <w:r w:rsidR="00372E04" w:rsidRPr="001E5137">
        <w:rPr>
          <w:rFonts w:ascii="Times New Roman" w:hAnsi="Times New Roman" w:cs="Times New Roman"/>
        </w:rPr>
        <w:lastRenderedPageBreak/>
        <w:t>Governance. This not only helps us operate more efficiently but it also matches the spirit and the principles of security, like least privilege, separation of duties and accountability.</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t>Automated Account Provisioning and Deactivation</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 xml:space="preserve">Once identity is verified through an external trusted provider, voter accounts will automatically be created. This integration provides for the verification of everyone that enters the system, to prevent impersonation, registration of anyone not involved. These voter accounts </w:t>
      </w:r>
      <w:r w:rsidR="00CC27AB">
        <w:rPr>
          <w:rFonts w:ascii="Times New Roman" w:hAnsi="Times New Roman" w:cs="Times New Roman"/>
        </w:rPr>
        <w:t>are only automatically deactivated upon proof of death, or removal of citizenship. This</w:t>
      </w:r>
      <w:r w:rsidR="00372E04" w:rsidRPr="001E5137">
        <w:rPr>
          <w:rFonts w:ascii="Times New Roman" w:hAnsi="Times New Roman" w:cs="Times New Roman"/>
        </w:rPr>
        <w:t xml:space="preserve"> curbs staleness of accounts and lower the a</w:t>
      </w:r>
      <w:r w:rsidR="00CC27AB">
        <w:rPr>
          <w:rFonts w:ascii="Times New Roman" w:hAnsi="Times New Roman" w:cs="Times New Roman"/>
        </w:rPr>
        <w:t>ttack surface over time</w:t>
      </w:r>
      <w:r w:rsidR="00372E04" w:rsidRPr="001E5137">
        <w:rPr>
          <w:rFonts w:ascii="Times New Roman" w:hAnsi="Times New Roman" w:cs="Times New Roman"/>
        </w:rPr>
        <w:t xml:space="preserve"> (National Institute of Standards and Technology, 2020). On the other hand, administrative and election official accounts are provisioned directly by authorized IT staff in Azure AD through use of secure workflows.</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With the system, account assignment is based on predefined roles and is managed using means of Azure AD access packages and entitlement management. These workflows are tied to time-based access controls: privileges disappear automatically when their time expires. It ensures that no user has excess access beyond their entitlement time (Groce et al., 2025).</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t>Regular Access Reviews and Compliance Checks</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Administrative and privileged accounts are subject to quarterly access reviews where the reviewers are verified that they still need the permissions assigned to them. They perform these reviews with Azure AD Identity Governance features and log for the purpose of auditing. During review cycles, the account is flagged for deactivation should it be found in any way to be inactive or unjustified in the first place. This policy driven review process is a necessary way to meet CIS Benchmarks and eliminate the possibility of the value that privilege creep often offers that is apparent in large systems (Khan, 2023).</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lastRenderedPageBreak/>
        <w:tab/>
      </w:r>
      <w:r w:rsidR="00372E04" w:rsidRPr="001E5137">
        <w:rPr>
          <w:rFonts w:ascii="Times New Roman" w:hAnsi="Times New Roman" w:cs="Times New Roman"/>
        </w:rPr>
        <w:t>In addition, the reviews also extend to the role based access assignments where it is ensured that neither the voter, official, nor the administrator has any rights that are not required for the functional needs. Periodic validations assure the accountability of the organizations that help keep the voting environment intact (Ferraiolo &amp; Kuhn, 2009).</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t>Secure Account Recovery Mechanisms</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The process of account recovery is considered as a security sensitive process. Azure AD B2C’s self service password reset allows voters initiate the process of recovery. Multi channel verification in this case relies secondary email or verified mobile numbers entered when the account was created. If a voter cannot go through one of both of the channels, they would have to re</w:t>
      </w:r>
      <w:r w:rsidR="0059037A">
        <w:rPr>
          <w:rFonts w:ascii="Times New Roman" w:hAnsi="Times New Roman" w:cs="Times New Roman"/>
        </w:rPr>
        <w:t>-</w:t>
      </w:r>
      <w:r w:rsidR="00372E04" w:rsidRPr="001E5137">
        <w:rPr>
          <w:rFonts w:ascii="Times New Roman" w:hAnsi="Times New Roman" w:cs="Times New Roman"/>
        </w:rPr>
        <w:t>verify their identity through the original identity provider and, again, to be able to get at their account. This approach decreases the chances of unauthorized recovery attempts (Kent &amp;Souppaya, 2006).</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There is a stricter and tighter recovery workflow for election officials and administrators. For this reason, they must contact a designated system security officer who manually validates their identity and authorization before reactivating the account. Azure AD Audit Logs records the entire process, verification steps with their timestamps, out of the box. This will also enable attestation of account recoveries and indeed measurements of what exactly an internal accountability standard is.</w:t>
      </w:r>
    </w:p>
    <w:p w:rsidR="00372E04" w:rsidRPr="0059037A" w:rsidRDefault="00372E04" w:rsidP="00372E04">
      <w:pPr>
        <w:spacing w:line="480" w:lineRule="auto"/>
        <w:rPr>
          <w:rFonts w:ascii="Times New Roman" w:hAnsi="Times New Roman" w:cs="Times New Roman"/>
          <w:b/>
          <w:bCs/>
          <w:i/>
        </w:rPr>
      </w:pPr>
      <w:r w:rsidRPr="0059037A">
        <w:rPr>
          <w:rFonts w:ascii="Times New Roman" w:hAnsi="Times New Roman" w:cs="Times New Roman"/>
          <w:b/>
          <w:bCs/>
          <w:i/>
        </w:rPr>
        <w:t>Audit Trails and Rollback Support</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 xml:space="preserve">The Azure AD Audit Logs store all account lifecycle events (creation, permission changes, deactivations and recoveries), and are logged via all account lifecycle events. Logs that fall under this setting are kept immutable under the same immutability policy as other audit logs </w:t>
      </w:r>
      <w:r w:rsidR="00372E04" w:rsidRPr="001E5137">
        <w:rPr>
          <w:rFonts w:ascii="Times New Roman" w:hAnsi="Times New Roman" w:cs="Times New Roman"/>
        </w:rPr>
        <w:lastRenderedPageBreak/>
        <w:t>in the case of compliance to NIST SP 800-92 and CIS Control 6. These audit trails allow administrators to reconstruct the full lifecycle of any account as it is needed. The identity management system has these features of soft deletes features with backup retention policies to roll back the process in the occurrence of accidental deletion, thus making the process reliable (Groce et al., 2025).</w:t>
      </w:r>
    </w:p>
    <w:p w:rsidR="00372E04" w:rsidRPr="001E5137" w:rsidRDefault="008817D5" w:rsidP="00372E04">
      <w:pPr>
        <w:spacing w:line="480" w:lineRule="auto"/>
        <w:rPr>
          <w:rFonts w:ascii="Times New Roman" w:hAnsi="Times New Roman" w:cs="Times New Roman"/>
        </w:rPr>
      </w:pPr>
      <w:r>
        <w:rPr>
          <w:rFonts w:ascii="Times New Roman" w:hAnsi="Times New Roman" w:cs="Times New Roman"/>
        </w:rPr>
        <w:tab/>
      </w:r>
      <w:r w:rsidR="00372E04" w:rsidRPr="001E5137">
        <w:rPr>
          <w:rFonts w:ascii="Times New Roman" w:hAnsi="Times New Roman" w:cs="Times New Roman"/>
        </w:rPr>
        <w:t>Such integration takes up a tight balance of usability and security by means of lifecycle automation, human oversight, and tamper-proof auditing in the system. For both adaptable as well as secure identity practice in the dynamic nature of elections, this approach allows users to continually be properly authorized in the system and securely offboarded when they are done.</w:t>
      </w:r>
    </w:p>
    <w:p w:rsidR="008B61B9" w:rsidRDefault="008B61B9" w:rsidP="008B61B9">
      <w:pPr>
        <w:jc w:val="center"/>
        <w:rPr>
          <w:b/>
          <w:sz w:val="28"/>
          <w:szCs w:val="28"/>
        </w:rPr>
      </w:pPr>
    </w:p>
    <w:p w:rsidR="008B61B9" w:rsidRDefault="008B61B9"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8B61B9" w:rsidRDefault="00F95D5A" w:rsidP="005C5326">
      <w:pPr>
        <w:spacing w:line="480" w:lineRule="auto"/>
        <w:jc w:val="center"/>
        <w:rPr>
          <w:b/>
          <w:sz w:val="28"/>
          <w:szCs w:val="28"/>
        </w:rPr>
      </w:pPr>
      <w:r>
        <w:rPr>
          <w:b/>
          <w:sz w:val="28"/>
          <w:szCs w:val="28"/>
        </w:rPr>
        <w:t xml:space="preserve">V. </w:t>
      </w:r>
      <w:r w:rsidR="008B61B9">
        <w:rPr>
          <w:b/>
          <w:sz w:val="28"/>
          <w:szCs w:val="28"/>
        </w:rPr>
        <w:t>Financials</w:t>
      </w:r>
    </w:p>
    <w:p w:rsidR="006039B8" w:rsidRDefault="006039B8" w:rsidP="005C5326">
      <w:pPr>
        <w:spacing w:line="480" w:lineRule="auto"/>
        <w:rPr>
          <w:rFonts w:ascii="Times New Roman" w:hAnsi="Times New Roman" w:cs="Times New Roman"/>
        </w:rPr>
      </w:pPr>
      <w:r>
        <w:rPr>
          <w:rFonts w:ascii="Times New Roman" w:hAnsi="Times New Roman" w:cs="Times New Roman"/>
        </w:rPr>
        <w:tab/>
      </w:r>
      <w:r w:rsidRPr="008C697C">
        <w:rPr>
          <w:rFonts w:ascii="Times New Roman" w:hAnsi="Times New Roman" w:cs="Times New Roman"/>
        </w:rPr>
        <w:t>The estimates presented are based on public pricing sources, federal bulk procurement trends, and projected system demand to serve approximately 150 million eligible voters. Costs may vary depending on geographic, legislative, and logistical factors</w:t>
      </w:r>
      <w:r w:rsidR="00AD0C69">
        <w:rPr>
          <w:rFonts w:ascii="Times New Roman" w:hAnsi="Times New Roman" w:cs="Times New Roman"/>
        </w:rPr>
        <w:t>, but are in line with current estimated costs of maintaining the existing national voting infrastructure</w:t>
      </w:r>
      <w:r w:rsidRPr="008C697C">
        <w:rPr>
          <w:rFonts w:ascii="Times New Roman" w:hAnsi="Times New Roman" w:cs="Times New Roman"/>
        </w:rPr>
        <w:t>. Quantities reflect the scale of a full nationwide rollout.</w:t>
      </w:r>
    </w:p>
    <w:p w:rsidR="006039B8" w:rsidRDefault="00AD0C69" w:rsidP="005C5326">
      <w:pPr>
        <w:spacing w:line="480" w:lineRule="auto"/>
        <w:jc w:val="center"/>
        <w:rPr>
          <w:rFonts w:ascii="Times New Roman" w:hAnsi="Times New Roman" w:cs="Times New Roman"/>
          <w:b/>
        </w:rPr>
      </w:pPr>
      <w:r>
        <w:rPr>
          <w:rFonts w:ascii="Times New Roman" w:hAnsi="Times New Roman" w:cs="Times New Roman"/>
          <w:b/>
        </w:rPr>
        <w:t>Itemized Costs</w:t>
      </w:r>
    </w:p>
    <w:p w:rsidR="00AD0C69" w:rsidRPr="008C697C" w:rsidRDefault="005C5326" w:rsidP="005C5326">
      <w:pPr>
        <w:spacing w:line="480" w:lineRule="auto"/>
        <w:rPr>
          <w:rFonts w:ascii="Times New Roman" w:hAnsi="Times New Roman" w:cs="Times New Roman"/>
        </w:rPr>
      </w:pPr>
      <w:r>
        <w:rPr>
          <w:rFonts w:ascii="Times New Roman" w:hAnsi="Times New Roman" w:cs="Times New Roman"/>
        </w:rPr>
        <w:tab/>
      </w:r>
      <w:r w:rsidR="00AD0C69" w:rsidRPr="008C697C">
        <w:rPr>
          <w:rFonts w:ascii="Times New Roman" w:hAnsi="Times New Roman" w:cs="Times New Roman"/>
        </w:rPr>
        <w:t>The following tables detail costs across major categories. Each includes estimated unit pricing, quantities, and subtotals for both one-time implementation and recurring annual operations.</w:t>
      </w:r>
    </w:p>
    <w:p w:rsidR="005C5326" w:rsidRDefault="005C5326" w:rsidP="005C5326">
      <w:pPr>
        <w:spacing w:line="480" w:lineRule="auto"/>
        <w:rPr>
          <w:rFonts w:ascii="Times New Roman" w:hAnsi="Times New Roman" w:cs="Times New Roman"/>
          <w:b/>
        </w:rPr>
      </w:pPr>
      <w:r>
        <w:rPr>
          <w:rFonts w:ascii="Times New Roman" w:hAnsi="Times New Roman" w:cs="Times New Roman"/>
          <w:b/>
        </w:rPr>
        <w:t>Hardware and Systems</w:t>
      </w:r>
    </w:p>
    <w:tbl>
      <w:tblPr>
        <w:tblStyle w:val="TableGrid"/>
        <w:tblW w:w="0" w:type="auto"/>
        <w:tblLook w:val="04A0"/>
      </w:tblPr>
      <w:tblGrid>
        <w:gridCol w:w="2168"/>
        <w:gridCol w:w="1611"/>
        <w:gridCol w:w="1587"/>
        <w:gridCol w:w="1229"/>
        <w:gridCol w:w="1624"/>
        <w:gridCol w:w="1357"/>
      </w:tblGrid>
      <w:tr w:rsidR="005C5326" w:rsidTr="00787430">
        <w:tc>
          <w:tcPr>
            <w:tcW w:w="1440" w:type="dxa"/>
          </w:tcPr>
          <w:p w:rsidR="005C5326" w:rsidRDefault="005C5326" w:rsidP="00787430">
            <w:r>
              <w:t>Item</w:t>
            </w:r>
          </w:p>
        </w:tc>
        <w:tc>
          <w:tcPr>
            <w:tcW w:w="1440" w:type="dxa"/>
          </w:tcPr>
          <w:p w:rsidR="005C5326" w:rsidRDefault="005C5326" w:rsidP="00787430">
            <w:r>
              <w:t>Description</w:t>
            </w:r>
          </w:p>
        </w:tc>
        <w:tc>
          <w:tcPr>
            <w:tcW w:w="1440" w:type="dxa"/>
          </w:tcPr>
          <w:p w:rsidR="005C5326" w:rsidRDefault="005C5326" w:rsidP="00787430">
            <w:r>
              <w:t>Unit Cost</w:t>
            </w:r>
          </w:p>
        </w:tc>
        <w:tc>
          <w:tcPr>
            <w:tcW w:w="1440" w:type="dxa"/>
          </w:tcPr>
          <w:p w:rsidR="005C5326" w:rsidRDefault="005C5326" w:rsidP="00787430">
            <w:r>
              <w:t>Quantity</w:t>
            </w:r>
          </w:p>
        </w:tc>
        <w:tc>
          <w:tcPr>
            <w:tcW w:w="1440" w:type="dxa"/>
          </w:tcPr>
          <w:p w:rsidR="005C5326" w:rsidRDefault="005C5326" w:rsidP="00787430">
            <w:r>
              <w:t>Initial Cost</w:t>
            </w:r>
          </w:p>
        </w:tc>
        <w:tc>
          <w:tcPr>
            <w:tcW w:w="1440" w:type="dxa"/>
          </w:tcPr>
          <w:p w:rsidR="005C5326" w:rsidRDefault="005C5326" w:rsidP="00787430">
            <w:r>
              <w:t>Yearly Cost</w:t>
            </w:r>
          </w:p>
        </w:tc>
      </w:tr>
      <w:tr w:rsidR="005C5326" w:rsidTr="00787430">
        <w:tc>
          <w:tcPr>
            <w:tcW w:w="1440" w:type="dxa"/>
          </w:tcPr>
          <w:p w:rsidR="005C5326" w:rsidRDefault="005C5326" w:rsidP="00787430">
            <w:r>
              <w:t>FIDO2 USB-C Biometric Security Keys</w:t>
            </w:r>
          </w:p>
        </w:tc>
        <w:tc>
          <w:tcPr>
            <w:tcW w:w="1440" w:type="dxa"/>
          </w:tcPr>
          <w:p w:rsidR="005C5326" w:rsidRDefault="005C5326" w:rsidP="00787430">
            <w:r>
              <w:t>For voters without smartphones</w:t>
            </w:r>
          </w:p>
        </w:tc>
        <w:tc>
          <w:tcPr>
            <w:tcW w:w="1440" w:type="dxa"/>
          </w:tcPr>
          <w:p w:rsidR="005C5326" w:rsidRDefault="005C5326" w:rsidP="00787430">
            <w:r>
              <w:t>$42.50 (bulk est.) $95.00 Retail</w:t>
            </w:r>
          </w:p>
        </w:tc>
        <w:tc>
          <w:tcPr>
            <w:tcW w:w="1440" w:type="dxa"/>
          </w:tcPr>
          <w:p w:rsidR="005C5326" w:rsidRDefault="005C5326" w:rsidP="00787430">
            <w:r>
              <w:t>15,000,000</w:t>
            </w:r>
          </w:p>
        </w:tc>
        <w:tc>
          <w:tcPr>
            <w:tcW w:w="1440" w:type="dxa"/>
          </w:tcPr>
          <w:p w:rsidR="005C5326" w:rsidRDefault="005C5326" w:rsidP="00787430">
            <w:r>
              <w:t>$637,500,000 – $1,425,000,000</w:t>
            </w:r>
          </w:p>
        </w:tc>
        <w:tc>
          <w:tcPr>
            <w:tcW w:w="1440" w:type="dxa"/>
          </w:tcPr>
          <w:p w:rsidR="005C5326" w:rsidRDefault="005C5326" w:rsidP="00787430">
            <w:r>
              <w:t>-</w:t>
            </w:r>
          </w:p>
        </w:tc>
      </w:tr>
      <w:tr w:rsidR="005C5326" w:rsidTr="00787430">
        <w:tc>
          <w:tcPr>
            <w:tcW w:w="1440" w:type="dxa"/>
          </w:tcPr>
          <w:p w:rsidR="005C5326" w:rsidRDefault="005C5326" w:rsidP="00787430">
            <w:r>
              <w:t>Secure In-Person Kiosks (Dell Inspiron All-in-One)</w:t>
            </w:r>
          </w:p>
        </w:tc>
        <w:tc>
          <w:tcPr>
            <w:tcW w:w="1440" w:type="dxa"/>
          </w:tcPr>
          <w:p w:rsidR="005C5326" w:rsidRDefault="005C5326" w:rsidP="00787430">
            <w:r>
              <w:t>6 per mobile unit</w:t>
            </w:r>
          </w:p>
        </w:tc>
        <w:tc>
          <w:tcPr>
            <w:tcW w:w="1440" w:type="dxa"/>
          </w:tcPr>
          <w:p w:rsidR="005C5326" w:rsidRDefault="005C5326" w:rsidP="00787430">
            <w:r>
              <w:t>$450 Retail</w:t>
            </w:r>
          </w:p>
        </w:tc>
        <w:tc>
          <w:tcPr>
            <w:tcW w:w="1440" w:type="dxa"/>
          </w:tcPr>
          <w:p w:rsidR="005C5326" w:rsidRDefault="005C5326" w:rsidP="00787430">
            <w:r>
              <w:t>37,728 units</w:t>
            </w:r>
          </w:p>
        </w:tc>
        <w:tc>
          <w:tcPr>
            <w:tcW w:w="1440" w:type="dxa"/>
          </w:tcPr>
          <w:p w:rsidR="005C5326" w:rsidRDefault="005C5326" w:rsidP="00787430">
            <w:r>
              <w:t>$16,977,600</w:t>
            </w:r>
          </w:p>
        </w:tc>
        <w:tc>
          <w:tcPr>
            <w:tcW w:w="1440" w:type="dxa"/>
          </w:tcPr>
          <w:p w:rsidR="005C5326" w:rsidRDefault="005C5326" w:rsidP="00787430">
            <w:r>
              <w:t>-</w:t>
            </w:r>
          </w:p>
        </w:tc>
      </w:tr>
      <w:tr w:rsidR="005C5326" w:rsidTr="00787430">
        <w:tc>
          <w:tcPr>
            <w:tcW w:w="1440" w:type="dxa"/>
          </w:tcPr>
          <w:p w:rsidR="005C5326" w:rsidRDefault="005C5326" w:rsidP="00787430">
            <w:r>
              <w:t>Mobile Registration and Voting Units</w:t>
            </w:r>
          </w:p>
        </w:tc>
        <w:tc>
          <w:tcPr>
            <w:tcW w:w="1440" w:type="dxa"/>
          </w:tcPr>
          <w:p w:rsidR="005C5326" w:rsidRDefault="005C5326" w:rsidP="00787430">
            <w:r>
              <w:t>2 per county (avg)</w:t>
            </w:r>
          </w:p>
        </w:tc>
        <w:tc>
          <w:tcPr>
            <w:tcW w:w="1440" w:type="dxa"/>
          </w:tcPr>
          <w:p w:rsidR="005C5326" w:rsidRDefault="005C5326" w:rsidP="00787430">
            <w:r>
              <w:t>$90,000 -$250,000</w:t>
            </w:r>
          </w:p>
        </w:tc>
        <w:tc>
          <w:tcPr>
            <w:tcW w:w="1440" w:type="dxa"/>
          </w:tcPr>
          <w:p w:rsidR="005C5326" w:rsidRDefault="005C5326" w:rsidP="00787430">
            <w:r>
              <w:t>6,288 units</w:t>
            </w:r>
          </w:p>
        </w:tc>
        <w:tc>
          <w:tcPr>
            <w:tcW w:w="1440" w:type="dxa"/>
          </w:tcPr>
          <w:p w:rsidR="005C5326" w:rsidRDefault="005C5326" w:rsidP="00787430">
            <w:r>
              <w:t>$565,920,000 - $1,572,000,000</w:t>
            </w:r>
          </w:p>
        </w:tc>
        <w:tc>
          <w:tcPr>
            <w:tcW w:w="1440" w:type="dxa"/>
          </w:tcPr>
          <w:p w:rsidR="005C5326" w:rsidRDefault="005C5326" w:rsidP="00787430">
            <w:r>
              <w:t>-</w:t>
            </w:r>
          </w:p>
        </w:tc>
      </w:tr>
      <w:tr w:rsidR="005C5326" w:rsidTr="00787430">
        <w:tc>
          <w:tcPr>
            <w:tcW w:w="1440" w:type="dxa"/>
          </w:tcPr>
          <w:p w:rsidR="005C5326" w:rsidRDefault="005C5326" w:rsidP="00787430">
            <w:r>
              <w:lastRenderedPageBreak/>
              <w:t>Mobile Internet Access</w:t>
            </w:r>
          </w:p>
        </w:tc>
        <w:tc>
          <w:tcPr>
            <w:tcW w:w="1440" w:type="dxa"/>
          </w:tcPr>
          <w:p w:rsidR="005C5326" w:rsidRDefault="005C5326" w:rsidP="00787430">
            <w:r>
              <w:t>Starlink unit + roaming plan</w:t>
            </w:r>
          </w:p>
        </w:tc>
        <w:tc>
          <w:tcPr>
            <w:tcW w:w="1440" w:type="dxa"/>
          </w:tcPr>
          <w:p w:rsidR="005C5326" w:rsidRDefault="005C5326" w:rsidP="00787430">
            <w:r>
              <w:t>$349 + $165/month</w:t>
            </w:r>
          </w:p>
        </w:tc>
        <w:tc>
          <w:tcPr>
            <w:tcW w:w="1440" w:type="dxa"/>
          </w:tcPr>
          <w:p w:rsidR="005C5326" w:rsidRDefault="005C5326" w:rsidP="00787430">
            <w:r>
              <w:t>6288 units</w:t>
            </w:r>
          </w:p>
        </w:tc>
        <w:tc>
          <w:tcPr>
            <w:tcW w:w="1440" w:type="dxa"/>
          </w:tcPr>
          <w:p w:rsidR="005C5326" w:rsidRDefault="005C5326" w:rsidP="00787430">
            <w:r>
              <w:t>$3,232,032</w:t>
            </w:r>
          </w:p>
        </w:tc>
        <w:tc>
          <w:tcPr>
            <w:tcW w:w="1440" w:type="dxa"/>
          </w:tcPr>
          <w:p w:rsidR="005C5326" w:rsidRDefault="005C5326" w:rsidP="00787430">
            <w:r>
              <w:t>$12,450,240</w:t>
            </w:r>
          </w:p>
        </w:tc>
      </w:tr>
      <w:tr w:rsidR="005C5326" w:rsidTr="00787430">
        <w:tc>
          <w:tcPr>
            <w:tcW w:w="1440" w:type="dxa"/>
          </w:tcPr>
          <w:p w:rsidR="005C5326" w:rsidRDefault="005C5326" w:rsidP="00787430">
            <w:r>
              <w:t>Azure Servers &amp; Cloud Infrastructure</w:t>
            </w:r>
          </w:p>
        </w:tc>
        <w:tc>
          <w:tcPr>
            <w:tcW w:w="1440" w:type="dxa"/>
          </w:tcPr>
          <w:p w:rsidR="005C5326" w:rsidRDefault="005C5326" w:rsidP="00787430">
            <w:r>
              <w:t>Authentication, Encrypted storage, Monitoring</w:t>
            </w:r>
          </w:p>
        </w:tc>
        <w:tc>
          <w:tcPr>
            <w:tcW w:w="1440" w:type="dxa"/>
          </w:tcPr>
          <w:p w:rsidR="005C5326" w:rsidRDefault="005C5326" w:rsidP="00787430">
            <w:r>
              <w:t>$25,000/month</w:t>
            </w:r>
          </w:p>
        </w:tc>
        <w:tc>
          <w:tcPr>
            <w:tcW w:w="1440" w:type="dxa"/>
          </w:tcPr>
          <w:p w:rsidR="005C5326" w:rsidRDefault="005C5326" w:rsidP="00787430">
            <w:r>
              <w:t>Varies</w:t>
            </w:r>
            <w:r>
              <w:br/>
              <w:t>1 to 5 but can scale further</w:t>
            </w:r>
          </w:p>
        </w:tc>
        <w:tc>
          <w:tcPr>
            <w:tcW w:w="1440" w:type="dxa"/>
          </w:tcPr>
          <w:p w:rsidR="005C5326" w:rsidRDefault="005C5326" w:rsidP="00787430">
            <w:r>
              <w:t>$0</w:t>
            </w:r>
          </w:p>
        </w:tc>
        <w:tc>
          <w:tcPr>
            <w:tcW w:w="1440" w:type="dxa"/>
          </w:tcPr>
          <w:p w:rsidR="005C5326" w:rsidRDefault="005C5326" w:rsidP="00787430">
            <w:r>
              <w:t>$300,000 – $1,500,000+</w:t>
            </w:r>
          </w:p>
        </w:tc>
      </w:tr>
      <w:tr w:rsidR="005C5326" w:rsidTr="00787430">
        <w:tc>
          <w:tcPr>
            <w:tcW w:w="1440" w:type="dxa"/>
          </w:tcPr>
          <w:p w:rsidR="005C5326" w:rsidRDefault="005C5326" w:rsidP="00787430">
            <w:r>
              <w:t>Tokenization/Identity Management System</w:t>
            </w:r>
          </w:p>
        </w:tc>
        <w:tc>
          <w:tcPr>
            <w:tcW w:w="1440" w:type="dxa"/>
          </w:tcPr>
          <w:p w:rsidR="005C5326" w:rsidRDefault="005C5326" w:rsidP="00787430">
            <w:r>
              <w:t>Included in cloud infrastructure</w:t>
            </w:r>
          </w:p>
        </w:tc>
        <w:tc>
          <w:tcPr>
            <w:tcW w:w="1440" w:type="dxa"/>
          </w:tcPr>
          <w:p w:rsidR="005C5326" w:rsidRDefault="005C5326" w:rsidP="00787430">
            <w:r>
              <w:t>-</w:t>
            </w:r>
          </w:p>
        </w:tc>
        <w:tc>
          <w:tcPr>
            <w:tcW w:w="1440" w:type="dxa"/>
          </w:tcPr>
          <w:p w:rsidR="005C5326" w:rsidRDefault="005C5326" w:rsidP="00787430">
            <w:r>
              <w:t>-</w:t>
            </w:r>
          </w:p>
        </w:tc>
        <w:tc>
          <w:tcPr>
            <w:tcW w:w="1440" w:type="dxa"/>
          </w:tcPr>
          <w:p w:rsidR="005C5326" w:rsidRDefault="005C5326" w:rsidP="00787430">
            <w:r>
              <w:t>-</w:t>
            </w:r>
          </w:p>
        </w:tc>
        <w:tc>
          <w:tcPr>
            <w:tcW w:w="1440" w:type="dxa"/>
          </w:tcPr>
          <w:p w:rsidR="005C5326" w:rsidRDefault="005C5326" w:rsidP="00787430">
            <w:r>
              <w:t>-</w:t>
            </w:r>
          </w:p>
        </w:tc>
      </w:tr>
      <w:tr w:rsidR="005C5326" w:rsidTr="00787430">
        <w:tc>
          <w:tcPr>
            <w:tcW w:w="1440" w:type="dxa"/>
          </w:tcPr>
          <w:p w:rsidR="005C5326" w:rsidRDefault="005C5326" w:rsidP="00787430">
            <w:r>
              <w:t>Immutable Audit Trail System</w:t>
            </w:r>
          </w:p>
        </w:tc>
        <w:tc>
          <w:tcPr>
            <w:tcW w:w="1440" w:type="dxa"/>
          </w:tcPr>
          <w:p w:rsidR="005C5326" w:rsidRDefault="005C5326" w:rsidP="00787430">
            <w:r>
              <w:t>Included in cloud infrastructure</w:t>
            </w:r>
          </w:p>
        </w:tc>
        <w:tc>
          <w:tcPr>
            <w:tcW w:w="1440" w:type="dxa"/>
          </w:tcPr>
          <w:p w:rsidR="005C5326" w:rsidRDefault="005C5326" w:rsidP="00787430">
            <w:r>
              <w:t>-</w:t>
            </w:r>
          </w:p>
        </w:tc>
        <w:tc>
          <w:tcPr>
            <w:tcW w:w="1440" w:type="dxa"/>
          </w:tcPr>
          <w:p w:rsidR="005C5326" w:rsidRDefault="005C5326" w:rsidP="00787430">
            <w:r>
              <w:t>-</w:t>
            </w:r>
          </w:p>
        </w:tc>
        <w:tc>
          <w:tcPr>
            <w:tcW w:w="1440" w:type="dxa"/>
          </w:tcPr>
          <w:p w:rsidR="005C5326" w:rsidRDefault="005C5326" w:rsidP="00787430">
            <w:r>
              <w:t>-</w:t>
            </w:r>
          </w:p>
        </w:tc>
        <w:tc>
          <w:tcPr>
            <w:tcW w:w="1440" w:type="dxa"/>
          </w:tcPr>
          <w:p w:rsidR="005C5326" w:rsidRDefault="005C5326" w:rsidP="00787430">
            <w:r>
              <w:t>-</w:t>
            </w:r>
          </w:p>
        </w:tc>
      </w:tr>
      <w:tr w:rsidR="005C5326" w:rsidTr="00787430">
        <w:tc>
          <w:tcPr>
            <w:tcW w:w="1440" w:type="dxa"/>
          </w:tcPr>
          <w:p w:rsidR="005C5326" w:rsidRDefault="005C5326" w:rsidP="00787430">
            <w:r>
              <w:t>Archive Storage with Redundancy and Backup power</w:t>
            </w:r>
          </w:p>
        </w:tc>
        <w:tc>
          <w:tcPr>
            <w:tcW w:w="1440" w:type="dxa"/>
          </w:tcPr>
          <w:p w:rsidR="005C5326" w:rsidRDefault="005C5326" w:rsidP="00787430">
            <w:r>
              <w:t>Physical Servers outside of Cloud</w:t>
            </w:r>
          </w:p>
        </w:tc>
        <w:tc>
          <w:tcPr>
            <w:tcW w:w="1440" w:type="dxa"/>
          </w:tcPr>
          <w:p w:rsidR="005C5326" w:rsidRDefault="005C5326" w:rsidP="00787430">
            <w:r>
              <w:t>$20,000</w:t>
            </w:r>
          </w:p>
        </w:tc>
        <w:tc>
          <w:tcPr>
            <w:tcW w:w="1440" w:type="dxa"/>
          </w:tcPr>
          <w:p w:rsidR="005C5326" w:rsidRDefault="005C5326" w:rsidP="00787430">
            <w:r>
              <w:t>2</w:t>
            </w:r>
          </w:p>
        </w:tc>
        <w:tc>
          <w:tcPr>
            <w:tcW w:w="1440" w:type="dxa"/>
          </w:tcPr>
          <w:p w:rsidR="005C5326" w:rsidRDefault="005C5326" w:rsidP="00787430">
            <w:r>
              <w:t>$40,000</w:t>
            </w:r>
          </w:p>
        </w:tc>
        <w:tc>
          <w:tcPr>
            <w:tcW w:w="1440" w:type="dxa"/>
          </w:tcPr>
          <w:p w:rsidR="005C5326" w:rsidRDefault="005C5326" w:rsidP="00787430">
            <w:r>
              <w:t>$50,000 - $100,000</w:t>
            </w:r>
          </w:p>
        </w:tc>
      </w:tr>
    </w:tbl>
    <w:p w:rsidR="005C5326" w:rsidRDefault="005C5326" w:rsidP="005C5326">
      <w:pPr>
        <w:spacing w:line="480" w:lineRule="auto"/>
        <w:rPr>
          <w:rFonts w:ascii="Times New Roman" w:hAnsi="Times New Roman" w:cs="Times New Roman"/>
          <w:b/>
        </w:rPr>
      </w:pPr>
    </w:p>
    <w:p w:rsidR="005C5326" w:rsidRDefault="005C5326" w:rsidP="005C5326">
      <w:pPr>
        <w:spacing w:line="480" w:lineRule="auto"/>
        <w:rPr>
          <w:rFonts w:ascii="Times New Roman" w:hAnsi="Times New Roman" w:cs="Times New Roman"/>
          <w:b/>
        </w:rPr>
      </w:pPr>
      <w:r>
        <w:rPr>
          <w:rFonts w:ascii="Times New Roman" w:hAnsi="Times New Roman" w:cs="Times New Roman"/>
          <w:b/>
        </w:rPr>
        <w:t>Software Development and Licensing</w:t>
      </w:r>
    </w:p>
    <w:tbl>
      <w:tblPr>
        <w:tblStyle w:val="TableGrid"/>
        <w:tblW w:w="0" w:type="auto"/>
        <w:tblLook w:val="04A0"/>
      </w:tblPr>
      <w:tblGrid>
        <w:gridCol w:w="2160"/>
        <w:gridCol w:w="2160"/>
        <w:gridCol w:w="2160"/>
        <w:gridCol w:w="2160"/>
      </w:tblGrid>
      <w:tr w:rsidR="005C5326" w:rsidTr="00787430">
        <w:tc>
          <w:tcPr>
            <w:tcW w:w="2160" w:type="dxa"/>
          </w:tcPr>
          <w:p w:rsidR="005C5326" w:rsidRDefault="005C5326" w:rsidP="00787430">
            <w:r>
              <w:t>Item</w:t>
            </w:r>
          </w:p>
        </w:tc>
        <w:tc>
          <w:tcPr>
            <w:tcW w:w="2160" w:type="dxa"/>
          </w:tcPr>
          <w:p w:rsidR="005C5326" w:rsidRDefault="005C5326" w:rsidP="00787430">
            <w:r>
              <w:t>Description</w:t>
            </w:r>
          </w:p>
        </w:tc>
        <w:tc>
          <w:tcPr>
            <w:tcW w:w="2160" w:type="dxa"/>
          </w:tcPr>
          <w:p w:rsidR="005C5326" w:rsidRDefault="005C5326" w:rsidP="00787430">
            <w:r>
              <w:t>Initial Cost</w:t>
            </w:r>
          </w:p>
        </w:tc>
        <w:tc>
          <w:tcPr>
            <w:tcW w:w="2160" w:type="dxa"/>
          </w:tcPr>
          <w:p w:rsidR="005C5326" w:rsidRDefault="005C5326" w:rsidP="00787430">
            <w:r>
              <w:t>Yearly Cost</w:t>
            </w:r>
          </w:p>
        </w:tc>
      </w:tr>
      <w:tr w:rsidR="005C5326" w:rsidTr="00787430">
        <w:tc>
          <w:tcPr>
            <w:tcW w:w="2160" w:type="dxa"/>
          </w:tcPr>
          <w:p w:rsidR="005C5326" w:rsidRDefault="005C5326" w:rsidP="00787430">
            <w:r>
              <w:t>Authenticator App Development</w:t>
            </w:r>
          </w:p>
        </w:tc>
        <w:tc>
          <w:tcPr>
            <w:tcW w:w="2160" w:type="dxa"/>
          </w:tcPr>
          <w:p w:rsidR="005C5326" w:rsidRDefault="005C5326" w:rsidP="00787430">
            <w:r>
              <w:t>Android + iOS</w:t>
            </w:r>
          </w:p>
        </w:tc>
        <w:tc>
          <w:tcPr>
            <w:tcW w:w="2160" w:type="dxa"/>
          </w:tcPr>
          <w:p w:rsidR="005C5326" w:rsidRDefault="005C5326" w:rsidP="00787430">
            <w:r>
              <w:t>$100,000</w:t>
            </w:r>
          </w:p>
        </w:tc>
        <w:tc>
          <w:tcPr>
            <w:tcW w:w="2160" w:type="dxa"/>
          </w:tcPr>
          <w:p w:rsidR="005C5326" w:rsidRDefault="005C5326" w:rsidP="00787430">
            <w:r>
              <w:t>-</w:t>
            </w:r>
          </w:p>
        </w:tc>
      </w:tr>
      <w:tr w:rsidR="005C5326" w:rsidTr="00787430">
        <w:tc>
          <w:tcPr>
            <w:tcW w:w="2160" w:type="dxa"/>
          </w:tcPr>
          <w:p w:rsidR="005C5326" w:rsidRDefault="005C5326" w:rsidP="00787430">
            <w:r>
              <w:t>Lockdown Browser Development</w:t>
            </w:r>
          </w:p>
        </w:tc>
        <w:tc>
          <w:tcPr>
            <w:tcW w:w="2160" w:type="dxa"/>
          </w:tcPr>
          <w:p w:rsidR="005C5326" w:rsidRDefault="005C5326" w:rsidP="00787430">
            <w:r>
              <w:t>Extrapolated Respondus model</w:t>
            </w:r>
          </w:p>
        </w:tc>
        <w:tc>
          <w:tcPr>
            <w:tcW w:w="2160" w:type="dxa"/>
          </w:tcPr>
          <w:p w:rsidR="005C5326" w:rsidRDefault="005C5326" w:rsidP="00787430">
            <w:r>
              <w:t>$1,000,000</w:t>
            </w:r>
          </w:p>
        </w:tc>
        <w:tc>
          <w:tcPr>
            <w:tcW w:w="2160" w:type="dxa"/>
          </w:tcPr>
          <w:p w:rsidR="005C5326" w:rsidRDefault="005C5326" w:rsidP="00787430">
            <w:r>
              <w:t>-</w:t>
            </w:r>
          </w:p>
        </w:tc>
      </w:tr>
    </w:tbl>
    <w:p w:rsidR="005C5326" w:rsidRDefault="005C5326" w:rsidP="005C5326">
      <w:pPr>
        <w:spacing w:line="480" w:lineRule="auto"/>
        <w:rPr>
          <w:rFonts w:ascii="Times New Roman" w:hAnsi="Times New Roman" w:cs="Times New Roman"/>
          <w:b/>
        </w:rPr>
      </w:pPr>
    </w:p>
    <w:p w:rsidR="005C5326" w:rsidRDefault="005C5326" w:rsidP="005C5326">
      <w:pPr>
        <w:spacing w:line="480" w:lineRule="auto"/>
        <w:rPr>
          <w:rFonts w:ascii="Times New Roman" w:hAnsi="Times New Roman" w:cs="Times New Roman"/>
          <w:b/>
        </w:rPr>
      </w:pPr>
      <w:r>
        <w:rPr>
          <w:rFonts w:ascii="Times New Roman" w:hAnsi="Times New Roman" w:cs="Times New Roman"/>
          <w:b/>
        </w:rPr>
        <w:t>Personnel and Miscellaneous</w:t>
      </w:r>
    </w:p>
    <w:tbl>
      <w:tblPr>
        <w:tblStyle w:val="TableGrid"/>
        <w:tblW w:w="0" w:type="auto"/>
        <w:tblLook w:val="04A0"/>
      </w:tblPr>
      <w:tblGrid>
        <w:gridCol w:w="2160"/>
        <w:gridCol w:w="2160"/>
        <w:gridCol w:w="2160"/>
        <w:gridCol w:w="2160"/>
      </w:tblGrid>
      <w:tr w:rsidR="005C5326" w:rsidTr="00787430">
        <w:tc>
          <w:tcPr>
            <w:tcW w:w="2160" w:type="dxa"/>
          </w:tcPr>
          <w:p w:rsidR="005C5326" w:rsidRDefault="005C5326" w:rsidP="00787430">
            <w:r>
              <w:t>Role/Item/Service</w:t>
            </w:r>
          </w:p>
        </w:tc>
        <w:tc>
          <w:tcPr>
            <w:tcW w:w="2160" w:type="dxa"/>
          </w:tcPr>
          <w:p w:rsidR="005C5326" w:rsidRDefault="005C5326" w:rsidP="00787430">
            <w:r>
              <w:t>Description</w:t>
            </w:r>
          </w:p>
        </w:tc>
        <w:tc>
          <w:tcPr>
            <w:tcW w:w="2160" w:type="dxa"/>
          </w:tcPr>
          <w:p w:rsidR="005C5326" w:rsidRDefault="005C5326" w:rsidP="00787430">
            <w:r>
              <w:t>Initial Cost</w:t>
            </w:r>
          </w:p>
        </w:tc>
        <w:tc>
          <w:tcPr>
            <w:tcW w:w="2160" w:type="dxa"/>
          </w:tcPr>
          <w:p w:rsidR="005C5326" w:rsidRDefault="005C5326" w:rsidP="00787430">
            <w:r>
              <w:t>Yearly Cost</w:t>
            </w:r>
          </w:p>
        </w:tc>
      </w:tr>
      <w:tr w:rsidR="005C5326" w:rsidTr="00787430">
        <w:tc>
          <w:tcPr>
            <w:tcW w:w="2160" w:type="dxa"/>
          </w:tcPr>
          <w:p w:rsidR="005C5326" w:rsidRDefault="005C5326" w:rsidP="00787430">
            <w:r>
              <w:t>Cybersecurity Engineers</w:t>
            </w:r>
          </w:p>
        </w:tc>
        <w:tc>
          <w:tcPr>
            <w:tcW w:w="2160" w:type="dxa"/>
          </w:tcPr>
          <w:p w:rsidR="005C5326" w:rsidRDefault="005C5326" w:rsidP="00787430">
            <w:r>
              <w:t>Penetration testing, response</w:t>
            </w:r>
          </w:p>
        </w:tc>
        <w:tc>
          <w:tcPr>
            <w:tcW w:w="2160" w:type="dxa"/>
          </w:tcPr>
          <w:p w:rsidR="005C5326" w:rsidRDefault="005C5326" w:rsidP="00787430">
            <w:r>
              <w:t>$100,000</w:t>
            </w:r>
          </w:p>
        </w:tc>
        <w:tc>
          <w:tcPr>
            <w:tcW w:w="2160" w:type="dxa"/>
          </w:tcPr>
          <w:p w:rsidR="005C5326" w:rsidRDefault="005C5326" w:rsidP="00787430">
            <w:r>
              <w:t>$100,000</w:t>
            </w:r>
          </w:p>
        </w:tc>
      </w:tr>
      <w:tr w:rsidR="005C5326" w:rsidTr="00787430">
        <w:tc>
          <w:tcPr>
            <w:tcW w:w="2160" w:type="dxa"/>
          </w:tcPr>
          <w:p w:rsidR="005C5326" w:rsidRDefault="005C5326" w:rsidP="00787430">
            <w:r>
              <w:t>Election Officials, Help Desk &amp; Field Workers</w:t>
            </w:r>
          </w:p>
        </w:tc>
        <w:tc>
          <w:tcPr>
            <w:tcW w:w="2160" w:type="dxa"/>
          </w:tcPr>
          <w:p w:rsidR="005C5326" w:rsidRDefault="005C5326" w:rsidP="00787430">
            <w:r>
              <w:t>Temp and FT workers</w:t>
            </w:r>
          </w:p>
        </w:tc>
        <w:tc>
          <w:tcPr>
            <w:tcW w:w="2160" w:type="dxa"/>
          </w:tcPr>
          <w:p w:rsidR="005C5326" w:rsidRDefault="005C5326" w:rsidP="00787430">
            <w:r>
              <w:t>$8,500,000,000</w:t>
            </w:r>
          </w:p>
        </w:tc>
        <w:tc>
          <w:tcPr>
            <w:tcW w:w="2160" w:type="dxa"/>
          </w:tcPr>
          <w:p w:rsidR="005C5326" w:rsidRDefault="005C5326" w:rsidP="00787430">
            <w:r>
              <w:t>$8,500,000,000</w:t>
            </w:r>
          </w:p>
        </w:tc>
      </w:tr>
      <w:tr w:rsidR="005C5326" w:rsidTr="00787430">
        <w:tc>
          <w:tcPr>
            <w:tcW w:w="2160" w:type="dxa"/>
          </w:tcPr>
          <w:p w:rsidR="005C5326" w:rsidRDefault="005C5326" w:rsidP="00787430">
            <w:r>
              <w:t>3</w:t>
            </w:r>
            <w:r w:rsidRPr="00F30FEF">
              <w:rPr>
                <w:vertAlign w:val="superscript"/>
              </w:rPr>
              <w:t>rd</w:t>
            </w:r>
            <w:r>
              <w:t xml:space="preserve"> Party Audits</w:t>
            </w:r>
          </w:p>
        </w:tc>
        <w:tc>
          <w:tcPr>
            <w:tcW w:w="2160" w:type="dxa"/>
          </w:tcPr>
          <w:p w:rsidR="005C5326" w:rsidRDefault="005C5326" w:rsidP="00787430">
            <w:r>
              <w:t>SOC 2, ADA</w:t>
            </w:r>
          </w:p>
        </w:tc>
        <w:tc>
          <w:tcPr>
            <w:tcW w:w="2160" w:type="dxa"/>
          </w:tcPr>
          <w:p w:rsidR="005C5326" w:rsidRDefault="005C5326" w:rsidP="00787430">
            <w:r>
              <w:t>$12,000 - $175,000</w:t>
            </w:r>
          </w:p>
        </w:tc>
        <w:tc>
          <w:tcPr>
            <w:tcW w:w="2160" w:type="dxa"/>
          </w:tcPr>
          <w:p w:rsidR="005C5326" w:rsidRDefault="005C5326" w:rsidP="00787430">
            <w:r>
              <w:t>$12,000 – $175,000</w:t>
            </w:r>
          </w:p>
        </w:tc>
      </w:tr>
      <w:tr w:rsidR="005C5326" w:rsidTr="00787430">
        <w:tc>
          <w:tcPr>
            <w:tcW w:w="2160" w:type="dxa"/>
          </w:tcPr>
          <w:p w:rsidR="005C5326" w:rsidRDefault="005C5326" w:rsidP="00787430">
            <w:r>
              <w:t>QA Testers / Crowdtesting</w:t>
            </w:r>
          </w:p>
        </w:tc>
        <w:tc>
          <w:tcPr>
            <w:tcW w:w="2160" w:type="dxa"/>
          </w:tcPr>
          <w:p w:rsidR="005C5326" w:rsidRDefault="005C5326" w:rsidP="00787430">
            <w:r>
              <w:t>Pilot testing before rollout</w:t>
            </w:r>
          </w:p>
        </w:tc>
        <w:tc>
          <w:tcPr>
            <w:tcW w:w="2160" w:type="dxa"/>
          </w:tcPr>
          <w:p w:rsidR="005C5326" w:rsidRDefault="005C5326" w:rsidP="00787430">
            <w:r>
              <w:t>$50/hr – $150/hr</w:t>
            </w:r>
            <w:r>
              <w:br/>
              <w:t>$10,000 - $25,000</w:t>
            </w:r>
            <w:r>
              <w:br/>
            </w:r>
          </w:p>
        </w:tc>
        <w:tc>
          <w:tcPr>
            <w:tcW w:w="2160" w:type="dxa"/>
          </w:tcPr>
          <w:p w:rsidR="005C5326" w:rsidRDefault="005C5326" w:rsidP="00787430">
            <w:r>
              <w:t>-</w:t>
            </w:r>
          </w:p>
        </w:tc>
      </w:tr>
      <w:tr w:rsidR="005C5326" w:rsidTr="00787430">
        <w:tc>
          <w:tcPr>
            <w:tcW w:w="2160" w:type="dxa"/>
          </w:tcPr>
          <w:p w:rsidR="00106289" w:rsidRDefault="00106289" w:rsidP="00787430">
            <w:r>
              <w:t>Miscellaneous</w:t>
            </w:r>
          </w:p>
          <w:p w:rsidR="005C5326" w:rsidRDefault="005C5326" w:rsidP="00787430"/>
        </w:tc>
        <w:tc>
          <w:tcPr>
            <w:tcW w:w="2160" w:type="dxa"/>
          </w:tcPr>
          <w:p w:rsidR="005C5326" w:rsidRDefault="005C5326" w:rsidP="00787430">
            <w:r>
              <w:t>Signs, Travel Vouchers for Assistance</w:t>
            </w:r>
            <w:r w:rsidR="00106289">
              <w:t xml:space="preserve"> and other needs.</w:t>
            </w:r>
          </w:p>
        </w:tc>
        <w:tc>
          <w:tcPr>
            <w:tcW w:w="2160" w:type="dxa"/>
          </w:tcPr>
          <w:p w:rsidR="005C5326" w:rsidRDefault="00106289" w:rsidP="00787430">
            <w:r>
              <w:t>Variable 1-3%</w:t>
            </w:r>
          </w:p>
        </w:tc>
        <w:tc>
          <w:tcPr>
            <w:tcW w:w="2160" w:type="dxa"/>
          </w:tcPr>
          <w:p w:rsidR="005C5326" w:rsidRDefault="00106289" w:rsidP="00106289">
            <w:r>
              <w:t>Variable 1-3%</w:t>
            </w:r>
          </w:p>
        </w:tc>
      </w:tr>
      <w:tr w:rsidR="005C5326" w:rsidTr="00787430">
        <w:tc>
          <w:tcPr>
            <w:tcW w:w="2160" w:type="dxa"/>
          </w:tcPr>
          <w:p w:rsidR="005C5326" w:rsidRDefault="005C5326" w:rsidP="00787430">
            <w:r>
              <w:lastRenderedPageBreak/>
              <w:t>Mobile Unit Fleet Service</w:t>
            </w:r>
          </w:p>
        </w:tc>
        <w:tc>
          <w:tcPr>
            <w:tcW w:w="2160" w:type="dxa"/>
          </w:tcPr>
          <w:p w:rsidR="005C5326" w:rsidRDefault="005C5326" w:rsidP="00787430">
            <w:r>
              <w:t>Maintenance and Fuel needs</w:t>
            </w:r>
          </w:p>
        </w:tc>
        <w:tc>
          <w:tcPr>
            <w:tcW w:w="2160" w:type="dxa"/>
          </w:tcPr>
          <w:p w:rsidR="005C5326" w:rsidRDefault="005C5326" w:rsidP="00787430">
            <w:r>
              <w:t>-</w:t>
            </w:r>
          </w:p>
        </w:tc>
        <w:tc>
          <w:tcPr>
            <w:tcW w:w="2160" w:type="dxa"/>
          </w:tcPr>
          <w:p w:rsidR="005C5326" w:rsidRDefault="005C5326" w:rsidP="00787430">
            <w:r>
              <w:t>$157,200,000 – $314,400,000</w:t>
            </w:r>
          </w:p>
        </w:tc>
      </w:tr>
    </w:tbl>
    <w:p w:rsidR="00AD0C69" w:rsidRDefault="00AD0C69" w:rsidP="005C5326">
      <w:pPr>
        <w:spacing w:line="480" w:lineRule="auto"/>
        <w:jc w:val="center"/>
        <w:rPr>
          <w:rFonts w:ascii="Times New Roman" w:hAnsi="Times New Roman" w:cs="Times New Roman"/>
          <w:b/>
        </w:rPr>
      </w:pPr>
    </w:p>
    <w:p w:rsidR="00AD0C69" w:rsidRDefault="00AD0C69" w:rsidP="005C5326">
      <w:pPr>
        <w:spacing w:line="480" w:lineRule="auto"/>
        <w:jc w:val="center"/>
        <w:rPr>
          <w:rFonts w:ascii="Times New Roman" w:hAnsi="Times New Roman" w:cs="Times New Roman"/>
          <w:b/>
        </w:rPr>
      </w:pPr>
      <w:r>
        <w:rPr>
          <w:rFonts w:ascii="Times New Roman" w:hAnsi="Times New Roman" w:cs="Times New Roman"/>
          <w:b/>
        </w:rPr>
        <w:t>Cost Summary</w:t>
      </w:r>
    </w:p>
    <w:p w:rsidR="00AD0C69" w:rsidRPr="00AD0C69" w:rsidRDefault="005C5326" w:rsidP="005C5326">
      <w:pPr>
        <w:spacing w:line="480" w:lineRule="auto"/>
        <w:rPr>
          <w:rFonts w:ascii="Times New Roman" w:hAnsi="Times New Roman" w:cs="Times New Roman"/>
        </w:rPr>
      </w:pPr>
      <w:r>
        <w:rPr>
          <w:rFonts w:ascii="Times New Roman" w:hAnsi="Times New Roman" w:cs="Times New Roman"/>
        </w:rPr>
        <w:tab/>
      </w:r>
      <w:r w:rsidR="00AD0C69" w:rsidRPr="008C697C">
        <w:rPr>
          <w:rFonts w:ascii="Times New Roman" w:hAnsi="Times New Roman" w:cs="Times New Roman"/>
        </w:rPr>
        <w:t>A summary of estimated costs by category is provided below. Please note these values are estimates</w:t>
      </w:r>
      <w:r w:rsidR="00663C9C">
        <w:rPr>
          <w:rFonts w:ascii="Times New Roman" w:hAnsi="Times New Roman" w:cs="Times New Roman"/>
        </w:rPr>
        <w:t>, rounded up,</w:t>
      </w:r>
      <w:r w:rsidR="00AD0C69" w:rsidRPr="008C697C">
        <w:rPr>
          <w:rFonts w:ascii="Times New Roman" w:hAnsi="Times New Roman" w:cs="Times New Roman"/>
        </w:rPr>
        <w:t xml:space="preserve"> and subject to change pending vendor negotiations, infrastructure availability, and government pricing models.</w:t>
      </w:r>
    </w:p>
    <w:tbl>
      <w:tblPr>
        <w:tblStyle w:val="TableGrid"/>
        <w:tblW w:w="0" w:type="auto"/>
        <w:tblLook w:val="04A0"/>
      </w:tblPr>
      <w:tblGrid>
        <w:gridCol w:w="3372"/>
        <w:gridCol w:w="3088"/>
        <w:gridCol w:w="3116"/>
      </w:tblGrid>
      <w:tr w:rsidR="00AD0C69" w:rsidRPr="008C697C" w:rsidTr="00576869">
        <w:tc>
          <w:tcPr>
            <w:tcW w:w="3372" w:type="dxa"/>
          </w:tcPr>
          <w:p w:rsidR="00AD0C69" w:rsidRPr="008C697C" w:rsidRDefault="00AD0C69" w:rsidP="00787430">
            <w:pPr>
              <w:rPr>
                <w:rFonts w:ascii="Times New Roman" w:hAnsi="Times New Roman" w:cs="Times New Roman"/>
              </w:rPr>
            </w:pPr>
            <w:r w:rsidRPr="008C697C">
              <w:rPr>
                <w:rFonts w:ascii="Times New Roman" w:hAnsi="Times New Roman" w:cs="Times New Roman"/>
              </w:rPr>
              <w:t>Category</w:t>
            </w:r>
          </w:p>
        </w:tc>
        <w:tc>
          <w:tcPr>
            <w:tcW w:w="3088" w:type="dxa"/>
          </w:tcPr>
          <w:p w:rsidR="00AD0C69" w:rsidRPr="008C697C" w:rsidRDefault="00AD0C69" w:rsidP="00787430">
            <w:pPr>
              <w:rPr>
                <w:rFonts w:ascii="Times New Roman" w:hAnsi="Times New Roman" w:cs="Times New Roman"/>
              </w:rPr>
            </w:pPr>
            <w:r w:rsidRPr="008C697C">
              <w:rPr>
                <w:rFonts w:ascii="Times New Roman" w:hAnsi="Times New Roman" w:cs="Times New Roman"/>
              </w:rPr>
              <w:t>Initial Cost</w:t>
            </w:r>
          </w:p>
        </w:tc>
        <w:tc>
          <w:tcPr>
            <w:tcW w:w="3116" w:type="dxa"/>
          </w:tcPr>
          <w:p w:rsidR="00AD0C69" w:rsidRPr="008C697C" w:rsidRDefault="00AD0C69" w:rsidP="00787430">
            <w:pPr>
              <w:rPr>
                <w:rFonts w:ascii="Times New Roman" w:hAnsi="Times New Roman" w:cs="Times New Roman"/>
              </w:rPr>
            </w:pPr>
            <w:r w:rsidRPr="008C697C">
              <w:rPr>
                <w:rFonts w:ascii="Times New Roman" w:hAnsi="Times New Roman" w:cs="Times New Roman"/>
              </w:rPr>
              <w:t>Yearly Cost</w:t>
            </w:r>
          </w:p>
        </w:tc>
      </w:tr>
      <w:tr w:rsidR="00AD0C69" w:rsidRPr="008C697C" w:rsidTr="00576869">
        <w:tc>
          <w:tcPr>
            <w:tcW w:w="3372" w:type="dxa"/>
          </w:tcPr>
          <w:p w:rsidR="00AD0C69" w:rsidRPr="008C697C" w:rsidRDefault="00AD0C69" w:rsidP="00576869">
            <w:pPr>
              <w:rPr>
                <w:rFonts w:ascii="Times New Roman" w:hAnsi="Times New Roman" w:cs="Times New Roman"/>
              </w:rPr>
            </w:pPr>
            <w:r w:rsidRPr="008C697C">
              <w:rPr>
                <w:rFonts w:ascii="Times New Roman" w:hAnsi="Times New Roman" w:cs="Times New Roman"/>
              </w:rPr>
              <w:t xml:space="preserve">Hardware &amp; </w:t>
            </w:r>
            <w:r w:rsidR="00576869">
              <w:rPr>
                <w:rFonts w:ascii="Times New Roman" w:hAnsi="Times New Roman" w:cs="Times New Roman"/>
              </w:rPr>
              <w:t>Systems</w:t>
            </w:r>
          </w:p>
        </w:tc>
        <w:tc>
          <w:tcPr>
            <w:tcW w:w="3088" w:type="dxa"/>
          </w:tcPr>
          <w:p w:rsidR="00663C9C" w:rsidRDefault="006B2BA9" w:rsidP="00787430">
            <w:pPr>
              <w:rPr>
                <w:rFonts w:ascii="Times New Roman" w:hAnsi="Times New Roman" w:cs="Times New Roman"/>
              </w:rPr>
            </w:pPr>
            <w:r>
              <w:rPr>
                <w:rFonts w:ascii="Times New Roman" w:hAnsi="Times New Roman" w:cs="Times New Roman"/>
              </w:rPr>
              <w:t xml:space="preserve">$1,225,000,000 </w:t>
            </w:r>
            <w:r w:rsidR="00663C9C">
              <w:rPr>
                <w:rFonts w:ascii="Times New Roman" w:hAnsi="Times New Roman" w:cs="Times New Roman"/>
              </w:rPr>
              <w:t>–</w:t>
            </w:r>
            <w:r>
              <w:rPr>
                <w:rFonts w:ascii="Times New Roman" w:hAnsi="Times New Roman" w:cs="Times New Roman"/>
              </w:rPr>
              <w:t xml:space="preserve"> </w:t>
            </w:r>
          </w:p>
          <w:p w:rsidR="00AD0C69" w:rsidRPr="008C697C" w:rsidRDefault="006B2BA9" w:rsidP="00787430">
            <w:pPr>
              <w:rPr>
                <w:rFonts w:ascii="Times New Roman" w:hAnsi="Times New Roman" w:cs="Times New Roman"/>
              </w:rPr>
            </w:pPr>
            <w:r>
              <w:rPr>
                <w:rFonts w:ascii="Times New Roman" w:hAnsi="Times New Roman" w:cs="Times New Roman"/>
              </w:rPr>
              <w:t>$</w:t>
            </w:r>
            <w:r w:rsidR="00663C9C">
              <w:rPr>
                <w:rFonts w:ascii="Times New Roman" w:hAnsi="Times New Roman" w:cs="Times New Roman"/>
              </w:rPr>
              <w:t>3,100,000,000</w:t>
            </w:r>
          </w:p>
        </w:tc>
        <w:tc>
          <w:tcPr>
            <w:tcW w:w="3116" w:type="dxa"/>
          </w:tcPr>
          <w:p w:rsidR="00AD0C69" w:rsidRPr="008C697C" w:rsidRDefault="006B2BA9" w:rsidP="00787430">
            <w:pPr>
              <w:rPr>
                <w:rFonts w:ascii="Times New Roman" w:hAnsi="Times New Roman" w:cs="Times New Roman"/>
              </w:rPr>
            </w:pPr>
            <w:r>
              <w:rPr>
                <w:rFonts w:ascii="Times New Roman" w:hAnsi="Times New Roman" w:cs="Times New Roman"/>
              </w:rPr>
              <w:t>$13,000,000 - $14,500,000</w:t>
            </w:r>
          </w:p>
        </w:tc>
      </w:tr>
      <w:tr w:rsidR="00AD0C69" w:rsidRPr="008C697C" w:rsidTr="00576869">
        <w:tc>
          <w:tcPr>
            <w:tcW w:w="3372" w:type="dxa"/>
          </w:tcPr>
          <w:p w:rsidR="00AD0C69" w:rsidRPr="008C697C" w:rsidRDefault="00AD0C69" w:rsidP="00787430">
            <w:pPr>
              <w:rPr>
                <w:rFonts w:ascii="Times New Roman" w:hAnsi="Times New Roman" w:cs="Times New Roman"/>
              </w:rPr>
            </w:pPr>
            <w:r w:rsidRPr="008C697C">
              <w:rPr>
                <w:rFonts w:ascii="Times New Roman" w:hAnsi="Times New Roman" w:cs="Times New Roman"/>
              </w:rPr>
              <w:t>Software Development &amp; Licensing</w:t>
            </w:r>
          </w:p>
        </w:tc>
        <w:tc>
          <w:tcPr>
            <w:tcW w:w="3088" w:type="dxa"/>
          </w:tcPr>
          <w:p w:rsidR="00AD0C69" w:rsidRPr="008C697C" w:rsidRDefault="006B2BA9" w:rsidP="00787430">
            <w:pPr>
              <w:rPr>
                <w:rFonts w:ascii="Times New Roman" w:hAnsi="Times New Roman" w:cs="Times New Roman"/>
              </w:rPr>
            </w:pPr>
            <w:r>
              <w:rPr>
                <w:rFonts w:ascii="Times New Roman" w:hAnsi="Times New Roman" w:cs="Times New Roman"/>
              </w:rPr>
              <w:t>$1,100,000</w:t>
            </w:r>
          </w:p>
        </w:tc>
        <w:tc>
          <w:tcPr>
            <w:tcW w:w="3116" w:type="dxa"/>
          </w:tcPr>
          <w:p w:rsidR="00AD0C69" w:rsidRPr="008C697C" w:rsidRDefault="006B2BA9" w:rsidP="00787430">
            <w:pPr>
              <w:rPr>
                <w:rFonts w:ascii="Times New Roman" w:hAnsi="Times New Roman" w:cs="Times New Roman"/>
              </w:rPr>
            </w:pPr>
            <w:r>
              <w:rPr>
                <w:rFonts w:ascii="Times New Roman" w:hAnsi="Times New Roman" w:cs="Times New Roman"/>
              </w:rPr>
              <w:t>-</w:t>
            </w:r>
          </w:p>
        </w:tc>
      </w:tr>
      <w:tr w:rsidR="00AD0C69" w:rsidRPr="008C697C" w:rsidTr="00576869">
        <w:tc>
          <w:tcPr>
            <w:tcW w:w="3372" w:type="dxa"/>
          </w:tcPr>
          <w:p w:rsidR="00AD0C69" w:rsidRPr="008C697C" w:rsidRDefault="00AD0C69" w:rsidP="00576869">
            <w:pPr>
              <w:rPr>
                <w:rFonts w:ascii="Times New Roman" w:hAnsi="Times New Roman" w:cs="Times New Roman"/>
              </w:rPr>
            </w:pPr>
            <w:r w:rsidRPr="008C697C">
              <w:rPr>
                <w:rFonts w:ascii="Times New Roman" w:hAnsi="Times New Roman" w:cs="Times New Roman"/>
              </w:rPr>
              <w:t xml:space="preserve">Personnel &amp; </w:t>
            </w:r>
            <w:r w:rsidR="00576869">
              <w:rPr>
                <w:rFonts w:ascii="Times New Roman" w:hAnsi="Times New Roman" w:cs="Times New Roman"/>
              </w:rPr>
              <w:t>Miscellaneous</w:t>
            </w:r>
          </w:p>
        </w:tc>
        <w:tc>
          <w:tcPr>
            <w:tcW w:w="3088" w:type="dxa"/>
          </w:tcPr>
          <w:p w:rsidR="00663C9C" w:rsidRPr="008C697C" w:rsidRDefault="00663C9C" w:rsidP="00787430">
            <w:pPr>
              <w:rPr>
                <w:rFonts w:ascii="Times New Roman" w:hAnsi="Times New Roman" w:cs="Times New Roman"/>
              </w:rPr>
            </w:pPr>
            <w:r>
              <w:rPr>
                <w:rFonts w:ascii="Times New Roman" w:hAnsi="Times New Roman" w:cs="Times New Roman"/>
              </w:rPr>
              <w:t xml:space="preserve">$8,550,000,000 </w:t>
            </w:r>
          </w:p>
        </w:tc>
        <w:tc>
          <w:tcPr>
            <w:tcW w:w="3116" w:type="dxa"/>
          </w:tcPr>
          <w:p w:rsidR="00AD0C69" w:rsidRDefault="00663C9C" w:rsidP="00787430">
            <w:pPr>
              <w:rPr>
                <w:rFonts w:ascii="Times New Roman" w:hAnsi="Times New Roman" w:cs="Times New Roman"/>
              </w:rPr>
            </w:pPr>
            <w:r>
              <w:rPr>
                <w:rFonts w:ascii="Times New Roman" w:hAnsi="Times New Roman" w:cs="Times New Roman"/>
              </w:rPr>
              <w:t>$8,700,000,000 –</w:t>
            </w:r>
          </w:p>
          <w:p w:rsidR="00663C9C" w:rsidRPr="008C697C" w:rsidRDefault="00663C9C" w:rsidP="00787430">
            <w:pPr>
              <w:rPr>
                <w:rFonts w:ascii="Times New Roman" w:hAnsi="Times New Roman" w:cs="Times New Roman"/>
              </w:rPr>
            </w:pPr>
            <w:r>
              <w:rPr>
                <w:rFonts w:ascii="Times New Roman" w:hAnsi="Times New Roman" w:cs="Times New Roman"/>
              </w:rPr>
              <w:t>$8,900,000,000</w:t>
            </w:r>
          </w:p>
        </w:tc>
      </w:tr>
      <w:tr w:rsidR="00AD0C69" w:rsidRPr="008C697C" w:rsidTr="00576869">
        <w:tc>
          <w:tcPr>
            <w:tcW w:w="3372" w:type="dxa"/>
          </w:tcPr>
          <w:p w:rsidR="00AD0C69" w:rsidRPr="00663C9C" w:rsidRDefault="00AD0C69" w:rsidP="00787430">
            <w:pPr>
              <w:rPr>
                <w:rFonts w:ascii="Times New Roman" w:hAnsi="Times New Roman" w:cs="Times New Roman"/>
                <w:b/>
              </w:rPr>
            </w:pPr>
            <w:r w:rsidRPr="00663C9C">
              <w:rPr>
                <w:rFonts w:ascii="Times New Roman" w:hAnsi="Times New Roman" w:cs="Times New Roman"/>
                <w:b/>
              </w:rPr>
              <w:t>Total</w:t>
            </w:r>
          </w:p>
        </w:tc>
        <w:tc>
          <w:tcPr>
            <w:tcW w:w="3088" w:type="dxa"/>
          </w:tcPr>
          <w:p w:rsidR="00AD0C69" w:rsidRPr="00663C9C" w:rsidRDefault="00663C9C" w:rsidP="00787430">
            <w:pPr>
              <w:rPr>
                <w:rFonts w:ascii="Times New Roman" w:hAnsi="Times New Roman" w:cs="Times New Roman"/>
                <w:b/>
              </w:rPr>
            </w:pPr>
            <w:r w:rsidRPr="00663C9C">
              <w:rPr>
                <w:rFonts w:ascii="Times New Roman" w:hAnsi="Times New Roman" w:cs="Times New Roman"/>
                <w:b/>
              </w:rPr>
              <w:t>$9.8 Billion – $11.7 Billion</w:t>
            </w:r>
          </w:p>
        </w:tc>
        <w:tc>
          <w:tcPr>
            <w:tcW w:w="3116" w:type="dxa"/>
          </w:tcPr>
          <w:p w:rsidR="00AD0C69" w:rsidRPr="00663C9C" w:rsidRDefault="00663C9C" w:rsidP="00787430">
            <w:pPr>
              <w:rPr>
                <w:rFonts w:ascii="Times New Roman" w:hAnsi="Times New Roman" w:cs="Times New Roman"/>
                <w:b/>
              </w:rPr>
            </w:pPr>
            <w:r>
              <w:rPr>
                <w:rFonts w:ascii="Times New Roman" w:hAnsi="Times New Roman" w:cs="Times New Roman"/>
                <w:b/>
              </w:rPr>
              <w:t>$8.75 Billion – $8.95 Billion</w:t>
            </w:r>
          </w:p>
        </w:tc>
      </w:tr>
    </w:tbl>
    <w:p w:rsidR="00AD0C69" w:rsidRDefault="00AD0C69" w:rsidP="00AD0C69">
      <w:pPr>
        <w:rPr>
          <w:rFonts w:ascii="Times New Roman" w:hAnsi="Times New Roman" w:cs="Times New Roman"/>
          <w:b/>
        </w:rPr>
      </w:pPr>
    </w:p>
    <w:p w:rsidR="000F6138" w:rsidRPr="00AD0C69" w:rsidRDefault="000F6138" w:rsidP="00AD0C69">
      <w:pPr>
        <w:rPr>
          <w:rFonts w:ascii="Times New Roman" w:hAnsi="Times New Roman" w:cs="Times New Roman"/>
          <w:b/>
        </w:rPr>
      </w:pPr>
    </w:p>
    <w:p w:rsidR="008B61B9" w:rsidRDefault="000F6138" w:rsidP="005C5326">
      <w:pPr>
        <w:spacing w:line="480" w:lineRule="auto"/>
        <w:jc w:val="center"/>
        <w:rPr>
          <w:b/>
        </w:rPr>
      </w:pPr>
      <w:r>
        <w:rPr>
          <w:b/>
        </w:rPr>
        <w:t>Feasibility and Scalability</w:t>
      </w:r>
    </w:p>
    <w:p w:rsidR="000F6138" w:rsidRPr="008C697C" w:rsidRDefault="005C5326" w:rsidP="005C5326">
      <w:pPr>
        <w:spacing w:line="480" w:lineRule="auto"/>
        <w:rPr>
          <w:rFonts w:ascii="Times New Roman" w:hAnsi="Times New Roman" w:cs="Times New Roman"/>
        </w:rPr>
      </w:pPr>
      <w:r>
        <w:rPr>
          <w:rFonts w:ascii="Times New Roman" w:hAnsi="Times New Roman" w:cs="Times New Roman"/>
        </w:rPr>
        <w:tab/>
      </w:r>
      <w:r w:rsidR="000F6138" w:rsidRPr="008C697C">
        <w:rPr>
          <w:rFonts w:ascii="Times New Roman" w:hAnsi="Times New Roman" w:cs="Times New Roman"/>
        </w:rPr>
        <w:t xml:space="preserve">While the upfront investment in this system is substantial, its design </w:t>
      </w:r>
      <w:r w:rsidR="00576869">
        <w:rPr>
          <w:rFonts w:ascii="Times New Roman" w:hAnsi="Times New Roman" w:cs="Times New Roman"/>
        </w:rPr>
        <w:t>focuses on</w:t>
      </w:r>
      <w:r w:rsidR="000F6138" w:rsidRPr="008C697C">
        <w:rPr>
          <w:rFonts w:ascii="Times New Roman" w:hAnsi="Times New Roman" w:cs="Times New Roman"/>
        </w:rPr>
        <w:t xml:space="preserve"> long-term scalability, security, and accessibility. U</w:t>
      </w:r>
      <w:r w:rsidR="00576869">
        <w:rPr>
          <w:rFonts w:ascii="Times New Roman" w:hAnsi="Times New Roman" w:cs="Times New Roman"/>
        </w:rPr>
        <w:t>sing</w:t>
      </w:r>
      <w:r w:rsidR="000F6138" w:rsidRPr="008C697C">
        <w:rPr>
          <w:rFonts w:ascii="Times New Roman" w:hAnsi="Times New Roman" w:cs="Times New Roman"/>
        </w:rPr>
        <w:t xml:space="preserve"> existing</w:t>
      </w:r>
      <w:r w:rsidR="00576869">
        <w:rPr>
          <w:rFonts w:ascii="Times New Roman" w:hAnsi="Times New Roman" w:cs="Times New Roman"/>
        </w:rPr>
        <w:t xml:space="preserve"> voting</w:t>
      </w:r>
      <w:r w:rsidR="000F6138" w:rsidRPr="008C697C">
        <w:rPr>
          <w:rFonts w:ascii="Times New Roman" w:hAnsi="Times New Roman" w:cs="Times New Roman"/>
        </w:rPr>
        <w:t xml:space="preserve"> infrastructure and personal devices</w:t>
      </w:r>
      <w:r w:rsidR="00576869">
        <w:rPr>
          <w:rFonts w:ascii="Times New Roman" w:hAnsi="Times New Roman" w:cs="Times New Roman"/>
        </w:rPr>
        <w:t>, coupled with bulk pricing, and cloud scaling,</w:t>
      </w:r>
      <w:r w:rsidR="000F6138" w:rsidRPr="008C697C">
        <w:rPr>
          <w:rFonts w:ascii="Times New Roman" w:hAnsi="Times New Roman" w:cs="Times New Roman"/>
        </w:rPr>
        <w:t xml:space="preserve"> </w:t>
      </w:r>
      <w:r w:rsidR="00576869">
        <w:rPr>
          <w:rFonts w:ascii="Times New Roman" w:hAnsi="Times New Roman" w:cs="Times New Roman"/>
        </w:rPr>
        <w:t>goes a long way in reducing</w:t>
      </w:r>
      <w:r w:rsidR="000F6138" w:rsidRPr="008C697C">
        <w:rPr>
          <w:rFonts w:ascii="Times New Roman" w:hAnsi="Times New Roman" w:cs="Times New Roman"/>
        </w:rPr>
        <w:t xml:space="preserve"> costs. A phased rollout starting with</w:t>
      </w:r>
      <w:r w:rsidR="00576869">
        <w:rPr>
          <w:rFonts w:ascii="Times New Roman" w:hAnsi="Times New Roman" w:cs="Times New Roman"/>
        </w:rPr>
        <w:t xml:space="preserve"> a</w:t>
      </w:r>
      <w:r w:rsidR="000F6138" w:rsidRPr="008C697C">
        <w:rPr>
          <w:rFonts w:ascii="Times New Roman" w:hAnsi="Times New Roman" w:cs="Times New Roman"/>
        </w:rPr>
        <w:t xml:space="preserve"> state-level pilot program will</w:t>
      </w:r>
      <w:r w:rsidR="00576869">
        <w:rPr>
          <w:rFonts w:ascii="Times New Roman" w:hAnsi="Times New Roman" w:cs="Times New Roman"/>
        </w:rPr>
        <w:t xml:space="preserve"> help to further improve</w:t>
      </w:r>
      <w:r w:rsidR="000F6138" w:rsidRPr="008C697C">
        <w:rPr>
          <w:rFonts w:ascii="Times New Roman" w:hAnsi="Times New Roman" w:cs="Times New Roman"/>
        </w:rPr>
        <w:t xml:space="preserve"> cost</w:t>
      </w:r>
      <w:r w:rsidR="00576869">
        <w:rPr>
          <w:rFonts w:ascii="Times New Roman" w:hAnsi="Times New Roman" w:cs="Times New Roman"/>
        </w:rPr>
        <w:t xml:space="preserve"> estimate accuracy and </w:t>
      </w:r>
      <w:r w:rsidR="000F6138" w:rsidRPr="008C697C">
        <w:rPr>
          <w:rFonts w:ascii="Times New Roman" w:hAnsi="Times New Roman" w:cs="Times New Roman"/>
        </w:rPr>
        <w:t>system</w:t>
      </w:r>
      <w:r w:rsidR="00576869">
        <w:rPr>
          <w:rFonts w:ascii="Times New Roman" w:hAnsi="Times New Roman" w:cs="Times New Roman"/>
        </w:rPr>
        <w:t>s before widespread adoption for the nation</w:t>
      </w:r>
      <w:r w:rsidR="000F6138" w:rsidRPr="008C697C">
        <w:rPr>
          <w:rFonts w:ascii="Times New Roman" w:hAnsi="Times New Roman" w:cs="Times New Roman"/>
        </w:rPr>
        <w:t xml:space="preserve">. </w:t>
      </w:r>
    </w:p>
    <w:p w:rsidR="000F6138" w:rsidRPr="000F6138" w:rsidRDefault="000F6138" w:rsidP="000F6138">
      <w:pPr>
        <w:rPr>
          <w:b/>
        </w:rPr>
      </w:pPr>
    </w:p>
    <w:p w:rsidR="008B61B9" w:rsidRDefault="008B61B9" w:rsidP="008B61B9">
      <w:pPr>
        <w:jc w:val="center"/>
        <w:rPr>
          <w:b/>
          <w:sz w:val="28"/>
          <w:szCs w:val="28"/>
        </w:rPr>
      </w:pPr>
    </w:p>
    <w:p w:rsidR="008B61B9" w:rsidRDefault="008B61B9" w:rsidP="008B61B9">
      <w:pPr>
        <w:jc w:val="center"/>
        <w:rPr>
          <w:b/>
          <w:sz w:val="28"/>
          <w:szCs w:val="28"/>
        </w:rPr>
      </w:pPr>
    </w:p>
    <w:p w:rsidR="008B61B9" w:rsidRDefault="008B61B9"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p>
    <w:p w:rsidR="00F95D5A" w:rsidRDefault="00F95D5A" w:rsidP="008B61B9">
      <w:pPr>
        <w:jc w:val="center"/>
        <w:rPr>
          <w:b/>
          <w:sz w:val="28"/>
          <w:szCs w:val="28"/>
        </w:rPr>
      </w:pPr>
      <w:r>
        <w:rPr>
          <w:b/>
          <w:sz w:val="28"/>
          <w:szCs w:val="28"/>
        </w:rPr>
        <w:t>VI. References</w:t>
      </w:r>
    </w:p>
    <w:p w:rsidR="00F95D5A" w:rsidRP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b/>
          <w:color w:val="333333"/>
        </w:rPr>
      </w:pPr>
      <w:r w:rsidRPr="00F95D5A">
        <w:rPr>
          <w:rFonts w:asciiTheme="majorHAnsi" w:hAnsiTheme="majorHAnsi" w:cstheme="majorHAnsi"/>
          <w:b/>
          <w:color w:val="333333"/>
        </w:rPr>
        <w:t>Network Topology References</w:t>
      </w:r>
    </w:p>
    <w:p w:rsid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sidRPr="00F95D5A">
        <w:rPr>
          <w:rFonts w:asciiTheme="majorHAnsi" w:hAnsiTheme="majorHAnsi" w:cstheme="majorHAnsi"/>
          <w:color w:val="333333"/>
        </w:rPr>
        <w:t>CISA. (2022, January). </w:t>
      </w:r>
      <w:r w:rsidRPr="00F95D5A">
        <w:rPr>
          <w:rStyle w:val="Emphasis"/>
          <w:rFonts w:asciiTheme="majorHAnsi" w:hAnsiTheme="majorHAnsi" w:cstheme="majorHAnsi"/>
          <w:color w:val="333333"/>
        </w:rPr>
        <w:t>Layering network security through segmentation</w:t>
      </w:r>
      <w:r w:rsidRPr="00F95D5A">
        <w:rPr>
          <w:rFonts w:asciiTheme="majorHAnsi" w:hAnsiTheme="majorHAnsi" w:cstheme="majorHAnsi"/>
          <w:color w:val="333333"/>
        </w:rPr>
        <w:t xml:space="preserve">. </w:t>
      </w:r>
      <w:r>
        <w:rPr>
          <w:rFonts w:asciiTheme="majorHAnsi" w:hAnsiTheme="majorHAnsi" w:cstheme="majorHAnsi"/>
          <w:color w:val="333333"/>
        </w:rPr>
        <w:tab/>
      </w:r>
      <w:hyperlink r:id="rId9" w:history="1">
        <w:r w:rsidRPr="007972B6">
          <w:rPr>
            <w:rStyle w:val="Hyperlink"/>
            <w:rFonts w:asciiTheme="majorHAnsi" w:hAnsiTheme="majorHAnsi" w:cstheme="majorHAnsi"/>
          </w:rPr>
          <w:t>https://www.cisa.gov/sites/default/files/publications/layering-network-security-</w:t>
        </w:r>
        <w:r w:rsidRPr="00F95D5A">
          <w:rPr>
            <w:rStyle w:val="Hyperlink"/>
            <w:rFonts w:asciiTheme="majorHAnsi" w:hAnsiTheme="majorHAnsi" w:cstheme="majorHAnsi"/>
            <w:u w:val="none"/>
          </w:rPr>
          <w:tab/>
        </w:r>
        <w:r w:rsidRPr="007972B6">
          <w:rPr>
            <w:rStyle w:val="Hyperlink"/>
            <w:rFonts w:asciiTheme="majorHAnsi" w:hAnsiTheme="majorHAnsi" w:cstheme="majorHAnsi"/>
          </w:rPr>
          <w:t>segmentation_infographic_508_0.pdf</w:t>
        </w:r>
      </w:hyperlink>
    </w:p>
    <w:p w:rsid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sidRPr="00F95D5A">
        <w:rPr>
          <w:rFonts w:asciiTheme="majorHAnsi" w:hAnsiTheme="majorHAnsi" w:cstheme="majorHAnsi"/>
          <w:color w:val="333333"/>
        </w:rPr>
        <w:t>Fortinet. (2019). </w:t>
      </w:r>
      <w:r w:rsidRPr="00F95D5A">
        <w:rPr>
          <w:rStyle w:val="Emphasis"/>
          <w:rFonts w:asciiTheme="majorHAnsi" w:hAnsiTheme="majorHAnsi" w:cstheme="majorHAnsi"/>
          <w:color w:val="333333"/>
        </w:rPr>
        <w:t>Fortinet Logical (Intent-based) Segmentation for Cloud Environments</w:t>
      </w:r>
      <w:r w:rsidRPr="00F95D5A">
        <w:rPr>
          <w:rFonts w:asciiTheme="majorHAnsi" w:hAnsiTheme="majorHAnsi" w:cstheme="majorHAnsi"/>
          <w:color w:val="333333"/>
        </w:rPr>
        <w:t xml:space="preserve">. Fortinet </w:t>
      </w:r>
      <w:r>
        <w:rPr>
          <w:rFonts w:asciiTheme="majorHAnsi" w:hAnsiTheme="majorHAnsi" w:cstheme="majorHAnsi"/>
          <w:color w:val="333333"/>
        </w:rPr>
        <w:tab/>
      </w:r>
      <w:r w:rsidRPr="00F95D5A">
        <w:rPr>
          <w:rFonts w:asciiTheme="majorHAnsi" w:hAnsiTheme="majorHAnsi" w:cstheme="majorHAnsi"/>
          <w:color w:val="333333"/>
        </w:rPr>
        <w:t xml:space="preserve">Solution Brief. </w:t>
      </w:r>
      <w:hyperlink r:id="rId10" w:history="1">
        <w:r w:rsidRPr="007972B6">
          <w:rPr>
            <w:rStyle w:val="Hyperlink"/>
            <w:rFonts w:asciiTheme="majorHAnsi" w:hAnsiTheme="majorHAnsi" w:cstheme="majorHAnsi"/>
          </w:rPr>
          <w:t>https://www.fortinet.com/content/dam/fortinet/assets/solution-guides/sb-</w:t>
        </w:r>
        <w:r w:rsidRPr="00F95D5A">
          <w:rPr>
            <w:rStyle w:val="Hyperlink"/>
            <w:rFonts w:asciiTheme="majorHAnsi" w:hAnsiTheme="majorHAnsi" w:cstheme="majorHAnsi"/>
            <w:u w:val="none"/>
          </w:rPr>
          <w:tab/>
        </w:r>
        <w:r w:rsidRPr="007972B6">
          <w:rPr>
            <w:rStyle w:val="Hyperlink"/>
            <w:rFonts w:asciiTheme="majorHAnsi" w:hAnsiTheme="majorHAnsi" w:cstheme="majorHAnsi"/>
          </w:rPr>
          <w:t>logical-segmentation-for-cloud-environments.pdf</w:t>
        </w:r>
      </w:hyperlink>
    </w:p>
    <w:p w:rsid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sidRPr="00F95D5A">
        <w:rPr>
          <w:rFonts w:asciiTheme="majorHAnsi" w:hAnsiTheme="majorHAnsi" w:cstheme="majorHAnsi"/>
          <w:color w:val="333333"/>
        </w:rPr>
        <w:t>Microsoft. (2025a). </w:t>
      </w:r>
      <w:r w:rsidRPr="00F95D5A">
        <w:rPr>
          <w:rStyle w:val="Emphasis"/>
          <w:rFonts w:asciiTheme="majorHAnsi" w:hAnsiTheme="majorHAnsi" w:cstheme="majorHAnsi"/>
          <w:color w:val="333333"/>
        </w:rPr>
        <w:t>Discover Windows accessibility features</w:t>
      </w:r>
      <w:r w:rsidRPr="00F95D5A">
        <w:rPr>
          <w:rFonts w:asciiTheme="majorHAnsi" w:hAnsiTheme="majorHAnsi" w:cstheme="majorHAnsi"/>
          <w:color w:val="333333"/>
        </w:rPr>
        <w:t xml:space="preserve">. Microsoft Support. </w:t>
      </w:r>
      <w:r>
        <w:rPr>
          <w:rFonts w:asciiTheme="majorHAnsi" w:hAnsiTheme="majorHAnsi" w:cstheme="majorHAnsi"/>
          <w:color w:val="333333"/>
        </w:rPr>
        <w:tab/>
      </w:r>
      <w:hyperlink r:id="rId11" w:history="1">
        <w:r w:rsidRPr="007972B6">
          <w:rPr>
            <w:rStyle w:val="Hyperlink"/>
            <w:rFonts w:asciiTheme="majorHAnsi" w:hAnsiTheme="majorHAnsi" w:cstheme="majorHAnsi"/>
          </w:rPr>
          <w:t>https://support.microsoft.com/en-us/windows/discover-windows-accessibility-features-</w:t>
        </w:r>
        <w:r w:rsidRPr="00F95D5A">
          <w:rPr>
            <w:rStyle w:val="Hyperlink"/>
            <w:rFonts w:asciiTheme="majorHAnsi" w:hAnsiTheme="majorHAnsi" w:cstheme="majorHAnsi"/>
            <w:u w:val="none"/>
          </w:rPr>
          <w:tab/>
        </w:r>
        <w:r w:rsidRPr="007972B6">
          <w:rPr>
            <w:rStyle w:val="Hyperlink"/>
            <w:rFonts w:asciiTheme="majorHAnsi" w:hAnsiTheme="majorHAnsi" w:cstheme="majorHAnsi"/>
          </w:rPr>
          <w:t>8b1068e6-d3b8-4ba8-b027-133dd8911df9</w:t>
        </w:r>
      </w:hyperlink>
    </w:p>
    <w:p w:rsid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sidRPr="00F95D5A">
        <w:rPr>
          <w:rFonts w:asciiTheme="majorHAnsi" w:hAnsiTheme="majorHAnsi" w:cstheme="majorHAnsi"/>
          <w:color w:val="333333"/>
        </w:rPr>
        <w:t>Microsoft. (2025b). </w:t>
      </w:r>
      <w:r w:rsidRPr="00F95D5A">
        <w:rPr>
          <w:rStyle w:val="Emphasis"/>
          <w:rFonts w:asciiTheme="majorHAnsi" w:hAnsiTheme="majorHAnsi" w:cstheme="majorHAnsi"/>
          <w:color w:val="333333"/>
        </w:rPr>
        <w:t>What is azure? | microsoft azure</w:t>
      </w:r>
      <w:r w:rsidRPr="00F95D5A">
        <w:rPr>
          <w:rFonts w:asciiTheme="majorHAnsi" w:hAnsiTheme="majorHAnsi" w:cstheme="majorHAnsi"/>
          <w:color w:val="333333"/>
        </w:rPr>
        <w:t xml:space="preserve">. </w:t>
      </w:r>
      <w:hyperlink r:id="rId12" w:history="1">
        <w:r w:rsidRPr="007972B6">
          <w:rPr>
            <w:rStyle w:val="Hyperlink"/>
            <w:rFonts w:asciiTheme="majorHAnsi" w:hAnsiTheme="majorHAnsi" w:cstheme="majorHAnsi"/>
          </w:rPr>
          <w:t>https://azure.microsoft.com/en-</w:t>
        </w:r>
        <w:r w:rsidRPr="00F95D5A">
          <w:rPr>
            <w:rStyle w:val="Hyperlink"/>
            <w:rFonts w:asciiTheme="majorHAnsi" w:hAnsiTheme="majorHAnsi" w:cstheme="majorHAnsi"/>
            <w:u w:val="none"/>
          </w:rPr>
          <w:tab/>
        </w:r>
        <w:r w:rsidRPr="007972B6">
          <w:rPr>
            <w:rStyle w:val="Hyperlink"/>
            <w:rFonts w:asciiTheme="majorHAnsi" w:hAnsiTheme="majorHAnsi" w:cstheme="majorHAnsi"/>
          </w:rPr>
          <w:t>us/resources/cloud-computing-dictionary/what-is-azure</w:t>
        </w:r>
      </w:hyperlink>
    </w:p>
    <w:p w:rsidR="00F95D5A" w:rsidRDefault="00F95D5A" w:rsidP="00F95D5A">
      <w:pPr>
        <w:pStyle w:val="NormalWeb"/>
        <w:shd w:val="clear" w:color="auto" w:fill="FFFFFF"/>
        <w:spacing w:before="120" w:beforeAutospacing="0" w:after="120" w:afterAutospacing="0" w:line="480" w:lineRule="auto"/>
        <w:rPr>
          <w:rFonts w:asciiTheme="majorHAnsi" w:hAnsiTheme="majorHAnsi" w:cstheme="majorHAnsi"/>
          <w:color w:val="333333"/>
        </w:rPr>
      </w:pPr>
      <w:r w:rsidRPr="00F95D5A">
        <w:rPr>
          <w:rFonts w:asciiTheme="majorHAnsi" w:hAnsiTheme="majorHAnsi" w:cstheme="majorHAnsi"/>
          <w:color w:val="333333"/>
        </w:rPr>
        <w:t>OWASP. (2025). </w:t>
      </w:r>
      <w:r w:rsidRPr="00F95D5A">
        <w:rPr>
          <w:rStyle w:val="Emphasis"/>
          <w:rFonts w:asciiTheme="majorHAnsi" w:hAnsiTheme="majorHAnsi" w:cstheme="majorHAnsi"/>
          <w:color w:val="333333"/>
        </w:rPr>
        <w:t>Network segmentation cheat sheet</w:t>
      </w:r>
      <w:r w:rsidRPr="00F95D5A">
        <w:rPr>
          <w:rFonts w:asciiTheme="majorHAnsi" w:hAnsiTheme="majorHAnsi" w:cstheme="majorHAnsi"/>
          <w:color w:val="333333"/>
        </w:rPr>
        <w:t xml:space="preserve">. Network Segmentation - OWASP Cheat </w:t>
      </w:r>
      <w:r>
        <w:rPr>
          <w:rFonts w:asciiTheme="majorHAnsi" w:hAnsiTheme="majorHAnsi" w:cstheme="majorHAnsi"/>
          <w:color w:val="333333"/>
        </w:rPr>
        <w:tab/>
      </w:r>
      <w:r w:rsidRPr="00F95D5A">
        <w:rPr>
          <w:rFonts w:asciiTheme="majorHAnsi" w:hAnsiTheme="majorHAnsi" w:cstheme="majorHAnsi"/>
          <w:color w:val="333333"/>
        </w:rPr>
        <w:t xml:space="preserve">Sheet Series. </w:t>
      </w:r>
      <w:r>
        <w:rPr>
          <w:rFonts w:asciiTheme="majorHAnsi" w:hAnsiTheme="majorHAnsi" w:cstheme="majorHAnsi"/>
          <w:color w:val="333333"/>
        </w:rPr>
        <w:tab/>
      </w:r>
      <w:hyperlink r:id="rId13" w:history="1">
        <w:r w:rsidRPr="007972B6">
          <w:rPr>
            <w:rStyle w:val="Hyperlink"/>
            <w:rFonts w:asciiTheme="majorHAnsi" w:hAnsiTheme="majorHAnsi" w:cstheme="majorHAnsi"/>
          </w:rPr>
          <w:t>https://cheatsheetseries.owasp.org/cheatsheets/Network_Segmentation_Cheat_Sheet.html</w:t>
        </w:r>
      </w:hyperlink>
    </w:p>
    <w:p w:rsidR="00F95D5A" w:rsidRDefault="00F95D5A" w:rsidP="00F95D5A">
      <w:pPr>
        <w:rPr>
          <w:b/>
          <w:sz w:val="28"/>
          <w:szCs w:val="28"/>
        </w:rPr>
      </w:pPr>
    </w:p>
    <w:p w:rsidR="00F95D5A" w:rsidRPr="001E5137" w:rsidRDefault="00F95D5A" w:rsidP="00F95D5A">
      <w:pPr>
        <w:spacing w:line="480" w:lineRule="auto"/>
        <w:rPr>
          <w:rFonts w:ascii="Times New Roman" w:hAnsi="Times New Roman" w:cs="Times New Roman"/>
          <w:b/>
          <w:bCs/>
        </w:rPr>
      </w:pPr>
      <w:r>
        <w:rPr>
          <w:rFonts w:ascii="Times New Roman" w:hAnsi="Times New Roman" w:cs="Times New Roman"/>
          <w:b/>
          <w:bCs/>
        </w:rPr>
        <w:t xml:space="preserve">IAA </w:t>
      </w:r>
      <w:r w:rsidRPr="001E5137">
        <w:rPr>
          <w:rFonts w:ascii="Times New Roman" w:hAnsi="Times New Roman" w:cs="Times New Roman"/>
          <w:b/>
          <w:bCs/>
        </w:rPr>
        <w:t>References</w:t>
      </w:r>
    </w:p>
    <w:p w:rsidR="00F95D5A" w:rsidRPr="001E5137" w:rsidRDefault="00F95D5A" w:rsidP="00F95D5A">
      <w:pPr>
        <w:spacing w:line="480" w:lineRule="auto"/>
        <w:ind w:left="720" w:hanging="720"/>
        <w:rPr>
          <w:rFonts w:ascii="Times New Roman" w:hAnsi="Times New Roman" w:cs="Times New Roman"/>
        </w:rPr>
      </w:pPr>
      <w:r w:rsidRPr="001E5137">
        <w:rPr>
          <w:rFonts w:ascii="Times New Roman" w:hAnsi="Times New Roman" w:cs="Times New Roman"/>
          <w:lang w:val="fr-CA"/>
        </w:rPr>
        <w:lastRenderedPageBreak/>
        <w:t xml:space="preserve">Ferraiolo, D., &amp; Kuhn, D. R. (2009). </w:t>
      </w:r>
      <w:r w:rsidRPr="001E5137">
        <w:rPr>
          <w:rFonts w:ascii="Times New Roman" w:hAnsi="Times New Roman" w:cs="Times New Roman"/>
        </w:rPr>
        <w:t xml:space="preserve">Role-Based access controls. ResearchGate. </w:t>
      </w:r>
      <w:hyperlink r:id="rId14" w:history="1">
        <w:r w:rsidRPr="001E5137">
          <w:rPr>
            <w:rStyle w:val="Hyperlink"/>
            <w:rFonts w:ascii="Times New Roman" w:hAnsi="Times New Roman" w:cs="Times New Roman"/>
          </w:rPr>
          <w:t>https://www.researchgate.net/publication/24164143_Role-Based_Access_Controls</w:t>
        </w:r>
      </w:hyperlink>
    </w:p>
    <w:p w:rsidR="00F95D5A" w:rsidRPr="001E5137" w:rsidRDefault="00F95D5A" w:rsidP="00F95D5A">
      <w:pPr>
        <w:spacing w:line="480" w:lineRule="auto"/>
        <w:ind w:left="720" w:hanging="720"/>
        <w:rPr>
          <w:rFonts w:ascii="Times New Roman" w:hAnsi="Times New Roman" w:cs="Times New Roman"/>
        </w:rPr>
      </w:pPr>
      <w:r w:rsidRPr="001E5137">
        <w:rPr>
          <w:rFonts w:ascii="Times New Roman" w:hAnsi="Times New Roman" w:cs="Times New Roman"/>
        </w:rPr>
        <w:t xml:space="preserve">Groce, J., Yang, B. W., &amp;Smatlak, D. (2025). Regulatory Compliance details for CIS Microsoft Azure Foundations Benchmark 2.0.0 - Azure Policy. Microsoft Learn. </w:t>
      </w:r>
      <w:hyperlink r:id="rId15" w:history="1">
        <w:r w:rsidRPr="001E5137">
          <w:rPr>
            <w:rStyle w:val="Hyperlink"/>
            <w:rFonts w:ascii="Times New Roman" w:hAnsi="Times New Roman" w:cs="Times New Roman"/>
          </w:rPr>
          <w:t>https://learn.microsoft.com/en-us/azure/governance/policy/samples/cis-azure-2-0-0</w:t>
        </w:r>
      </w:hyperlink>
    </w:p>
    <w:p w:rsidR="00F95D5A" w:rsidRPr="001E5137" w:rsidRDefault="00F95D5A" w:rsidP="00F95D5A">
      <w:pPr>
        <w:spacing w:line="480" w:lineRule="auto"/>
        <w:ind w:left="720" w:hanging="720"/>
        <w:rPr>
          <w:rFonts w:ascii="Times New Roman" w:hAnsi="Times New Roman" w:cs="Times New Roman"/>
        </w:rPr>
      </w:pPr>
      <w:r w:rsidRPr="001E5137">
        <w:rPr>
          <w:rFonts w:ascii="Times New Roman" w:hAnsi="Times New Roman" w:cs="Times New Roman"/>
          <w:lang w:val="fr-CA"/>
        </w:rPr>
        <w:t xml:space="preserve">Kent, K., &amp;Souppaya, M. P. (2006). </w:t>
      </w:r>
      <w:r w:rsidRPr="001E5137">
        <w:rPr>
          <w:rFonts w:ascii="Times New Roman" w:hAnsi="Times New Roman" w:cs="Times New Roman"/>
        </w:rPr>
        <w:t xml:space="preserve">Guide to computer security log management (NIST SP 800-92). National Institute of Standards and Technology. </w:t>
      </w:r>
      <w:hyperlink r:id="rId16" w:history="1">
        <w:r w:rsidRPr="001E5137">
          <w:rPr>
            <w:rStyle w:val="Hyperlink"/>
            <w:rFonts w:ascii="Times New Roman" w:hAnsi="Times New Roman" w:cs="Times New Roman"/>
          </w:rPr>
          <w:t>https://doi.org/10.6028/nist.sp.800-92</w:t>
        </w:r>
      </w:hyperlink>
    </w:p>
    <w:p w:rsidR="00F95D5A" w:rsidRPr="001E5137" w:rsidRDefault="00F95D5A" w:rsidP="00F95D5A">
      <w:pPr>
        <w:spacing w:line="480" w:lineRule="auto"/>
        <w:ind w:left="720" w:hanging="720"/>
        <w:rPr>
          <w:rFonts w:ascii="Times New Roman" w:hAnsi="Times New Roman" w:cs="Times New Roman"/>
          <w:lang w:val="fr-CA"/>
        </w:rPr>
      </w:pPr>
      <w:r w:rsidRPr="001E5137">
        <w:rPr>
          <w:rFonts w:ascii="Times New Roman" w:hAnsi="Times New Roman" w:cs="Times New Roman"/>
        </w:rPr>
        <w:t xml:space="preserve">Khan, S. M. A. (2023). Microsoft Azure Active Directory. ResearchGate. </w:t>
      </w:r>
      <w:hyperlink r:id="rId17" w:history="1">
        <w:r w:rsidRPr="001E5137">
          <w:rPr>
            <w:rStyle w:val="Hyperlink"/>
            <w:rFonts w:ascii="Times New Roman" w:hAnsi="Times New Roman" w:cs="Times New Roman"/>
            <w:lang w:val="fr-CA"/>
          </w:rPr>
          <w:t>https://www.researchgate.net/publication/368661575_Microsoft_Azure_Active_Directory</w:t>
        </w:r>
      </w:hyperlink>
    </w:p>
    <w:p w:rsidR="00F95D5A" w:rsidRPr="001E5137" w:rsidRDefault="00F95D5A" w:rsidP="00F95D5A">
      <w:pPr>
        <w:spacing w:line="480" w:lineRule="auto"/>
        <w:ind w:left="720" w:hanging="720"/>
        <w:rPr>
          <w:rFonts w:ascii="Times New Roman" w:hAnsi="Times New Roman" w:cs="Times New Roman"/>
        </w:rPr>
      </w:pPr>
      <w:r w:rsidRPr="001E5137">
        <w:rPr>
          <w:rFonts w:ascii="Times New Roman" w:hAnsi="Times New Roman" w:cs="Times New Roman"/>
        </w:rPr>
        <w:t xml:space="preserve">National Institute of Standards and Technology. (2020). Digital identity guidelines (NIST SP 800-63-3). </w:t>
      </w:r>
      <w:hyperlink r:id="rId18" w:history="1">
        <w:r w:rsidRPr="001E5137">
          <w:rPr>
            <w:rStyle w:val="Hyperlink"/>
            <w:rFonts w:ascii="Times New Roman" w:hAnsi="Times New Roman" w:cs="Times New Roman"/>
          </w:rPr>
          <w:t>https://doi.org/10.6028/NIST.SP.800-63-3</w:t>
        </w:r>
      </w:hyperlink>
    </w:p>
    <w:p w:rsidR="00F95D5A" w:rsidRDefault="00F95D5A" w:rsidP="00F95D5A">
      <w:pPr>
        <w:rPr>
          <w:b/>
          <w:sz w:val="28"/>
          <w:szCs w:val="28"/>
        </w:rPr>
      </w:pPr>
    </w:p>
    <w:p w:rsidR="004B4A4E" w:rsidRDefault="004B4A4E" w:rsidP="00F95D5A">
      <w:pPr>
        <w:rPr>
          <w:b/>
        </w:rPr>
      </w:pPr>
      <w:r w:rsidRPr="004B4A4E">
        <w:rPr>
          <w:b/>
        </w:rPr>
        <w:t>Financials References</w:t>
      </w:r>
    </w:p>
    <w:p w:rsidR="00E05D86" w:rsidRDefault="00E05D86" w:rsidP="00E05D86">
      <w:pPr>
        <w:pStyle w:val="NormalWeb"/>
        <w:spacing w:before="0" w:beforeAutospacing="0" w:after="0" w:afterAutospacing="0" w:line="480" w:lineRule="auto"/>
        <w:ind w:left="720" w:hanging="720"/>
      </w:pPr>
      <w:r>
        <w:t xml:space="preserve">Baren, E. (2023, May 16). </w:t>
      </w:r>
      <w:r>
        <w:rPr>
          <w:i/>
          <w:iCs/>
        </w:rPr>
        <w:t>How Much Does Penetration Testing Cost In 2024?</w:t>
      </w:r>
      <w:r>
        <w:t xml:space="preserve"> Blaze Information Security. </w:t>
      </w:r>
      <w:hyperlink r:id="rId19" w:history="1">
        <w:r w:rsidRPr="007972B6">
          <w:rPr>
            <w:rStyle w:val="Hyperlink"/>
          </w:rPr>
          <w:t>https://www.blazeinfosec.com/post/how-much-does-penetration-testing-cost/</w:t>
        </w:r>
      </w:hyperlink>
    </w:p>
    <w:p w:rsidR="00E05D86" w:rsidRDefault="00E05D86" w:rsidP="00E05D86">
      <w:pPr>
        <w:pStyle w:val="NormalWeb"/>
        <w:spacing w:before="0" w:beforeAutospacing="0" w:after="0" w:afterAutospacing="0" w:line="480" w:lineRule="auto"/>
        <w:ind w:left="720" w:hanging="720"/>
      </w:pPr>
      <w:r>
        <w:t xml:space="preserve">Dojo Business Blog. (2024, November 2). </w:t>
      </w:r>
      <w:r>
        <w:rPr>
          <w:i/>
          <w:iCs/>
        </w:rPr>
        <w:t>How to estimate budget for security features in a mobile app?</w:t>
      </w:r>
      <w:r>
        <w:t xml:space="preserve"> DojoBusiness. </w:t>
      </w:r>
      <w:hyperlink r:id="rId20" w:history="1">
        <w:r w:rsidRPr="007972B6">
          <w:rPr>
            <w:rStyle w:val="Hyperlink"/>
          </w:rPr>
          <w:t>https://dojobusiness.com/blogs/news/mobile-app-security-budget-estimation</w:t>
        </w:r>
      </w:hyperlink>
    </w:p>
    <w:p w:rsidR="00E05D86" w:rsidRDefault="00E05D86" w:rsidP="00E05D86">
      <w:pPr>
        <w:pStyle w:val="NormalWeb"/>
        <w:spacing w:before="0" w:beforeAutospacing="0" w:after="0" w:afterAutospacing="0" w:line="480" w:lineRule="auto"/>
        <w:ind w:left="720" w:hanging="720"/>
      </w:pPr>
      <w:r>
        <w:lastRenderedPageBreak/>
        <w:t xml:space="preserve">EAC.GOV. (n.d.). </w:t>
      </w:r>
      <w:r>
        <w:rPr>
          <w:i/>
          <w:iCs/>
        </w:rPr>
        <w:t>Poll Workers and Polling Places</w:t>
      </w:r>
      <w:r>
        <w:t xml:space="preserve">. </w:t>
      </w:r>
      <w:hyperlink r:id="rId21" w:history="1">
        <w:r w:rsidRPr="007972B6">
          <w:rPr>
            <w:rStyle w:val="Hyperlink"/>
          </w:rPr>
          <w:t>https://www.eac.gov/sites/default/files/document_library/files/EAVSDeepDive_pollworkers_pollingplaces_nov17.pdf</w:t>
        </w:r>
      </w:hyperlink>
    </w:p>
    <w:p w:rsidR="00E05D86" w:rsidRDefault="00E05D86" w:rsidP="00E05D86">
      <w:pPr>
        <w:pStyle w:val="NormalWeb"/>
        <w:spacing w:before="0" w:beforeAutospacing="0" w:after="0" w:afterAutospacing="0" w:line="480" w:lineRule="auto"/>
        <w:ind w:left="720" w:hanging="720"/>
      </w:pPr>
      <w:r>
        <w:t xml:space="preserve">Fleet, S. (2024, December 7). </w:t>
      </w:r>
      <w:r>
        <w:rPr>
          <w:i/>
          <w:iCs/>
        </w:rPr>
        <w:t>The Hidden Fleet Management Costs</w:t>
      </w:r>
      <w:r>
        <w:t xml:space="preserve">. Simplyfleet.app; Simply Fleet. </w:t>
      </w:r>
      <w:hyperlink r:id="rId22" w:history="1">
        <w:r w:rsidRPr="007972B6">
          <w:rPr>
            <w:rStyle w:val="Hyperlink"/>
          </w:rPr>
          <w:t>https://www.simplyfleet.app/blog/hidden-fleet-management-costs</w:t>
        </w:r>
      </w:hyperlink>
    </w:p>
    <w:p w:rsidR="00E05D86" w:rsidRDefault="00E05D86" w:rsidP="00E05D86">
      <w:pPr>
        <w:pStyle w:val="NormalWeb"/>
        <w:spacing w:before="0" w:beforeAutospacing="0" w:after="0" w:afterAutospacing="0" w:line="480" w:lineRule="auto"/>
        <w:ind w:left="720" w:hanging="720"/>
      </w:pPr>
      <w:r>
        <w:t xml:space="preserve">Huss, C. (2021, March 4). </w:t>
      </w:r>
      <w:r>
        <w:rPr>
          <w:i/>
          <w:iCs/>
        </w:rPr>
        <w:t>Cost Breakdown of Cloud and On-Premise Software</w:t>
      </w:r>
      <w:r>
        <w:t xml:space="preserve">. Centerbase. </w:t>
      </w:r>
      <w:hyperlink r:id="rId23" w:history="1">
        <w:r w:rsidRPr="007972B6">
          <w:rPr>
            <w:rStyle w:val="Hyperlink"/>
          </w:rPr>
          <w:t>https://centerbase.com/blog/cost-breakdown-of-cloud-and-on-premise-software/</w:t>
        </w:r>
      </w:hyperlink>
    </w:p>
    <w:p w:rsidR="00E05D86" w:rsidRDefault="00E05D86" w:rsidP="00E05D86">
      <w:pPr>
        <w:pStyle w:val="NormalWeb"/>
        <w:spacing w:before="0" w:beforeAutospacing="0" w:after="0" w:afterAutospacing="0" w:line="480" w:lineRule="auto"/>
        <w:ind w:left="720" w:hanging="720"/>
      </w:pPr>
      <w:r>
        <w:t xml:space="preserve">KFF.org. (2023, May 24). </w:t>
      </w:r>
      <w:r>
        <w:rPr>
          <w:i/>
          <w:iCs/>
        </w:rPr>
        <w:t>Number of Voters and Voter Registration as a Share of the Voter Population | KFF</w:t>
      </w:r>
      <w:r>
        <w:t xml:space="preserve">. KFF. </w:t>
      </w:r>
      <w:hyperlink r:id="rId24" w:history="1">
        <w:r w:rsidRPr="007972B6">
          <w:rPr>
            <w:rStyle w:val="Hyperlink"/>
          </w:rPr>
          <w:t>https://www.kff.org/other/state-indicator/number-of-voters-and-voter-registration-in-thousands-as-a-share-of-the-voter-population/</w:t>
        </w:r>
      </w:hyperlink>
    </w:p>
    <w:p w:rsidR="009E7827" w:rsidRDefault="009E7827" w:rsidP="009E7827">
      <w:pPr>
        <w:pStyle w:val="NormalWeb"/>
        <w:spacing w:before="0" w:beforeAutospacing="0" w:after="0" w:afterAutospacing="0" w:line="480" w:lineRule="auto"/>
        <w:ind w:left="720" w:hanging="720"/>
      </w:pPr>
      <w:r>
        <w:t xml:space="preserve">Microsoft Azure. (2023). </w:t>
      </w:r>
      <w:r>
        <w:rPr>
          <w:i/>
          <w:iCs/>
        </w:rPr>
        <w:t>Pricing Calculator | Microsoft Azure</w:t>
      </w:r>
      <w:r>
        <w:t xml:space="preserve">. Microsoft.com; Microsoft Azure. </w:t>
      </w:r>
      <w:hyperlink r:id="rId25" w:history="1">
        <w:r w:rsidRPr="00BA72DE">
          <w:rPr>
            <w:rStyle w:val="Hyperlink"/>
          </w:rPr>
          <w:t>https://azure.microsoft.com/en-us/pricing/calculator/</w:t>
        </w:r>
      </w:hyperlink>
    </w:p>
    <w:p w:rsidR="00E05D86" w:rsidRDefault="00E05D86" w:rsidP="00E05D86">
      <w:pPr>
        <w:pStyle w:val="NormalWeb"/>
        <w:spacing w:before="0" w:beforeAutospacing="0" w:after="0" w:afterAutospacing="0" w:line="480" w:lineRule="auto"/>
        <w:ind w:left="720" w:hanging="720"/>
      </w:pPr>
      <w:r>
        <w:t xml:space="preserve">MOR Software. (2024, December 16). </w:t>
      </w:r>
      <w:r>
        <w:rPr>
          <w:i/>
          <w:iCs/>
        </w:rPr>
        <w:t>MOR SOFTWARE JOINT STOCK COMPANY</w:t>
      </w:r>
      <w:r>
        <w:t xml:space="preserve">. Morsoftware.com. </w:t>
      </w:r>
      <w:hyperlink r:id="rId26" w:history="1">
        <w:r w:rsidRPr="007972B6">
          <w:rPr>
            <w:rStyle w:val="Hyperlink"/>
          </w:rPr>
          <w:t>https://morsoftware.com/blog/software-testing-costs</w:t>
        </w:r>
      </w:hyperlink>
    </w:p>
    <w:p w:rsidR="00E05D86" w:rsidRDefault="00E05D86" w:rsidP="00E05D86">
      <w:pPr>
        <w:pStyle w:val="NormalWeb"/>
        <w:spacing w:before="0" w:beforeAutospacing="0" w:after="0" w:afterAutospacing="0" w:line="480" w:lineRule="auto"/>
        <w:ind w:left="720" w:hanging="720"/>
      </w:pPr>
      <w:r>
        <w:t xml:space="preserve">Reijenga, T. (2025, February 20). </w:t>
      </w:r>
      <w:r>
        <w:rPr>
          <w:i/>
          <w:iCs/>
        </w:rPr>
        <w:t>Understanding ADA Compliance Costs</w:t>
      </w:r>
      <w:r>
        <w:t xml:space="preserve">. The A11Y Collective. </w:t>
      </w:r>
      <w:hyperlink r:id="rId27" w:history="1">
        <w:r w:rsidRPr="007972B6">
          <w:rPr>
            <w:rStyle w:val="Hyperlink"/>
          </w:rPr>
          <w:t>https://www.a11y-collective.com/blog/cost-of-ada-compliance/</w:t>
        </w:r>
      </w:hyperlink>
    </w:p>
    <w:p w:rsidR="00E05D86" w:rsidRDefault="00E05D86" w:rsidP="00E05D86">
      <w:pPr>
        <w:pStyle w:val="NormalWeb"/>
        <w:spacing w:before="0" w:beforeAutospacing="0" w:after="0" w:afterAutospacing="0" w:line="480" w:lineRule="auto"/>
        <w:ind w:left="720" w:hanging="720"/>
      </w:pPr>
      <w:r>
        <w:t xml:space="preserve">Respondus. (n.d.). </w:t>
      </w:r>
      <w:r>
        <w:rPr>
          <w:i/>
          <w:iCs/>
        </w:rPr>
        <w:t>LockDown Browser - Pricing</w:t>
      </w:r>
      <w:r>
        <w:t xml:space="preserve">. Respondus. </w:t>
      </w:r>
      <w:hyperlink r:id="rId28" w:history="1">
        <w:r w:rsidRPr="007972B6">
          <w:rPr>
            <w:rStyle w:val="Hyperlink"/>
          </w:rPr>
          <w:t>https://web.respondus.com/he/lockdownbrowser/pricing/</w:t>
        </w:r>
      </w:hyperlink>
    </w:p>
    <w:p w:rsidR="00E05D86" w:rsidRDefault="00E05D86" w:rsidP="00E05D86">
      <w:pPr>
        <w:pStyle w:val="NormalWeb"/>
        <w:spacing w:before="0" w:beforeAutospacing="0" w:after="0" w:afterAutospacing="0" w:line="480" w:lineRule="auto"/>
        <w:ind w:left="720" w:hanging="720"/>
      </w:pPr>
      <w:r>
        <w:t xml:space="preserve">Secureframe. (n.d.). </w:t>
      </w:r>
      <w:r>
        <w:rPr>
          <w:i/>
          <w:iCs/>
        </w:rPr>
        <w:t>How Much Does a SOC 2 Audit Cost in 2022?</w:t>
      </w:r>
      <w:r>
        <w:t xml:space="preserve"> Secureframe. </w:t>
      </w:r>
      <w:hyperlink r:id="rId29" w:history="1">
        <w:r w:rsidRPr="007972B6">
          <w:rPr>
            <w:rStyle w:val="Hyperlink"/>
          </w:rPr>
          <w:t>https://secureframe.com/hub/soc-2/audit-cost</w:t>
        </w:r>
      </w:hyperlink>
    </w:p>
    <w:p w:rsidR="00E05D86" w:rsidRDefault="00E05D86" w:rsidP="00E05D86">
      <w:pPr>
        <w:pStyle w:val="NormalWeb"/>
        <w:spacing w:before="0" w:beforeAutospacing="0" w:after="0" w:afterAutospacing="0" w:line="480" w:lineRule="auto"/>
        <w:ind w:left="720" w:hanging="720"/>
      </w:pPr>
      <w:r>
        <w:t xml:space="preserve">Starlink. (2024). </w:t>
      </w:r>
      <w:r>
        <w:rPr>
          <w:i/>
          <w:iCs/>
        </w:rPr>
        <w:t>What is the “Roam” service plan? - Starlink Help Center</w:t>
      </w:r>
      <w:r>
        <w:t xml:space="preserve">. Starlink.com. </w:t>
      </w:r>
      <w:hyperlink r:id="rId30" w:history="1">
        <w:r w:rsidRPr="007972B6">
          <w:rPr>
            <w:rStyle w:val="Hyperlink"/>
          </w:rPr>
          <w:t>https://www.starlink.com/support/article/dd5b43b5-20e1-b29b-2d7d-a7ffd0541988</w:t>
        </w:r>
      </w:hyperlink>
    </w:p>
    <w:p w:rsidR="00E05D86" w:rsidRDefault="00E05D86" w:rsidP="00E05D86">
      <w:pPr>
        <w:pStyle w:val="NormalWeb"/>
        <w:spacing w:before="0" w:beforeAutospacing="0" w:after="0" w:afterAutospacing="0" w:line="480" w:lineRule="auto"/>
        <w:ind w:left="720" w:hanging="720"/>
      </w:pPr>
      <w:r>
        <w:lastRenderedPageBreak/>
        <w:t xml:space="preserve">Stewart III, C. (n.d.). </w:t>
      </w:r>
      <w:r>
        <w:rPr>
          <w:i/>
          <w:iCs/>
        </w:rPr>
        <w:t>THE COST OF CONDUCTING ELECTIONS CHARLES STEWART III</w:t>
      </w:r>
      <w:r>
        <w:t xml:space="preserve">. </w:t>
      </w:r>
      <w:hyperlink r:id="rId31" w:history="1">
        <w:r w:rsidRPr="007972B6">
          <w:rPr>
            <w:rStyle w:val="Hyperlink"/>
          </w:rPr>
          <w:t>https://electionlab.mit.edu/sites/default/files/2022-05/TheCostofConductingElections-2022.pdf</w:t>
        </w:r>
      </w:hyperlink>
    </w:p>
    <w:p w:rsidR="00E05D86" w:rsidRDefault="00E05D86" w:rsidP="00E05D86">
      <w:pPr>
        <w:pStyle w:val="NormalWeb"/>
        <w:spacing w:before="0" w:beforeAutospacing="0" w:after="0" w:afterAutospacing="0" w:line="480" w:lineRule="auto"/>
        <w:ind w:left="720" w:hanging="720"/>
      </w:pPr>
      <w:r>
        <w:t xml:space="preserve">THE PEW CENTER ON THE STATES. (2010, March). </w:t>
      </w:r>
      <w:r>
        <w:rPr>
          <w:i/>
          <w:iCs/>
        </w:rPr>
        <w:t>The Real Cost of Voter Registration: An Oregon Case Study</w:t>
      </w:r>
      <w:r>
        <w:t xml:space="preserve">. PEWTRUSTS.ORG. </w:t>
      </w:r>
      <w:hyperlink r:id="rId32" w:history="1">
        <w:r w:rsidRPr="007972B6">
          <w:rPr>
            <w:rStyle w:val="Hyperlink"/>
          </w:rPr>
          <w:t>https://www.pewtrusts.org/~/media/legacy/uploadedfiles/pcs_assets/2013/the-real-cost-of-voter-registration-pdf.pdf</w:t>
        </w:r>
      </w:hyperlink>
    </w:p>
    <w:p w:rsidR="00E05D86" w:rsidRDefault="00E05D86" w:rsidP="00E05D86">
      <w:pPr>
        <w:pStyle w:val="NormalWeb"/>
        <w:spacing w:before="0" w:beforeAutospacing="0" w:after="0" w:afterAutospacing="0" w:line="480" w:lineRule="auto"/>
        <w:ind w:left="720" w:hanging="720"/>
      </w:pPr>
      <w:r>
        <w:t xml:space="preserve">U.S. Bureau of Labor Statistics. (2025). </w:t>
      </w:r>
      <w:r>
        <w:rPr>
          <w:i/>
          <w:iCs/>
        </w:rPr>
        <w:t>CPI Inflation Calculator</w:t>
      </w:r>
      <w:r>
        <w:t xml:space="preserve">. U.S. Bureau of Labor Statistics. </w:t>
      </w:r>
      <w:hyperlink r:id="rId33" w:history="1">
        <w:r w:rsidRPr="007972B6">
          <w:rPr>
            <w:rStyle w:val="Hyperlink"/>
          </w:rPr>
          <w:t>https://www.bls.gov/data/inflation_calculator.htm</w:t>
        </w:r>
      </w:hyperlink>
    </w:p>
    <w:p w:rsidR="00E05D86" w:rsidRDefault="00E05D86" w:rsidP="00E05D86">
      <w:pPr>
        <w:pStyle w:val="NormalWeb"/>
        <w:spacing w:before="0" w:beforeAutospacing="0" w:after="0" w:afterAutospacing="0" w:line="480" w:lineRule="auto"/>
        <w:ind w:left="720" w:hanging="720"/>
      </w:pPr>
      <w:r>
        <w:t xml:space="preserve">Yubico. (2024). </w:t>
      </w:r>
      <w:r>
        <w:rPr>
          <w:i/>
          <w:iCs/>
        </w:rPr>
        <w:t>YubiKey C Bio - FIDO Edition</w:t>
      </w:r>
      <w:r>
        <w:t xml:space="preserve">. Yubico.com. </w:t>
      </w:r>
      <w:hyperlink r:id="rId34" w:history="1">
        <w:r w:rsidRPr="007972B6">
          <w:rPr>
            <w:rStyle w:val="Hyperlink"/>
          </w:rPr>
          <w:t>https://www.yubico.com/product/yubikey-c-bio/</w:t>
        </w:r>
      </w:hyperlink>
    </w:p>
    <w:p w:rsidR="00E05D86" w:rsidRDefault="00E05D86" w:rsidP="00E05D86">
      <w:pPr>
        <w:pStyle w:val="NormalWeb"/>
        <w:spacing w:before="0" w:beforeAutospacing="0" w:after="0" w:afterAutospacing="0" w:line="480" w:lineRule="auto"/>
        <w:ind w:left="720" w:hanging="720"/>
      </w:pPr>
      <w:r>
        <w:t xml:space="preserve">Zoho. (2025). </w:t>
      </w:r>
      <w:r>
        <w:rPr>
          <w:i/>
          <w:iCs/>
        </w:rPr>
        <w:t>App development cost in 2025 | Decode - A publication by Zoho Creator- A publication by Zoho Creator</w:t>
      </w:r>
      <w:r>
        <w:t xml:space="preserve">. Zoho. </w:t>
      </w:r>
      <w:hyperlink r:id="rId35" w:history="1">
        <w:r w:rsidRPr="007972B6">
          <w:rPr>
            <w:rStyle w:val="Hyperlink"/>
          </w:rPr>
          <w:t>https://www.zoho.com/creator/application-development/the-cost-of-app-development-in-2025.html</w:t>
        </w:r>
      </w:hyperlink>
    </w:p>
    <w:p w:rsidR="00E05D86" w:rsidRDefault="00E05D86" w:rsidP="00E05D86">
      <w:pPr>
        <w:pStyle w:val="NormalWeb"/>
        <w:spacing w:before="0" w:beforeAutospacing="0" w:after="0" w:afterAutospacing="0" w:line="480" w:lineRule="auto"/>
        <w:ind w:left="720" w:hanging="720"/>
      </w:pPr>
    </w:p>
    <w:p w:rsidR="004B4A4E" w:rsidRPr="004B4A4E" w:rsidRDefault="004B4A4E" w:rsidP="00F95D5A"/>
    <w:sectPr w:rsidR="004B4A4E" w:rsidRPr="004B4A4E" w:rsidSect="001E4529">
      <w:headerReference w:type="default" r:id="rId3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0AA7" w:rsidRDefault="006B0AA7" w:rsidP="00022B94">
      <w:pPr>
        <w:spacing w:after="0" w:line="240" w:lineRule="auto"/>
      </w:pPr>
      <w:r>
        <w:separator/>
      </w:r>
    </w:p>
  </w:endnote>
  <w:endnote w:type="continuationSeparator" w:id="1">
    <w:p w:rsidR="006B0AA7" w:rsidRDefault="006B0AA7" w:rsidP="00022B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0AA7" w:rsidRDefault="006B0AA7" w:rsidP="00022B94">
      <w:pPr>
        <w:spacing w:after="0" w:line="240" w:lineRule="auto"/>
      </w:pPr>
      <w:r>
        <w:separator/>
      </w:r>
    </w:p>
  </w:footnote>
  <w:footnote w:type="continuationSeparator" w:id="1">
    <w:p w:rsidR="006B0AA7" w:rsidRDefault="006B0AA7" w:rsidP="00022B9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906110"/>
      <w:docPartObj>
        <w:docPartGallery w:val="Page Numbers (Top of Page)"/>
        <w:docPartUnique/>
      </w:docPartObj>
    </w:sdtPr>
    <w:sdtContent>
      <w:p w:rsidR="00CA66B6" w:rsidRDefault="00EC1008">
        <w:pPr>
          <w:pStyle w:val="Header"/>
          <w:jc w:val="right"/>
        </w:pPr>
        <w:fldSimple w:instr=" PAGE   \* MERGEFORMAT ">
          <w:r w:rsidR="007D7991">
            <w:rPr>
              <w:noProof/>
            </w:rPr>
            <w:t>1</w:t>
          </w:r>
        </w:fldSimple>
      </w:p>
    </w:sdtContent>
  </w:sdt>
  <w:p w:rsidR="00CA66B6" w:rsidRDefault="00CA66B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D29DE"/>
    <w:multiLevelType w:val="hybridMultilevel"/>
    <w:tmpl w:val="D6B6C3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0B376A31"/>
    <w:multiLevelType w:val="hybridMultilevel"/>
    <w:tmpl w:val="652E09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179615E3"/>
    <w:multiLevelType w:val="multilevel"/>
    <w:tmpl w:val="95267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9B4F38"/>
    <w:multiLevelType w:val="hybridMultilevel"/>
    <w:tmpl w:val="CD724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2872A5"/>
    <w:multiLevelType w:val="hybridMultilevel"/>
    <w:tmpl w:val="DAC43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C61311"/>
    <w:multiLevelType w:val="hybridMultilevel"/>
    <w:tmpl w:val="EB888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FB168F"/>
    <w:multiLevelType w:val="multilevel"/>
    <w:tmpl w:val="3B9C23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830B13"/>
    <w:multiLevelType w:val="multilevel"/>
    <w:tmpl w:val="2926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B02715"/>
    <w:multiLevelType w:val="hybridMultilevel"/>
    <w:tmpl w:val="36A487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26832B52"/>
    <w:multiLevelType w:val="multilevel"/>
    <w:tmpl w:val="4C9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A54BC2"/>
    <w:multiLevelType w:val="multilevel"/>
    <w:tmpl w:val="2AAA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F3B2EB8"/>
    <w:multiLevelType w:val="hybridMultilevel"/>
    <w:tmpl w:val="187C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041DD9"/>
    <w:multiLevelType w:val="hybridMultilevel"/>
    <w:tmpl w:val="6A909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2C0BE6"/>
    <w:multiLevelType w:val="multilevel"/>
    <w:tmpl w:val="303C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8BF3CD1"/>
    <w:multiLevelType w:val="multilevel"/>
    <w:tmpl w:val="DAE62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F42DC4"/>
    <w:multiLevelType w:val="hybridMultilevel"/>
    <w:tmpl w:val="C3DA0E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3D971D77"/>
    <w:multiLevelType w:val="hybridMultilevel"/>
    <w:tmpl w:val="356AA9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43AB2E7C"/>
    <w:multiLevelType w:val="hybridMultilevel"/>
    <w:tmpl w:val="EBA23D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44DA2988"/>
    <w:multiLevelType w:val="hybridMultilevel"/>
    <w:tmpl w:val="F0B4CB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4ED04F79"/>
    <w:multiLevelType w:val="hybridMultilevel"/>
    <w:tmpl w:val="16006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0615D00"/>
    <w:multiLevelType w:val="hybridMultilevel"/>
    <w:tmpl w:val="2DD254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244549E"/>
    <w:multiLevelType w:val="multilevel"/>
    <w:tmpl w:val="FBC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550B28"/>
    <w:multiLevelType w:val="hybridMultilevel"/>
    <w:tmpl w:val="47ACF3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54A91C7A"/>
    <w:multiLevelType w:val="hybridMultilevel"/>
    <w:tmpl w:val="F2A8A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637222"/>
    <w:multiLevelType w:val="hybridMultilevel"/>
    <w:tmpl w:val="A8C0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9AC6365"/>
    <w:multiLevelType w:val="multilevel"/>
    <w:tmpl w:val="BE64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ED13049"/>
    <w:multiLevelType w:val="multilevel"/>
    <w:tmpl w:val="1D52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900E02"/>
    <w:multiLevelType w:val="hybridMultilevel"/>
    <w:tmpl w:val="2482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48468ED"/>
    <w:multiLevelType w:val="hybridMultilevel"/>
    <w:tmpl w:val="15FA9CF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nsid w:val="67811044"/>
    <w:multiLevelType w:val="hybridMultilevel"/>
    <w:tmpl w:val="6B34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7F510B"/>
    <w:multiLevelType w:val="multilevel"/>
    <w:tmpl w:val="C422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E9E772C"/>
    <w:multiLevelType w:val="hybridMultilevel"/>
    <w:tmpl w:val="520292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nsid w:val="71175BE1"/>
    <w:multiLevelType w:val="hybridMultilevel"/>
    <w:tmpl w:val="F2483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22F3D57"/>
    <w:multiLevelType w:val="hybridMultilevel"/>
    <w:tmpl w:val="EA5E9F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nsid w:val="738F08CD"/>
    <w:multiLevelType w:val="hybridMultilevel"/>
    <w:tmpl w:val="A4D4E6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nsid w:val="74734357"/>
    <w:multiLevelType w:val="hybridMultilevel"/>
    <w:tmpl w:val="02106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7FD6FC4"/>
    <w:multiLevelType w:val="multilevel"/>
    <w:tmpl w:val="258C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6"/>
  </w:num>
  <w:num w:numId="3">
    <w:abstractNumId w:val="6"/>
  </w:num>
  <w:num w:numId="4">
    <w:abstractNumId w:val="9"/>
  </w:num>
  <w:num w:numId="5">
    <w:abstractNumId w:val="30"/>
  </w:num>
  <w:num w:numId="6">
    <w:abstractNumId w:val="21"/>
  </w:num>
  <w:num w:numId="7">
    <w:abstractNumId w:val="24"/>
  </w:num>
  <w:num w:numId="8">
    <w:abstractNumId w:val="5"/>
  </w:num>
  <w:num w:numId="9">
    <w:abstractNumId w:val="31"/>
  </w:num>
  <w:num w:numId="10">
    <w:abstractNumId w:val="33"/>
  </w:num>
  <w:num w:numId="11">
    <w:abstractNumId w:val="1"/>
  </w:num>
  <w:num w:numId="12">
    <w:abstractNumId w:val="18"/>
  </w:num>
  <w:num w:numId="13">
    <w:abstractNumId w:val="11"/>
  </w:num>
  <w:num w:numId="14">
    <w:abstractNumId w:val="34"/>
  </w:num>
  <w:num w:numId="15">
    <w:abstractNumId w:val="0"/>
  </w:num>
  <w:num w:numId="16">
    <w:abstractNumId w:val="29"/>
  </w:num>
  <w:num w:numId="17">
    <w:abstractNumId w:val="20"/>
  </w:num>
  <w:num w:numId="18">
    <w:abstractNumId w:val="28"/>
  </w:num>
  <w:num w:numId="19">
    <w:abstractNumId w:val="22"/>
  </w:num>
  <w:num w:numId="20">
    <w:abstractNumId w:val="17"/>
  </w:num>
  <w:num w:numId="21">
    <w:abstractNumId w:val="8"/>
  </w:num>
  <w:num w:numId="22">
    <w:abstractNumId w:val="16"/>
  </w:num>
  <w:num w:numId="23">
    <w:abstractNumId w:val="15"/>
  </w:num>
  <w:num w:numId="24">
    <w:abstractNumId w:val="3"/>
  </w:num>
  <w:num w:numId="25">
    <w:abstractNumId w:val="19"/>
  </w:num>
  <w:num w:numId="26">
    <w:abstractNumId w:val="12"/>
  </w:num>
  <w:num w:numId="27">
    <w:abstractNumId w:val="13"/>
  </w:num>
  <w:num w:numId="28">
    <w:abstractNumId w:val="4"/>
  </w:num>
  <w:num w:numId="29">
    <w:abstractNumId w:val="7"/>
  </w:num>
  <w:num w:numId="30">
    <w:abstractNumId w:val="14"/>
  </w:num>
  <w:num w:numId="31">
    <w:abstractNumId w:val="2"/>
  </w:num>
  <w:num w:numId="32">
    <w:abstractNumId w:val="32"/>
  </w:num>
  <w:num w:numId="33">
    <w:abstractNumId w:val="35"/>
  </w:num>
  <w:num w:numId="34">
    <w:abstractNumId w:val="23"/>
  </w:num>
  <w:num w:numId="35">
    <w:abstractNumId w:val="27"/>
  </w:num>
  <w:num w:numId="36">
    <w:abstractNumId w:val="36"/>
  </w:num>
  <w:num w:numId="3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022B94"/>
    <w:rsid w:val="00011163"/>
    <w:rsid w:val="00022B94"/>
    <w:rsid w:val="000261E5"/>
    <w:rsid w:val="000332CF"/>
    <w:rsid w:val="000341BC"/>
    <w:rsid w:val="00081099"/>
    <w:rsid w:val="000A49C2"/>
    <w:rsid w:val="000A72BA"/>
    <w:rsid w:val="000B516B"/>
    <w:rsid w:val="000E2848"/>
    <w:rsid w:val="000F6138"/>
    <w:rsid w:val="000F66C1"/>
    <w:rsid w:val="00101FD4"/>
    <w:rsid w:val="00106289"/>
    <w:rsid w:val="001730B5"/>
    <w:rsid w:val="001821D0"/>
    <w:rsid w:val="001A76AB"/>
    <w:rsid w:val="001B0EFB"/>
    <w:rsid w:val="001E1FC8"/>
    <w:rsid w:val="001E4529"/>
    <w:rsid w:val="001E55D0"/>
    <w:rsid w:val="00226F78"/>
    <w:rsid w:val="00242F0E"/>
    <w:rsid w:val="002434EE"/>
    <w:rsid w:val="00276603"/>
    <w:rsid w:val="002A4F60"/>
    <w:rsid w:val="002A5257"/>
    <w:rsid w:val="002D56C8"/>
    <w:rsid w:val="0033223A"/>
    <w:rsid w:val="00345EEC"/>
    <w:rsid w:val="00345FCE"/>
    <w:rsid w:val="00364A2D"/>
    <w:rsid w:val="00372E04"/>
    <w:rsid w:val="00380009"/>
    <w:rsid w:val="00382243"/>
    <w:rsid w:val="003D1245"/>
    <w:rsid w:val="00414205"/>
    <w:rsid w:val="00415A6A"/>
    <w:rsid w:val="004579CD"/>
    <w:rsid w:val="004965E0"/>
    <w:rsid w:val="004B4A4E"/>
    <w:rsid w:val="004B6B09"/>
    <w:rsid w:val="004B74D3"/>
    <w:rsid w:val="004C35A1"/>
    <w:rsid w:val="004D3013"/>
    <w:rsid w:val="004E1FD6"/>
    <w:rsid w:val="004E2AEF"/>
    <w:rsid w:val="004E7C11"/>
    <w:rsid w:val="00530C02"/>
    <w:rsid w:val="00560AE3"/>
    <w:rsid w:val="00566DF8"/>
    <w:rsid w:val="00570A1E"/>
    <w:rsid w:val="00576869"/>
    <w:rsid w:val="0059037A"/>
    <w:rsid w:val="0059701C"/>
    <w:rsid w:val="005C0FB4"/>
    <w:rsid w:val="005C5326"/>
    <w:rsid w:val="005D6765"/>
    <w:rsid w:val="005E61C9"/>
    <w:rsid w:val="006039B8"/>
    <w:rsid w:val="00621B8C"/>
    <w:rsid w:val="0062753B"/>
    <w:rsid w:val="00634FF4"/>
    <w:rsid w:val="00642C3A"/>
    <w:rsid w:val="006464DD"/>
    <w:rsid w:val="00650562"/>
    <w:rsid w:val="006539BB"/>
    <w:rsid w:val="00663C9C"/>
    <w:rsid w:val="0067401F"/>
    <w:rsid w:val="00694C25"/>
    <w:rsid w:val="006B0AA7"/>
    <w:rsid w:val="006B2BA9"/>
    <w:rsid w:val="006B4183"/>
    <w:rsid w:val="006B7C5C"/>
    <w:rsid w:val="006C7EDB"/>
    <w:rsid w:val="006D0B4F"/>
    <w:rsid w:val="006D201A"/>
    <w:rsid w:val="006E3819"/>
    <w:rsid w:val="006F6483"/>
    <w:rsid w:val="00703C52"/>
    <w:rsid w:val="00707A72"/>
    <w:rsid w:val="007318D0"/>
    <w:rsid w:val="007324AE"/>
    <w:rsid w:val="00746E88"/>
    <w:rsid w:val="0075276B"/>
    <w:rsid w:val="00755E35"/>
    <w:rsid w:val="00762448"/>
    <w:rsid w:val="00763699"/>
    <w:rsid w:val="007752AD"/>
    <w:rsid w:val="007A08D5"/>
    <w:rsid w:val="007C440A"/>
    <w:rsid w:val="007C4796"/>
    <w:rsid w:val="007D7991"/>
    <w:rsid w:val="007F472F"/>
    <w:rsid w:val="007F5816"/>
    <w:rsid w:val="008817D5"/>
    <w:rsid w:val="008B61B9"/>
    <w:rsid w:val="008C06AB"/>
    <w:rsid w:val="008E0FDD"/>
    <w:rsid w:val="008E649D"/>
    <w:rsid w:val="00932A1A"/>
    <w:rsid w:val="0093760A"/>
    <w:rsid w:val="009802D5"/>
    <w:rsid w:val="009B4C89"/>
    <w:rsid w:val="009E7827"/>
    <w:rsid w:val="00A027CB"/>
    <w:rsid w:val="00A2124A"/>
    <w:rsid w:val="00A44801"/>
    <w:rsid w:val="00A450C6"/>
    <w:rsid w:val="00A47B93"/>
    <w:rsid w:val="00A574EB"/>
    <w:rsid w:val="00A62C0B"/>
    <w:rsid w:val="00A71D9B"/>
    <w:rsid w:val="00A860AD"/>
    <w:rsid w:val="00A87431"/>
    <w:rsid w:val="00AC4DB1"/>
    <w:rsid w:val="00AD0C69"/>
    <w:rsid w:val="00AD13A1"/>
    <w:rsid w:val="00AD4A72"/>
    <w:rsid w:val="00AE7D02"/>
    <w:rsid w:val="00B21251"/>
    <w:rsid w:val="00B25DD9"/>
    <w:rsid w:val="00B45FCB"/>
    <w:rsid w:val="00B57383"/>
    <w:rsid w:val="00B7723E"/>
    <w:rsid w:val="00C01271"/>
    <w:rsid w:val="00C127ED"/>
    <w:rsid w:val="00C238C8"/>
    <w:rsid w:val="00C34329"/>
    <w:rsid w:val="00C5430C"/>
    <w:rsid w:val="00C668F6"/>
    <w:rsid w:val="00C83B7E"/>
    <w:rsid w:val="00CA1D64"/>
    <w:rsid w:val="00CA66B6"/>
    <w:rsid w:val="00CC1476"/>
    <w:rsid w:val="00CC27AB"/>
    <w:rsid w:val="00CF4A43"/>
    <w:rsid w:val="00D07654"/>
    <w:rsid w:val="00D20129"/>
    <w:rsid w:val="00D52D1D"/>
    <w:rsid w:val="00D54462"/>
    <w:rsid w:val="00D63704"/>
    <w:rsid w:val="00D81C92"/>
    <w:rsid w:val="00DA2741"/>
    <w:rsid w:val="00DA291B"/>
    <w:rsid w:val="00DA4483"/>
    <w:rsid w:val="00DB1072"/>
    <w:rsid w:val="00DB5734"/>
    <w:rsid w:val="00E05D86"/>
    <w:rsid w:val="00E32959"/>
    <w:rsid w:val="00E4448A"/>
    <w:rsid w:val="00E917AF"/>
    <w:rsid w:val="00E976AD"/>
    <w:rsid w:val="00EA2C4C"/>
    <w:rsid w:val="00EA48F7"/>
    <w:rsid w:val="00EB1488"/>
    <w:rsid w:val="00EB27BF"/>
    <w:rsid w:val="00EC1008"/>
    <w:rsid w:val="00F37082"/>
    <w:rsid w:val="00F76217"/>
    <w:rsid w:val="00F76677"/>
    <w:rsid w:val="00F95576"/>
    <w:rsid w:val="00F95D5A"/>
    <w:rsid w:val="00FB6139"/>
    <w:rsid w:val="00FD5058"/>
    <w:rsid w:val="00FE15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30C"/>
  </w:style>
  <w:style w:type="paragraph" w:styleId="Heading2">
    <w:name w:val="heading 2"/>
    <w:basedOn w:val="Normal"/>
    <w:next w:val="Normal"/>
    <w:link w:val="Heading2Char"/>
    <w:uiPriority w:val="9"/>
    <w:semiHidden/>
    <w:unhideWhenUsed/>
    <w:qFormat/>
    <w:rsid w:val="0008109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766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2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B94"/>
  </w:style>
  <w:style w:type="paragraph" w:styleId="Footer">
    <w:name w:val="footer"/>
    <w:basedOn w:val="Normal"/>
    <w:link w:val="FooterChar"/>
    <w:uiPriority w:val="99"/>
    <w:semiHidden/>
    <w:unhideWhenUsed/>
    <w:rsid w:val="00022B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2B94"/>
  </w:style>
  <w:style w:type="paragraph" w:styleId="NormalWeb">
    <w:name w:val="Normal (Web)"/>
    <w:basedOn w:val="Normal"/>
    <w:uiPriority w:val="99"/>
    <w:semiHidden/>
    <w:unhideWhenUsed/>
    <w:rsid w:val="00642C3A"/>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C34329"/>
    <w:rPr>
      <w:b/>
      <w:bCs/>
    </w:rPr>
  </w:style>
  <w:style w:type="character" w:customStyle="1" w:styleId="Heading3Char">
    <w:name w:val="Heading 3 Char"/>
    <w:basedOn w:val="DefaultParagraphFont"/>
    <w:link w:val="Heading3"/>
    <w:uiPriority w:val="9"/>
    <w:rsid w:val="00276603"/>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081099"/>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08109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7F472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5D6765"/>
    <w:pPr>
      <w:ind w:left="720"/>
      <w:contextualSpacing/>
    </w:pPr>
  </w:style>
  <w:style w:type="paragraph" w:styleId="BalloonText">
    <w:name w:val="Balloon Text"/>
    <w:basedOn w:val="Normal"/>
    <w:link w:val="BalloonTextChar"/>
    <w:uiPriority w:val="99"/>
    <w:semiHidden/>
    <w:unhideWhenUsed/>
    <w:rsid w:val="001E55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55D0"/>
    <w:rPr>
      <w:rFonts w:ascii="Tahoma" w:hAnsi="Tahoma" w:cs="Tahoma"/>
      <w:sz w:val="16"/>
      <w:szCs w:val="16"/>
    </w:rPr>
  </w:style>
  <w:style w:type="character" w:styleId="Emphasis">
    <w:name w:val="Emphasis"/>
    <w:basedOn w:val="DefaultParagraphFont"/>
    <w:uiPriority w:val="20"/>
    <w:qFormat/>
    <w:rsid w:val="00F95D5A"/>
    <w:rPr>
      <w:i/>
      <w:iCs/>
    </w:rPr>
  </w:style>
  <w:style w:type="character" w:styleId="Hyperlink">
    <w:name w:val="Hyperlink"/>
    <w:basedOn w:val="DefaultParagraphFont"/>
    <w:uiPriority w:val="99"/>
    <w:unhideWhenUsed/>
    <w:rsid w:val="00F95D5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54550576">
      <w:bodyDiv w:val="1"/>
      <w:marLeft w:val="0"/>
      <w:marRight w:val="0"/>
      <w:marTop w:val="0"/>
      <w:marBottom w:val="0"/>
      <w:divBdr>
        <w:top w:val="none" w:sz="0" w:space="0" w:color="auto"/>
        <w:left w:val="none" w:sz="0" w:space="0" w:color="auto"/>
        <w:bottom w:val="none" w:sz="0" w:space="0" w:color="auto"/>
        <w:right w:val="none" w:sz="0" w:space="0" w:color="auto"/>
      </w:divBdr>
    </w:div>
    <w:div w:id="158276895">
      <w:bodyDiv w:val="1"/>
      <w:marLeft w:val="0"/>
      <w:marRight w:val="0"/>
      <w:marTop w:val="0"/>
      <w:marBottom w:val="0"/>
      <w:divBdr>
        <w:top w:val="none" w:sz="0" w:space="0" w:color="auto"/>
        <w:left w:val="none" w:sz="0" w:space="0" w:color="auto"/>
        <w:bottom w:val="none" w:sz="0" w:space="0" w:color="auto"/>
        <w:right w:val="none" w:sz="0" w:space="0" w:color="auto"/>
      </w:divBdr>
      <w:divsChild>
        <w:div w:id="852035461">
          <w:marLeft w:val="-720"/>
          <w:marRight w:val="0"/>
          <w:marTop w:val="0"/>
          <w:marBottom w:val="0"/>
          <w:divBdr>
            <w:top w:val="none" w:sz="0" w:space="0" w:color="auto"/>
            <w:left w:val="none" w:sz="0" w:space="0" w:color="auto"/>
            <w:bottom w:val="none" w:sz="0" w:space="0" w:color="auto"/>
            <w:right w:val="none" w:sz="0" w:space="0" w:color="auto"/>
          </w:divBdr>
        </w:div>
      </w:divsChild>
    </w:div>
    <w:div w:id="227156456">
      <w:bodyDiv w:val="1"/>
      <w:marLeft w:val="0"/>
      <w:marRight w:val="0"/>
      <w:marTop w:val="0"/>
      <w:marBottom w:val="0"/>
      <w:divBdr>
        <w:top w:val="none" w:sz="0" w:space="0" w:color="auto"/>
        <w:left w:val="none" w:sz="0" w:space="0" w:color="auto"/>
        <w:bottom w:val="none" w:sz="0" w:space="0" w:color="auto"/>
        <w:right w:val="none" w:sz="0" w:space="0" w:color="auto"/>
      </w:divBdr>
    </w:div>
    <w:div w:id="277685359">
      <w:bodyDiv w:val="1"/>
      <w:marLeft w:val="0"/>
      <w:marRight w:val="0"/>
      <w:marTop w:val="0"/>
      <w:marBottom w:val="0"/>
      <w:divBdr>
        <w:top w:val="none" w:sz="0" w:space="0" w:color="auto"/>
        <w:left w:val="none" w:sz="0" w:space="0" w:color="auto"/>
        <w:bottom w:val="none" w:sz="0" w:space="0" w:color="auto"/>
        <w:right w:val="none" w:sz="0" w:space="0" w:color="auto"/>
      </w:divBdr>
    </w:div>
    <w:div w:id="366412438">
      <w:bodyDiv w:val="1"/>
      <w:marLeft w:val="0"/>
      <w:marRight w:val="0"/>
      <w:marTop w:val="0"/>
      <w:marBottom w:val="0"/>
      <w:divBdr>
        <w:top w:val="none" w:sz="0" w:space="0" w:color="auto"/>
        <w:left w:val="none" w:sz="0" w:space="0" w:color="auto"/>
        <w:bottom w:val="none" w:sz="0" w:space="0" w:color="auto"/>
        <w:right w:val="none" w:sz="0" w:space="0" w:color="auto"/>
      </w:divBdr>
      <w:divsChild>
        <w:div w:id="741294906">
          <w:marLeft w:val="-720"/>
          <w:marRight w:val="0"/>
          <w:marTop w:val="0"/>
          <w:marBottom w:val="0"/>
          <w:divBdr>
            <w:top w:val="none" w:sz="0" w:space="0" w:color="auto"/>
            <w:left w:val="none" w:sz="0" w:space="0" w:color="auto"/>
            <w:bottom w:val="none" w:sz="0" w:space="0" w:color="auto"/>
            <w:right w:val="none" w:sz="0" w:space="0" w:color="auto"/>
          </w:divBdr>
        </w:div>
      </w:divsChild>
    </w:div>
    <w:div w:id="481309536">
      <w:bodyDiv w:val="1"/>
      <w:marLeft w:val="0"/>
      <w:marRight w:val="0"/>
      <w:marTop w:val="0"/>
      <w:marBottom w:val="0"/>
      <w:divBdr>
        <w:top w:val="none" w:sz="0" w:space="0" w:color="auto"/>
        <w:left w:val="none" w:sz="0" w:space="0" w:color="auto"/>
        <w:bottom w:val="none" w:sz="0" w:space="0" w:color="auto"/>
        <w:right w:val="none" w:sz="0" w:space="0" w:color="auto"/>
      </w:divBdr>
    </w:div>
    <w:div w:id="1041710806">
      <w:bodyDiv w:val="1"/>
      <w:marLeft w:val="0"/>
      <w:marRight w:val="0"/>
      <w:marTop w:val="0"/>
      <w:marBottom w:val="0"/>
      <w:divBdr>
        <w:top w:val="none" w:sz="0" w:space="0" w:color="auto"/>
        <w:left w:val="none" w:sz="0" w:space="0" w:color="auto"/>
        <w:bottom w:val="none" w:sz="0" w:space="0" w:color="auto"/>
        <w:right w:val="none" w:sz="0" w:space="0" w:color="auto"/>
      </w:divBdr>
    </w:div>
    <w:div w:id="1108162000">
      <w:bodyDiv w:val="1"/>
      <w:marLeft w:val="0"/>
      <w:marRight w:val="0"/>
      <w:marTop w:val="0"/>
      <w:marBottom w:val="0"/>
      <w:divBdr>
        <w:top w:val="none" w:sz="0" w:space="0" w:color="auto"/>
        <w:left w:val="none" w:sz="0" w:space="0" w:color="auto"/>
        <w:bottom w:val="none" w:sz="0" w:space="0" w:color="auto"/>
        <w:right w:val="none" w:sz="0" w:space="0" w:color="auto"/>
      </w:divBdr>
    </w:div>
    <w:div w:id="1219513448">
      <w:bodyDiv w:val="1"/>
      <w:marLeft w:val="0"/>
      <w:marRight w:val="0"/>
      <w:marTop w:val="0"/>
      <w:marBottom w:val="0"/>
      <w:divBdr>
        <w:top w:val="none" w:sz="0" w:space="0" w:color="auto"/>
        <w:left w:val="none" w:sz="0" w:space="0" w:color="auto"/>
        <w:bottom w:val="none" w:sz="0" w:space="0" w:color="auto"/>
        <w:right w:val="none" w:sz="0" w:space="0" w:color="auto"/>
      </w:divBdr>
    </w:div>
    <w:div w:id="1290818837">
      <w:bodyDiv w:val="1"/>
      <w:marLeft w:val="0"/>
      <w:marRight w:val="0"/>
      <w:marTop w:val="0"/>
      <w:marBottom w:val="0"/>
      <w:divBdr>
        <w:top w:val="none" w:sz="0" w:space="0" w:color="auto"/>
        <w:left w:val="none" w:sz="0" w:space="0" w:color="auto"/>
        <w:bottom w:val="none" w:sz="0" w:space="0" w:color="auto"/>
        <w:right w:val="none" w:sz="0" w:space="0" w:color="auto"/>
      </w:divBdr>
    </w:div>
    <w:div w:id="1559128070">
      <w:bodyDiv w:val="1"/>
      <w:marLeft w:val="0"/>
      <w:marRight w:val="0"/>
      <w:marTop w:val="0"/>
      <w:marBottom w:val="0"/>
      <w:divBdr>
        <w:top w:val="none" w:sz="0" w:space="0" w:color="auto"/>
        <w:left w:val="none" w:sz="0" w:space="0" w:color="auto"/>
        <w:bottom w:val="none" w:sz="0" w:space="0" w:color="auto"/>
        <w:right w:val="none" w:sz="0" w:space="0" w:color="auto"/>
      </w:divBdr>
    </w:div>
    <w:div w:id="1760642394">
      <w:bodyDiv w:val="1"/>
      <w:marLeft w:val="0"/>
      <w:marRight w:val="0"/>
      <w:marTop w:val="0"/>
      <w:marBottom w:val="0"/>
      <w:divBdr>
        <w:top w:val="none" w:sz="0" w:space="0" w:color="auto"/>
        <w:left w:val="none" w:sz="0" w:space="0" w:color="auto"/>
        <w:bottom w:val="none" w:sz="0" w:space="0" w:color="auto"/>
        <w:right w:val="none" w:sz="0" w:space="0" w:color="auto"/>
      </w:divBdr>
    </w:div>
    <w:div w:id="1769351841">
      <w:bodyDiv w:val="1"/>
      <w:marLeft w:val="0"/>
      <w:marRight w:val="0"/>
      <w:marTop w:val="0"/>
      <w:marBottom w:val="0"/>
      <w:divBdr>
        <w:top w:val="none" w:sz="0" w:space="0" w:color="auto"/>
        <w:left w:val="none" w:sz="0" w:space="0" w:color="auto"/>
        <w:bottom w:val="none" w:sz="0" w:space="0" w:color="auto"/>
        <w:right w:val="none" w:sz="0" w:space="0" w:color="auto"/>
      </w:divBdr>
    </w:div>
    <w:div w:id="1777021711">
      <w:bodyDiv w:val="1"/>
      <w:marLeft w:val="0"/>
      <w:marRight w:val="0"/>
      <w:marTop w:val="0"/>
      <w:marBottom w:val="0"/>
      <w:divBdr>
        <w:top w:val="none" w:sz="0" w:space="0" w:color="auto"/>
        <w:left w:val="none" w:sz="0" w:space="0" w:color="auto"/>
        <w:bottom w:val="none" w:sz="0" w:space="0" w:color="auto"/>
        <w:right w:val="none" w:sz="0" w:space="0" w:color="auto"/>
      </w:divBdr>
    </w:div>
    <w:div w:id="1811895754">
      <w:bodyDiv w:val="1"/>
      <w:marLeft w:val="0"/>
      <w:marRight w:val="0"/>
      <w:marTop w:val="0"/>
      <w:marBottom w:val="0"/>
      <w:divBdr>
        <w:top w:val="none" w:sz="0" w:space="0" w:color="auto"/>
        <w:left w:val="none" w:sz="0" w:space="0" w:color="auto"/>
        <w:bottom w:val="none" w:sz="0" w:space="0" w:color="auto"/>
        <w:right w:val="none" w:sz="0" w:space="0" w:color="auto"/>
      </w:divBdr>
    </w:div>
    <w:div w:id="1996493314">
      <w:bodyDiv w:val="1"/>
      <w:marLeft w:val="0"/>
      <w:marRight w:val="0"/>
      <w:marTop w:val="0"/>
      <w:marBottom w:val="0"/>
      <w:divBdr>
        <w:top w:val="none" w:sz="0" w:space="0" w:color="auto"/>
        <w:left w:val="none" w:sz="0" w:space="0" w:color="auto"/>
        <w:bottom w:val="none" w:sz="0" w:space="0" w:color="auto"/>
        <w:right w:val="none" w:sz="0" w:space="0" w:color="auto"/>
      </w:divBdr>
    </w:div>
    <w:div w:id="2122990356">
      <w:bodyDiv w:val="1"/>
      <w:marLeft w:val="0"/>
      <w:marRight w:val="0"/>
      <w:marTop w:val="0"/>
      <w:marBottom w:val="0"/>
      <w:divBdr>
        <w:top w:val="none" w:sz="0" w:space="0" w:color="auto"/>
        <w:left w:val="none" w:sz="0" w:space="0" w:color="auto"/>
        <w:bottom w:val="none" w:sz="0" w:space="0" w:color="auto"/>
        <w:right w:val="none" w:sz="0" w:space="0" w:color="auto"/>
      </w:divBdr>
      <w:divsChild>
        <w:div w:id="187153137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heatsheetseries.owasp.org/cheatsheets/Network_Segmentation_Cheat_Sheet.html" TargetMode="External"/><Relationship Id="rId18" Type="http://schemas.openxmlformats.org/officeDocument/2006/relationships/hyperlink" Target="https://doi.org/10.6028/NIST.SP.800-63-3" TargetMode="External"/><Relationship Id="rId26" Type="http://schemas.openxmlformats.org/officeDocument/2006/relationships/hyperlink" Target="https://morsoftware.com/blog/software-testing-costs" TargetMode="External"/><Relationship Id="rId3" Type="http://schemas.openxmlformats.org/officeDocument/2006/relationships/settings" Target="settings.xml"/><Relationship Id="rId21" Type="http://schemas.openxmlformats.org/officeDocument/2006/relationships/hyperlink" Target="https://www.eac.gov/sites/default/files/document_library/files/EAVSDeepDive_pollworkers_pollingplaces_nov17.pdf" TargetMode="External"/><Relationship Id="rId34" Type="http://schemas.openxmlformats.org/officeDocument/2006/relationships/hyperlink" Target="https://www.yubico.com/product/yubikey-c-bio/" TargetMode="External"/><Relationship Id="rId7" Type="http://schemas.openxmlformats.org/officeDocument/2006/relationships/image" Target="media/image1.png"/><Relationship Id="rId12" Type="http://schemas.openxmlformats.org/officeDocument/2006/relationships/hyperlink" Target="https://azure.microsoft.com/en-%09us/resources/cloud-computing-dictionary/what-is-azure" TargetMode="External"/><Relationship Id="rId17" Type="http://schemas.openxmlformats.org/officeDocument/2006/relationships/hyperlink" Target="https://www.researchgate.net/publication/368661575_Microsoft_Azure_Active_Directory" TargetMode="External"/><Relationship Id="rId25" Type="http://schemas.openxmlformats.org/officeDocument/2006/relationships/hyperlink" Target="https://azure.microsoft.com/en-us/pricing/calculator/" TargetMode="External"/><Relationship Id="rId33" Type="http://schemas.openxmlformats.org/officeDocument/2006/relationships/hyperlink" Target="https://www.bls.gov/data/inflation_calculator.ht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6028/nist.sp.800-92" TargetMode="External"/><Relationship Id="rId20" Type="http://schemas.openxmlformats.org/officeDocument/2006/relationships/hyperlink" Target="https://dojobusiness.com/blogs/news/mobile-app-security-budget-estimation" TargetMode="External"/><Relationship Id="rId29" Type="http://schemas.openxmlformats.org/officeDocument/2006/relationships/hyperlink" Target="https://secureframe.com/hub/soc-2/audit-co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microsoft.com/en-us/windows/discover-windows-accessibility-features-%098b1068e6-d3b8-4ba8-b027-133dd8911df9" TargetMode="External"/><Relationship Id="rId24" Type="http://schemas.openxmlformats.org/officeDocument/2006/relationships/hyperlink" Target="https://www.kff.org/other/state-indicator/number-of-voters-and-voter-registration-in-thousands-as-a-share-of-the-voter-population/" TargetMode="External"/><Relationship Id="rId32" Type="http://schemas.openxmlformats.org/officeDocument/2006/relationships/hyperlink" Target="https://www.pewtrusts.org/~/media/legacy/uploadedfiles/pcs_assets/2013/the-real-cost-of-voter-registration-pdf.pdf"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learn.microsoft.com/en-us/azure/governance/policy/samples/cis-azure-2-0-0" TargetMode="External"/><Relationship Id="rId23" Type="http://schemas.openxmlformats.org/officeDocument/2006/relationships/hyperlink" Target="https://centerbase.com/blog/cost-breakdown-of-cloud-and-on-premise-software/" TargetMode="External"/><Relationship Id="rId28" Type="http://schemas.openxmlformats.org/officeDocument/2006/relationships/hyperlink" Target="https://web.respondus.com/he/lockdownbrowser/pricing/" TargetMode="External"/><Relationship Id="rId36" Type="http://schemas.openxmlformats.org/officeDocument/2006/relationships/header" Target="header1.xml"/><Relationship Id="rId10" Type="http://schemas.openxmlformats.org/officeDocument/2006/relationships/hyperlink" Target="https://www.fortinet.com/content/dam/fortinet/assets/solution-guides/sb-%09logical-segmentation-for-cloud-environments.pdf" TargetMode="External"/><Relationship Id="rId19" Type="http://schemas.openxmlformats.org/officeDocument/2006/relationships/hyperlink" Target="https://www.blazeinfosec.com/post/how-much-does-penetration-testing-cost/" TargetMode="External"/><Relationship Id="rId31" Type="http://schemas.openxmlformats.org/officeDocument/2006/relationships/hyperlink" Target="https://electionlab.mit.edu/sites/default/files/2022-05/TheCostofConductingElections-2022.pdf" TargetMode="External"/><Relationship Id="rId4" Type="http://schemas.openxmlformats.org/officeDocument/2006/relationships/webSettings" Target="webSettings.xml"/><Relationship Id="rId9" Type="http://schemas.openxmlformats.org/officeDocument/2006/relationships/hyperlink" Target="https://www.cisa.gov/sites/default/files/publications/layering-network-security-%09segmentation_infographic_508_0.pdf" TargetMode="External"/><Relationship Id="rId14" Type="http://schemas.openxmlformats.org/officeDocument/2006/relationships/hyperlink" Target="https://www.researchgate.net/publication/24164143_Role-Based_Access_Controls" TargetMode="External"/><Relationship Id="rId22" Type="http://schemas.openxmlformats.org/officeDocument/2006/relationships/hyperlink" Target="https://www.simplyfleet.app/blog/hidden-fleet-management-costs" TargetMode="External"/><Relationship Id="rId27" Type="http://schemas.openxmlformats.org/officeDocument/2006/relationships/hyperlink" Target="https://www.a11y-collective.com/blog/cost-of-ada-compliance/" TargetMode="External"/><Relationship Id="rId30" Type="http://schemas.openxmlformats.org/officeDocument/2006/relationships/hyperlink" Target="https://www.starlink.com/support/article/dd5b43b5-20e1-b29b-2d7d-a7ffd0541988" TargetMode="External"/><Relationship Id="rId35" Type="http://schemas.openxmlformats.org/officeDocument/2006/relationships/hyperlink" Target="https://www.zoho.com/creator/application-development/the-cost-of-app-development-in-202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31</Pages>
  <Words>6919</Words>
  <Characters>39443</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Khay Otix</dc:creator>
  <cp:lastModifiedBy>Khay Otix</cp:lastModifiedBy>
  <cp:revision>3</cp:revision>
  <dcterms:created xsi:type="dcterms:W3CDTF">2026-02-10T00:57:00Z</dcterms:created>
  <dcterms:modified xsi:type="dcterms:W3CDTF">2026-02-10T00:58:00Z</dcterms:modified>
</cp:coreProperties>
</file>