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p>
    <w:p>
      <w:pPr>
        <w:jc w:val="center"/>
      </w:pPr>
      <w:r>
        <w:rPr>
          <w:rFonts w:ascii="Calibri" w:hAnsi="Calibri"/>
          <w:b/>
          <w:color w:val="2E75B6"/>
          <w:sz w:val="24"/>
        </w:rPr>
        <w:t>DATA ANALYSIS INTERNSHIP PROJECT REPORT</w:t>
      </w:r>
    </w:p>
    <w:p>
      <w:pPr>
        <w:spacing w:before="240" w:after="240"/>
        <w:jc w:val="center"/>
      </w:pPr>
      <w:r>
        <w:rPr>
          <w:rFonts w:ascii="Calibri" w:hAnsi="Calibri"/>
          <w:b/>
          <w:color w:val="1F4E79"/>
          <w:sz w:val="56"/>
        </w:rPr>
        <w:t>Online Retail Sales &amp; Customer Analysis</w:t>
      </w:r>
    </w:p>
    <w:p>
      <w:pPr>
        <w:spacing w:before="80" w:after="720"/>
        <w:jc w:val="center"/>
      </w:pPr>
      <w:r>
        <w:rPr>
          <w:rFonts w:ascii="Calibri" w:hAnsi="Calibri"/>
          <w:i/>
          <w:color w:val="333333"/>
          <w:sz w:val="26"/>
        </w:rPr>
        <w:t>End-to-End Transactional Analytics, Temporal Segmentation, Product Intelligence, and Customer Lifetime Value Diagnostics on the UCI Online Retail Dataset</w:t>
      </w:r>
    </w:p>
    <w:tbl>
      <w:tblPr>
        <w:tblW w:type="auto" w:w="0"/>
        <w:jc w:val="center"/>
        <w:tblLook w:firstColumn="1" w:firstRow="1" w:lastColumn="0" w:lastRow="0" w:noHBand="0" w:noVBand="1" w:val="04A0"/>
      </w:tblPr>
      <w:tblGrid>
        <w:gridCol w:w="9360"/>
      </w:tblGrid>
      <w:tr>
        <w:tc>
          <w:tcPr>
            <w:tcW w:type="dxa" w:w="4320"/>
            <w:shd w:fill="1F4E79"/>
            <w:tcMar>
              <w:top w:w="15" w:type="dxa"/>
              <w:bottom w:w="15" w:type="dxa"/>
              <w:left w:w="0" w:type="dxa"/>
              <w:right w:w="0" w:type="dxa"/>
            </w:tcMar>
          </w:tcPr>
          <w:p>
            <w:pPr>
              <w:spacing w:before="0" w:after="0"/>
            </w:pPr>
          </w:p>
        </w:tc>
      </w:tr>
    </w:tbl>
    <w:p>
      <w:pPr>
        <w:spacing w:before="1440"/>
      </w:pPr>
    </w:p>
    <w:tbl>
      <w:tblPr>
        <w:tblW w:type="auto" w:w="0"/>
        <w:jc w:val="center"/>
        <w:tblLook w:firstColumn="1" w:firstRow="1" w:lastColumn="0" w:lastRow="0" w:noHBand="0" w:noVBand="1" w:val="04A0"/>
      </w:tblPr>
      <w:tblGrid>
        <w:gridCol w:w="4680"/>
        <w:gridCol w:w="4680"/>
      </w:tblGrid>
      <w:tr>
        <w:tc>
          <w:tcPr>
            <w:tcW w:type="dxa" w:w="3168"/>
            <w:tcMar>
              <w:top w:w="40" w:type="dxa"/>
              <w:bottom w:w="40" w:type="dxa"/>
              <w:left w:w="60" w:type="dxa"/>
              <w:right w:w="60" w:type="dxa"/>
            </w:tcMar>
          </w:tcPr>
          <w:p>
            <w:pPr>
              <w:jc w:val="right"/>
            </w:pPr>
            <w:r>
              <w:rPr>
                <w:rFonts w:ascii="Calibri" w:hAnsi="Calibri"/>
                <w:b/>
                <w:color w:val="1F4E79"/>
                <w:sz w:val="22"/>
              </w:rPr>
              <w:t>Candidate Name:</w:t>
            </w:r>
          </w:p>
        </w:tc>
        <w:tc>
          <w:tcPr>
            <w:tcW w:type="dxa" w:w="6192"/>
            <w:tcMar>
              <w:top w:w="40" w:type="dxa"/>
              <w:bottom w:w="40" w:type="dxa"/>
              <w:left w:w="60" w:type="dxa"/>
              <w:right w:w="60" w:type="dxa"/>
            </w:tcMar>
          </w:tcPr>
          <w:p>
            <w:pPr>
              <w:jc w:val="left"/>
            </w:pPr>
            <w:r>
              <w:rPr>
                <w:rFonts w:ascii="Calibri" w:hAnsi="Calibri"/>
                <w:color w:val="333333"/>
                <w:sz w:val="22"/>
              </w:rPr>
              <w:t>Sneha Vinod Potanavar</w:t>
            </w:r>
          </w:p>
        </w:tc>
      </w:tr>
      <w:tr>
        <w:tc>
          <w:tcPr>
            <w:tcW w:type="dxa" w:w="3168"/>
            <w:tcMar>
              <w:top w:w="40" w:type="dxa"/>
              <w:bottom w:w="40" w:type="dxa"/>
              <w:left w:w="60" w:type="dxa"/>
              <w:right w:w="60" w:type="dxa"/>
            </w:tcMar>
          </w:tcPr>
          <w:p>
            <w:pPr>
              <w:jc w:val="right"/>
            </w:pPr>
            <w:r>
              <w:rPr>
                <w:rFonts w:ascii="Calibri" w:hAnsi="Calibri"/>
                <w:b/>
                <w:color w:val="1F4E79"/>
                <w:sz w:val="22"/>
              </w:rPr>
              <w:t>Project Title:</w:t>
            </w:r>
          </w:p>
        </w:tc>
        <w:tc>
          <w:tcPr>
            <w:tcW w:type="dxa" w:w="6192"/>
            <w:tcMar>
              <w:top w:w="40" w:type="dxa"/>
              <w:bottom w:w="40" w:type="dxa"/>
              <w:left w:w="60" w:type="dxa"/>
              <w:right w:w="60" w:type="dxa"/>
            </w:tcMar>
          </w:tcPr>
          <w:p>
            <w:pPr>
              <w:jc w:val="left"/>
            </w:pPr>
            <w:r>
              <w:rPr>
                <w:rFonts w:ascii="Calibri" w:hAnsi="Calibri"/>
                <w:color w:val="333333"/>
                <w:sz w:val="22"/>
              </w:rPr>
              <w:t>Online Retail Sales &amp; Customer Analysis</w:t>
            </w:r>
          </w:p>
        </w:tc>
      </w:tr>
      <w:tr>
        <w:tc>
          <w:tcPr>
            <w:tcW w:type="dxa" w:w="3168"/>
            <w:tcMar>
              <w:top w:w="40" w:type="dxa"/>
              <w:bottom w:w="40" w:type="dxa"/>
              <w:left w:w="60" w:type="dxa"/>
              <w:right w:w="60" w:type="dxa"/>
            </w:tcMar>
          </w:tcPr>
          <w:p>
            <w:pPr>
              <w:jc w:val="right"/>
            </w:pPr>
            <w:r>
              <w:rPr>
                <w:rFonts w:ascii="Calibri" w:hAnsi="Calibri"/>
                <w:b/>
                <w:color w:val="1F4E79"/>
                <w:sz w:val="22"/>
              </w:rPr>
              <w:t>Internship Track:</w:t>
            </w:r>
          </w:p>
        </w:tc>
        <w:tc>
          <w:tcPr>
            <w:tcW w:type="dxa" w:w="6192"/>
            <w:tcMar>
              <w:top w:w="40" w:type="dxa"/>
              <w:bottom w:w="40" w:type="dxa"/>
              <w:left w:w="60" w:type="dxa"/>
              <w:right w:w="60" w:type="dxa"/>
            </w:tcMar>
          </w:tcPr>
          <w:p>
            <w:pPr>
              <w:jc w:val="left"/>
            </w:pPr>
            <w:r>
              <w:rPr>
                <w:rFonts w:ascii="Calibri" w:hAnsi="Calibri"/>
                <w:color w:val="333333"/>
                <w:sz w:val="22"/>
              </w:rPr>
              <w:t>Data Analysis &amp; Business Intelligence</w:t>
            </w:r>
          </w:p>
        </w:tc>
      </w:tr>
      <w:tr>
        <w:tc>
          <w:tcPr>
            <w:tcW w:type="dxa" w:w="3168"/>
            <w:tcMar>
              <w:top w:w="40" w:type="dxa"/>
              <w:bottom w:w="40" w:type="dxa"/>
              <w:left w:w="60" w:type="dxa"/>
              <w:right w:w="60" w:type="dxa"/>
            </w:tcMar>
          </w:tcPr>
          <w:p>
            <w:pPr>
              <w:jc w:val="right"/>
            </w:pPr>
            <w:r>
              <w:rPr>
                <w:rFonts w:ascii="Calibri" w:hAnsi="Calibri"/>
                <w:b/>
                <w:color w:val="1F4E79"/>
                <w:sz w:val="22"/>
              </w:rPr>
              <w:t>Primary Dataset:</w:t>
            </w:r>
          </w:p>
        </w:tc>
        <w:tc>
          <w:tcPr>
            <w:tcW w:type="dxa" w:w="6192"/>
            <w:tcMar>
              <w:top w:w="40" w:type="dxa"/>
              <w:bottom w:w="40" w:type="dxa"/>
              <w:left w:w="60" w:type="dxa"/>
              <w:right w:w="60" w:type="dxa"/>
            </w:tcMar>
          </w:tcPr>
          <w:p>
            <w:pPr>
              <w:jc w:val="left"/>
            </w:pPr>
            <w:r>
              <w:rPr>
                <w:rFonts w:ascii="Calibri" w:hAnsi="Calibri"/>
                <w:color w:val="333333"/>
                <w:sz w:val="22"/>
              </w:rPr>
              <w:t>UCI Machine Learning Repository — Online Retail Dataset (541,909 records)</w:t>
            </w:r>
          </w:p>
        </w:tc>
      </w:tr>
      <w:tr>
        <w:tc>
          <w:tcPr>
            <w:tcW w:type="dxa" w:w="3168"/>
            <w:tcMar>
              <w:top w:w="40" w:type="dxa"/>
              <w:bottom w:w="40" w:type="dxa"/>
              <w:left w:w="60" w:type="dxa"/>
              <w:right w:w="60" w:type="dxa"/>
            </w:tcMar>
          </w:tcPr>
          <w:p>
            <w:pPr>
              <w:jc w:val="right"/>
            </w:pPr>
            <w:r>
              <w:rPr>
                <w:rFonts w:ascii="Calibri" w:hAnsi="Calibri"/>
                <w:b/>
                <w:color w:val="1F4E79"/>
                <w:sz w:val="22"/>
              </w:rPr>
              <w:t>Submission Date:</w:t>
            </w:r>
          </w:p>
        </w:tc>
        <w:tc>
          <w:tcPr>
            <w:tcW w:type="dxa" w:w="6192"/>
            <w:tcMar>
              <w:top w:w="40" w:type="dxa"/>
              <w:bottom w:w="40" w:type="dxa"/>
              <w:left w:w="60" w:type="dxa"/>
              <w:right w:w="60" w:type="dxa"/>
            </w:tcMar>
          </w:tcPr>
          <w:p>
            <w:pPr>
              <w:jc w:val="left"/>
            </w:pPr>
            <w:r>
              <w:rPr>
                <w:rFonts w:ascii="Calibri" w:hAnsi="Calibri"/>
                <w:color w:val="333333"/>
                <w:sz w:val="22"/>
              </w:rPr>
              <w:t>September 2026</w:t>
            </w:r>
          </w:p>
        </w:tc>
      </w:tr>
    </w:tbl>
    <w:p>
      <w:r>
        <w:br w:type="page"/>
      </w:r>
    </w:p>
    <w:p>
      <w:pPr>
        <w:keepNext/>
        <w:spacing w:before="280" w:after="120"/>
        <w:jc w:val="left"/>
      </w:pPr>
      <w:r>
        <w:rPr>
          <w:rFonts w:ascii="Calibri" w:hAnsi="Calibri"/>
          <w:b/>
          <w:color w:val="1F4E79"/>
          <w:sz w:val="36"/>
        </w:rPr>
        <w:t>Candidate Declaration &amp; Authenticity Statement</w:t>
      </w:r>
    </w:p>
    <w:p>
      <w:pPr>
        <w:spacing w:before="0" w:after="100" w:line="276" w:lineRule="auto"/>
      </w:pPr>
      <w:r>
        <w:rPr>
          <w:rFonts w:ascii="Calibri" w:hAnsi="Calibri"/>
          <w:color w:val="333333"/>
          <w:sz w:val="22"/>
        </w:rPr>
        <w:t>I, Sneha Vinod Potanavar, hereby declare that this project report entitled 'Online Retail Sales &amp; Customer Analysis' represents my original and authentic analytical work completed as part of the Data Analysis Internship. All exploratory data analyses, data cleaning procedures, statistical summaries, feature engineering steps, visualization scripts, and business recommendations presented herein were executed and derived directly from the genuine transactional records of the UCI Online Retail Dataset.</w:t>
      </w:r>
    </w:p>
    <w:p>
      <w:pPr>
        <w:spacing w:before="0" w:after="100" w:line="276" w:lineRule="auto"/>
      </w:pPr>
      <w:r>
        <w:rPr>
          <w:rFonts w:ascii="Calibri" w:hAnsi="Calibri"/>
          <w:color w:val="333333"/>
          <w:sz w:val="22"/>
        </w:rPr>
        <w:t>I confirm that no synthetic data generation, metric fabrication, or hypothetical statistics have been employed in this submission. All numerical values, tables, and visualization figures exactly correspond to the outputs produced by the associated Jupyter Notebook ('SnehaVinodPotanavar_OnlineRetailSalesAnalysis.ipynb').</w:t>
      </w:r>
    </w:p>
    <w:p>
      <w:pPr>
        <w:spacing w:before="720" w:after="40"/>
      </w:pPr>
      <w:r>
        <w:rPr>
          <w:color w:val="646464"/>
        </w:rPr>
        <w:t>_________________________________________</w:t>
      </w:r>
    </w:p>
    <w:p>
      <w:pPr>
        <w:spacing w:before="40" w:after="40"/>
      </w:pPr>
      <w:r>
        <w:rPr>
          <w:b/>
          <w:color w:val="1F4E79"/>
        </w:rPr>
        <w:t>Sneha Vinod Potanavar</w:t>
        <w:br/>
      </w:r>
      <w:r>
        <w:rPr>
          <w:color w:val="646464"/>
          <w:sz w:val="20"/>
        </w:rPr>
        <w:t>Data Analysis Intern</w:t>
        <w:br/>
        <w:t>Date: September 23, 2026</w:t>
      </w:r>
    </w:p>
    <w:p>
      <w:pPr>
        <w:spacing w:after="240"/>
      </w:pPr>
    </w:p>
    <w:p>
      <w:pPr>
        <w:keepNext/>
        <w:spacing w:before="280" w:after="120"/>
        <w:jc w:val="left"/>
      </w:pPr>
      <w:r>
        <w:rPr>
          <w:rFonts w:ascii="Calibri" w:hAnsi="Calibri"/>
          <w:b/>
          <w:color w:val="1F4E79"/>
          <w:sz w:val="36"/>
        </w:rPr>
        <w:t>Acknowledgement</w:t>
      </w:r>
    </w:p>
    <w:p>
      <w:pPr>
        <w:spacing w:before="0" w:after="100" w:line="276" w:lineRule="auto"/>
      </w:pPr>
      <w:r>
        <w:rPr>
          <w:rFonts w:ascii="Calibri" w:hAnsi="Calibri"/>
          <w:color w:val="333333"/>
          <w:sz w:val="22"/>
        </w:rPr>
        <w:t>I would like to express my sincere appreciation to my internship mentors, technical supervisors, and evaluation committee for their invaluable guidance, constructive feedback, and continuous support throughout the duration of this Data Analysis project. Their high standards of analytical rigor and domain feedback significantly enriched the depth and business relevance of this investigation.</w:t>
      </w:r>
    </w:p>
    <w:p>
      <w:pPr>
        <w:spacing w:before="0" w:after="100" w:line="276" w:lineRule="auto"/>
      </w:pPr>
      <w:r>
        <w:rPr>
          <w:rFonts w:ascii="Calibri" w:hAnsi="Calibri"/>
          <w:color w:val="333333"/>
          <w:sz w:val="22"/>
        </w:rPr>
        <w:t>I also extend my gratitude to the University of California, Irvine (UCI) Machine Learning Repository and Dr. Daqing Chen (London South Bank University) for curating and hosting the transnational Online Retail Dataset, which provided the comprehensive real-world transactional foundation for this enterprise study.</w:t>
      </w:r>
    </w:p>
    <w:p>
      <w:pPr>
        <w:spacing w:after="240"/>
      </w:pPr>
    </w:p>
    <w:p>
      <w:pPr>
        <w:keepNext/>
        <w:spacing w:before="280" w:after="120"/>
        <w:jc w:val="left"/>
      </w:pPr>
      <w:r>
        <w:rPr>
          <w:rFonts w:ascii="Calibri" w:hAnsi="Calibri"/>
          <w:b/>
          <w:color w:val="1F4E79"/>
          <w:sz w:val="36"/>
        </w:rPr>
        <w:t>Executive Summary &amp; Abstract</w:t>
      </w:r>
    </w:p>
    <w:p>
      <w:pPr>
        <w:spacing w:before="0" w:after="100" w:line="276" w:lineRule="auto"/>
      </w:pPr>
      <w:r>
        <w:rPr>
          <w:rFonts w:ascii="Calibri" w:hAnsi="Calibri"/>
          <w:color w:val="333333"/>
          <w:sz w:val="22"/>
        </w:rPr>
        <w:t>This study presents an end-to-end data analysis of the transnational UK Online Retail Dataset, comprising 541,909 raw records spanning December 1, 2010 to December 9, 2011. Following systematic data cleansing—including duplicate removal (5,268 records), segregation of cancelled orders (3,836 invoices), remediation of zero/negative prices, and filtering of non-product ledger codes—a clean analytical corpus of 522,713 completed sales transactions was established.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9"/>
              <w:top w:val="none"/>
              <w:right w:val="none"/>
              <w:bottom w:val="none"/>
            </w:tcBorders>
          </w:tcPr>
          <w:p>
            <w:pPr>
              <w:spacing w:before="40" w:after="40" w:line="276" w:lineRule="auto"/>
            </w:pPr>
            <w:r>
              <w:rPr>
                <w:rFonts w:ascii="Calibri" w:hAnsi="Calibri"/>
                <w:b/>
                <w:color w:val="1F4E79"/>
                <w:sz w:val="21"/>
              </w:rPr>
              <w:t xml:space="preserve">EXECUTIVE CORE METRICS: </w:t>
            </w:r>
            <w:r>
              <w:rPr>
                <w:rFonts w:ascii="Calibri" w:hAnsi="Calibri"/>
                <w:i/>
                <w:color w:val="333333"/>
                <w:sz w:val="21"/>
              </w:rPr>
              <w:t>Between December 2010 and December 2011, the enterprise generated £10,266,018.19 in net sales across 19,777 completed orders and 5,561,563 physical units. Sales exhibited extreme Q4 seasonality, peaking in November 2011 at £1,453,265.98 (2,751 orders), compared to a low of £508,081.54 in February. Domestic UK sales dominated with 85.11% (£8,737,666.54), while international cross-border trade generated 14.89% (£1,528,351.65), led by the Netherlands (£283,889.34) and Ireland (£276,090.86). Customer expenditure adheres strongly to Pareto concentration, with the top 20% of buyers generating 74.59% of identified revenue. Cancellations represented 16.25% of order attempts, totaling £893,979.73 in gross cancelled value.</w:t>
            </w:r>
          </w:p>
        </w:tc>
      </w:tr>
    </w:tbl>
    <w:p>
      <w:pPr>
        <w:spacing w:after="80"/>
      </w:pPr>
    </w:p>
    <w:p>
      <w:r>
        <w:br w:type="page"/>
      </w:r>
    </w:p>
    <w:p>
      <w:pPr>
        <w:keepNext/>
        <w:spacing w:before="280" w:after="120"/>
        <w:jc w:val="left"/>
      </w:pPr>
      <w:r>
        <w:rPr>
          <w:rFonts w:ascii="Calibri" w:hAnsi="Calibri"/>
          <w:b/>
          <w:color w:val="1F4E79"/>
          <w:sz w:val="36"/>
        </w:rPr>
        <w:t>Table of Contents</w:t>
      </w:r>
    </w:p>
    <w:tbl>
      <w:tblPr>
        <w:tblW w:type="auto" w:w="0"/>
        <w:jc w:val="center"/>
        <w:tblLook w:firstColumn="1" w:firstRow="1" w:lastColumn="0" w:lastRow="0" w:noHBand="0" w:noVBand="1" w:val="04A0"/>
      </w:tblPr>
      <w:tblGrid>
        <w:gridCol w:w="4680"/>
        <w:gridCol w:w="4680"/>
      </w:tblGrid>
      <w:tr>
        <w:tc>
          <w:tcPr>
            <w:tcW w:type="dxa" w:w="7920"/>
            <w:tcMar>
              <w:top w:w="30" w:type="dxa"/>
              <w:bottom w:w="30" w:type="dxa"/>
              <w:left w:w="40" w:type="dxa"/>
              <w:right w:w="40" w:type="dxa"/>
            </w:tcMar>
          </w:tcPr>
          <w:p>
            <w:r>
              <w:rPr>
                <w:rFonts w:ascii="Calibri" w:hAnsi="Calibri"/>
                <w:b/>
                <w:color w:val="1F4E79"/>
                <w:sz w:val="21"/>
              </w:rPr>
              <w:t>1. Introduction &amp; Background</w:t>
            </w:r>
          </w:p>
        </w:tc>
        <w:tc>
          <w:tcPr>
            <w:tcW w:type="dxa" w:w="1440"/>
            <w:tcMar>
              <w:top w:w="30" w:type="dxa"/>
              <w:bottom w:w="30" w:type="dxa"/>
              <w:left w:w="40" w:type="dxa"/>
              <w:right w:w="40" w:type="dxa"/>
            </w:tcMar>
          </w:tcPr>
          <w:p>
            <w:pPr>
              <w:jc w:val="right"/>
            </w:pPr>
            <w:r>
              <w:rPr>
                <w:rFonts w:ascii="Calibri" w:hAnsi="Calibri"/>
                <w:color w:val="646464"/>
                <w:sz w:val="21"/>
              </w:rPr>
              <w:t>4</w:t>
            </w:r>
          </w:p>
        </w:tc>
      </w:tr>
      <w:tr>
        <w:tc>
          <w:tcPr>
            <w:tcW w:type="dxa" w:w="7920"/>
            <w:tcMar>
              <w:top w:w="30" w:type="dxa"/>
              <w:bottom w:w="30" w:type="dxa"/>
              <w:left w:w="40" w:type="dxa"/>
              <w:right w:w="40" w:type="dxa"/>
            </w:tcMar>
          </w:tcPr>
          <w:p>
            <w:r>
              <w:rPr>
                <w:rFonts w:ascii="Calibri" w:hAnsi="Calibri"/>
                <w:b w:val="0"/>
                <w:color w:val="333333"/>
                <w:sz w:val="21"/>
              </w:rPr>
              <w:t>2. Problem Statement</w:t>
            </w:r>
          </w:p>
        </w:tc>
        <w:tc>
          <w:tcPr>
            <w:tcW w:type="dxa" w:w="1440"/>
            <w:tcMar>
              <w:top w:w="30" w:type="dxa"/>
              <w:bottom w:w="30" w:type="dxa"/>
              <w:left w:w="40" w:type="dxa"/>
              <w:right w:w="40" w:type="dxa"/>
            </w:tcMar>
          </w:tcPr>
          <w:p>
            <w:pPr>
              <w:jc w:val="right"/>
            </w:pPr>
            <w:r>
              <w:rPr>
                <w:rFonts w:ascii="Calibri" w:hAnsi="Calibri"/>
                <w:color w:val="646464"/>
                <w:sz w:val="21"/>
              </w:rPr>
              <w:t>4</w:t>
            </w:r>
          </w:p>
        </w:tc>
      </w:tr>
      <w:tr>
        <w:tc>
          <w:tcPr>
            <w:tcW w:type="dxa" w:w="7920"/>
            <w:tcMar>
              <w:top w:w="30" w:type="dxa"/>
              <w:bottom w:w="30" w:type="dxa"/>
              <w:left w:w="40" w:type="dxa"/>
              <w:right w:w="40" w:type="dxa"/>
            </w:tcMar>
          </w:tcPr>
          <w:p>
            <w:r>
              <w:rPr>
                <w:rFonts w:ascii="Calibri" w:hAnsi="Calibri"/>
                <w:b w:val="0"/>
                <w:color w:val="333333"/>
                <w:sz w:val="21"/>
              </w:rPr>
              <w:t>3. Project Objectives</w:t>
            </w:r>
          </w:p>
        </w:tc>
        <w:tc>
          <w:tcPr>
            <w:tcW w:type="dxa" w:w="1440"/>
            <w:tcMar>
              <w:top w:w="30" w:type="dxa"/>
              <w:bottom w:w="30" w:type="dxa"/>
              <w:left w:w="40" w:type="dxa"/>
              <w:right w:w="40" w:type="dxa"/>
            </w:tcMar>
          </w:tcPr>
          <w:p>
            <w:pPr>
              <w:jc w:val="right"/>
            </w:pPr>
            <w:r>
              <w:rPr>
                <w:rFonts w:ascii="Calibri" w:hAnsi="Calibri"/>
                <w:color w:val="646464"/>
                <w:sz w:val="21"/>
              </w:rPr>
              <w:t>5</w:t>
            </w:r>
          </w:p>
        </w:tc>
      </w:tr>
      <w:tr>
        <w:tc>
          <w:tcPr>
            <w:tcW w:type="dxa" w:w="7920"/>
            <w:tcMar>
              <w:top w:w="30" w:type="dxa"/>
              <w:bottom w:w="30" w:type="dxa"/>
              <w:left w:w="40" w:type="dxa"/>
              <w:right w:w="40" w:type="dxa"/>
            </w:tcMar>
          </w:tcPr>
          <w:p>
            <w:r>
              <w:rPr>
                <w:rFonts w:ascii="Calibri" w:hAnsi="Calibri"/>
                <w:b w:val="0"/>
                <w:color w:val="333333"/>
                <w:sz w:val="21"/>
              </w:rPr>
              <w:t>4. Dataset Description &amp; Technical Architecture</w:t>
            </w:r>
          </w:p>
        </w:tc>
        <w:tc>
          <w:tcPr>
            <w:tcW w:type="dxa" w:w="1440"/>
            <w:tcMar>
              <w:top w:w="30" w:type="dxa"/>
              <w:bottom w:w="30" w:type="dxa"/>
              <w:left w:w="40" w:type="dxa"/>
              <w:right w:w="40" w:type="dxa"/>
            </w:tcMar>
          </w:tcPr>
          <w:p>
            <w:pPr>
              <w:jc w:val="right"/>
            </w:pPr>
            <w:r>
              <w:rPr>
                <w:rFonts w:ascii="Calibri" w:hAnsi="Calibri"/>
                <w:color w:val="646464"/>
                <w:sz w:val="21"/>
              </w:rPr>
              <w:t>5</w:t>
            </w:r>
          </w:p>
        </w:tc>
      </w:tr>
      <w:tr>
        <w:tc>
          <w:tcPr>
            <w:tcW w:type="dxa" w:w="7920"/>
            <w:tcMar>
              <w:top w:w="30" w:type="dxa"/>
              <w:bottom w:w="30" w:type="dxa"/>
              <w:left w:w="40" w:type="dxa"/>
              <w:right w:w="40" w:type="dxa"/>
            </w:tcMar>
          </w:tcPr>
          <w:p>
            <w:r>
              <w:rPr>
                <w:rFonts w:ascii="Calibri" w:hAnsi="Calibri"/>
                <w:b/>
                <w:color w:val="1F4E79"/>
                <w:sz w:val="21"/>
              </w:rPr>
              <w:t>5. Data Cleansing &amp; Preprocessing Methodology</w:t>
            </w:r>
          </w:p>
        </w:tc>
        <w:tc>
          <w:tcPr>
            <w:tcW w:type="dxa" w:w="1440"/>
            <w:tcMar>
              <w:top w:w="30" w:type="dxa"/>
              <w:bottom w:w="30" w:type="dxa"/>
              <w:left w:w="40" w:type="dxa"/>
              <w:right w:w="40" w:type="dxa"/>
            </w:tcMar>
          </w:tcPr>
          <w:p>
            <w:pPr>
              <w:jc w:val="right"/>
            </w:pPr>
            <w:r>
              <w:rPr>
                <w:rFonts w:ascii="Calibri" w:hAnsi="Calibri"/>
                <w:color w:val="646464"/>
                <w:sz w:val="21"/>
              </w:rPr>
              <w:t>7</w:t>
            </w:r>
          </w:p>
        </w:tc>
      </w:tr>
      <w:tr>
        <w:tc>
          <w:tcPr>
            <w:tcW w:type="dxa" w:w="7920"/>
            <w:tcMar>
              <w:top w:w="30" w:type="dxa"/>
              <w:bottom w:w="30" w:type="dxa"/>
              <w:left w:w="40" w:type="dxa"/>
              <w:right w:w="40" w:type="dxa"/>
            </w:tcMar>
          </w:tcPr>
          <w:p>
            <w:r>
              <w:rPr>
                <w:rFonts w:ascii="Calibri" w:hAnsi="Calibri"/>
                <w:b w:val="0"/>
                <w:color w:val="333333"/>
                <w:sz w:val="21"/>
              </w:rPr>
              <w:t>6. Exploratory Data Analysis &amp; Statistical Distributions</w:t>
            </w:r>
          </w:p>
        </w:tc>
        <w:tc>
          <w:tcPr>
            <w:tcW w:type="dxa" w:w="1440"/>
            <w:tcMar>
              <w:top w:w="30" w:type="dxa"/>
              <w:bottom w:w="30" w:type="dxa"/>
              <w:left w:w="40" w:type="dxa"/>
              <w:right w:w="40" w:type="dxa"/>
            </w:tcMar>
          </w:tcPr>
          <w:p>
            <w:pPr>
              <w:jc w:val="right"/>
            </w:pPr>
            <w:r>
              <w:rPr>
                <w:rFonts w:ascii="Calibri" w:hAnsi="Calibri"/>
                <w:color w:val="646464"/>
                <w:sz w:val="21"/>
              </w:rPr>
              <w:t>9</w:t>
            </w:r>
          </w:p>
        </w:tc>
      </w:tr>
      <w:tr>
        <w:tc>
          <w:tcPr>
            <w:tcW w:type="dxa" w:w="7920"/>
            <w:tcMar>
              <w:top w:w="30" w:type="dxa"/>
              <w:bottom w:w="30" w:type="dxa"/>
              <w:left w:w="40" w:type="dxa"/>
              <w:right w:w="40" w:type="dxa"/>
            </w:tcMar>
          </w:tcPr>
          <w:p>
            <w:r>
              <w:rPr>
                <w:rFonts w:ascii="Calibri" w:hAnsi="Calibri"/>
                <w:b/>
                <w:color w:val="1F4E79"/>
                <w:sz w:val="21"/>
              </w:rPr>
              <w:t>7. Sales &amp; Seasonality Analysis</w:t>
            </w:r>
          </w:p>
        </w:tc>
        <w:tc>
          <w:tcPr>
            <w:tcW w:type="dxa" w:w="1440"/>
            <w:tcMar>
              <w:top w:w="30" w:type="dxa"/>
              <w:bottom w:w="30" w:type="dxa"/>
              <w:left w:w="40" w:type="dxa"/>
              <w:right w:w="40" w:type="dxa"/>
            </w:tcMar>
          </w:tcPr>
          <w:p>
            <w:pPr>
              <w:jc w:val="right"/>
            </w:pPr>
            <w:r>
              <w:rPr>
                <w:rFonts w:ascii="Calibri" w:hAnsi="Calibri"/>
                <w:color w:val="646464"/>
                <w:sz w:val="21"/>
              </w:rPr>
              <w:t>10</w:t>
            </w:r>
          </w:p>
        </w:tc>
      </w:tr>
      <w:tr>
        <w:tc>
          <w:tcPr>
            <w:tcW w:type="dxa" w:w="7920"/>
            <w:tcMar>
              <w:top w:w="30" w:type="dxa"/>
              <w:bottom w:w="30" w:type="dxa"/>
              <w:left w:w="40" w:type="dxa"/>
              <w:right w:w="40" w:type="dxa"/>
            </w:tcMar>
          </w:tcPr>
          <w:p>
            <w:r>
              <w:rPr>
                <w:rFonts w:ascii="Calibri" w:hAnsi="Calibri"/>
                <w:b w:val="0"/>
                <w:color w:val="333333"/>
                <w:sz w:val="21"/>
              </w:rPr>
              <w:t>8. Temporal Behavior Analysis (Day of Week &amp; Hourly)</w:t>
            </w:r>
          </w:p>
        </w:tc>
        <w:tc>
          <w:tcPr>
            <w:tcW w:type="dxa" w:w="1440"/>
            <w:tcMar>
              <w:top w:w="30" w:type="dxa"/>
              <w:bottom w:w="30" w:type="dxa"/>
              <w:left w:w="40" w:type="dxa"/>
              <w:right w:w="40" w:type="dxa"/>
            </w:tcMar>
          </w:tcPr>
          <w:p>
            <w:pPr>
              <w:jc w:val="right"/>
            </w:pPr>
            <w:r>
              <w:rPr>
                <w:rFonts w:ascii="Calibri" w:hAnsi="Calibri"/>
                <w:color w:val="646464"/>
                <w:sz w:val="21"/>
              </w:rPr>
              <w:t>12</w:t>
            </w:r>
          </w:p>
        </w:tc>
      </w:tr>
      <w:tr>
        <w:tc>
          <w:tcPr>
            <w:tcW w:type="dxa" w:w="7920"/>
            <w:tcMar>
              <w:top w:w="30" w:type="dxa"/>
              <w:bottom w:w="30" w:type="dxa"/>
              <w:left w:w="40" w:type="dxa"/>
              <w:right w:w="40" w:type="dxa"/>
            </w:tcMar>
          </w:tcPr>
          <w:p>
            <w:r>
              <w:rPr>
                <w:rFonts w:ascii="Calibri" w:hAnsi="Calibri"/>
                <w:b w:val="0"/>
                <w:color w:val="333333"/>
                <w:sz w:val="21"/>
              </w:rPr>
              <w:t>9. Product Intelligence &amp; Inventory Dynamics</w:t>
            </w:r>
          </w:p>
        </w:tc>
        <w:tc>
          <w:tcPr>
            <w:tcW w:type="dxa" w:w="1440"/>
            <w:tcMar>
              <w:top w:w="30" w:type="dxa"/>
              <w:bottom w:w="30" w:type="dxa"/>
              <w:left w:w="40" w:type="dxa"/>
              <w:right w:w="40" w:type="dxa"/>
            </w:tcMar>
          </w:tcPr>
          <w:p>
            <w:pPr>
              <w:jc w:val="right"/>
            </w:pPr>
            <w:r>
              <w:rPr>
                <w:rFonts w:ascii="Calibri" w:hAnsi="Calibri"/>
                <w:color w:val="646464"/>
                <w:sz w:val="21"/>
              </w:rPr>
              <w:t>14</w:t>
            </w:r>
          </w:p>
        </w:tc>
      </w:tr>
      <w:tr>
        <w:tc>
          <w:tcPr>
            <w:tcW w:type="dxa" w:w="7920"/>
            <w:tcMar>
              <w:top w:w="30" w:type="dxa"/>
              <w:bottom w:w="30" w:type="dxa"/>
              <w:left w:w="40" w:type="dxa"/>
              <w:right w:w="40" w:type="dxa"/>
            </w:tcMar>
          </w:tcPr>
          <w:p>
            <w:r>
              <w:rPr>
                <w:rFonts w:ascii="Calibri" w:hAnsi="Calibri"/>
                <w:b/>
                <w:color w:val="1F4E79"/>
                <w:sz w:val="21"/>
              </w:rPr>
              <w:t>10. Geographic Market Performance &amp; Cross-Border Expansion</w:t>
            </w:r>
          </w:p>
        </w:tc>
        <w:tc>
          <w:tcPr>
            <w:tcW w:type="dxa" w:w="1440"/>
            <w:tcMar>
              <w:top w:w="30" w:type="dxa"/>
              <w:bottom w:w="30" w:type="dxa"/>
              <w:left w:w="40" w:type="dxa"/>
              <w:right w:w="40" w:type="dxa"/>
            </w:tcMar>
          </w:tcPr>
          <w:p>
            <w:pPr>
              <w:jc w:val="right"/>
            </w:pPr>
            <w:r>
              <w:rPr>
                <w:rFonts w:ascii="Calibri" w:hAnsi="Calibri"/>
                <w:color w:val="646464"/>
                <w:sz w:val="21"/>
              </w:rPr>
              <w:t>16</w:t>
            </w:r>
          </w:p>
        </w:tc>
      </w:tr>
      <w:tr>
        <w:tc>
          <w:tcPr>
            <w:tcW w:type="dxa" w:w="7920"/>
            <w:tcMar>
              <w:top w:w="30" w:type="dxa"/>
              <w:bottom w:w="30" w:type="dxa"/>
              <w:left w:w="40" w:type="dxa"/>
              <w:right w:w="40" w:type="dxa"/>
            </w:tcMar>
          </w:tcPr>
          <w:p>
            <w:r>
              <w:rPr>
                <w:rFonts w:ascii="Calibri" w:hAnsi="Calibri"/>
                <w:b/>
                <w:color w:val="1F4E79"/>
                <w:sz w:val="21"/>
              </w:rPr>
              <w:t>11. Customer Lifetime Spend &amp; Pareto Concentration</w:t>
            </w:r>
          </w:p>
        </w:tc>
        <w:tc>
          <w:tcPr>
            <w:tcW w:type="dxa" w:w="1440"/>
            <w:tcMar>
              <w:top w:w="30" w:type="dxa"/>
              <w:bottom w:w="30" w:type="dxa"/>
              <w:left w:w="40" w:type="dxa"/>
              <w:right w:w="40" w:type="dxa"/>
            </w:tcMar>
          </w:tcPr>
          <w:p>
            <w:pPr>
              <w:jc w:val="right"/>
            </w:pPr>
            <w:r>
              <w:rPr>
                <w:rFonts w:ascii="Calibri" w:hAnsi="Calibri"/>
                <w:color w:val="646464"/>
                <w:sz w:val="21"/>
              </w:rPr>
              <w:t>18</w:t>
            </w:r>
          </w:p>
        </w:tc>
      </w:tr>
      <w:tr>
        <w:tc>
          <w:tcPr>
            <w:tcW w:type="dxa" w:w="7920"/>
            <w:tcMar>
              <w:top w:w="30" w:type="dxa"/>
              <w:bottom w:w="30" w:type="dxa"/>
              <w:left w:w="40" w:type="dxa"/>
              <w:right w:w="40" w:type="dxa"/>
            </w:tcMar>
          </w:tcPr>
          <w:p>
            <w:r>
              <w:rPr>
                <w:rFonts w:ascii="Calibri" w:hAnsi="Calibri"/>
                <w:b w:val="0"/>
                <w:color w:val="333333"/>
                <w:sz w:val="21"/>
              </w:rPr>
              <w:t>12. Cancellation &amp; Return Margin Diagnostics</w:t>
            </w:r>
          </w:p>
        </w:tc>
        <w:tc>
          <w:tcPr>
            <w:tcW w:type="dxa" w:w="1440"/>
            <w:tcMar>
              <w:top w:w="30" w:type="dxa"/>
              <w:bottom w:w="30" w:type="dxa"/>
              <w:left w:w="40" w:type="dxa"/>
              <w:right w:w="40" w:type="dxa"/>
            </w:tcMar>
          </w:tcPr>
          <w:p>
            <w:pPr>
              <w:jc w:val="right"/>
            </w:pPr>
            <w:r>
              <w:rPr>
                <w:rFonts w:ascii="Calibri" w:hAnsi="Calibri"/>
                <w:color w:val="646464"/>
                <w:sz w:val="21"/>
              </w:rPr>
              <w:t>20</w:t>
            </w:r>
          </w:p>
        </w:tc>
      </w:tr>
      <w:tr>
        <w:tc>
          <w:tcPr>
            <w:tcW w:type="dxa" w:w="7920"/>
            <w:tcMar>
              <w:top w:w="30" w:type="dxa"/>
              <w:bottom w:w="30" w:type="dxa"/>
              <w:left w:w="40" w:type="dxa"/>
              <w:right w:w="40" w:type="dxa"/>
            </w:tcMar>
          </w:tcPr>
          <w:p>
            <w:r>
              <w:rPr>
                <w:rFonts w:ascii="Calibri" w:hAnsi="Calibri"/>
                <w:b w:val="0"/>
                <w:color w:val="333333"/>
                <w:sz w:val="21"/>
              </w:rPr>
              <w:t>13. Feature Correlation Analysis</w:t>
            </w:r>
          </w:p>
        </w:tc>
        <w:tc>
          <w:tcPr>
            <w:tcW w:type="dxa" w:w="1440"/>
            <w:tcMar>
              <w:top w:w="30" w:type="dxa"/>
              <w:bottom w:w="30" w:type="dxa"/>
              <w:left w:w="40" w:type="dxa"/>
              <w:right w:w="40" w:type="dxa"/>
            </w:tcMar>
          </w:tcPr>
          <w:p>
            <w:pPr>
              <w:jc w:val="right"/>
            </w:pPr>
            <w:r>
              <w:rPr>
                <w:rFonts w:ascii="Calibri" w:hAnsi="Calibri"/>
                <w:color w:val="646464"/>
                <w:sz w:val="21"/>
              </w:rPr>
              <w:t>22</w:t>
            </w:r>
          </w:p>
        </w:tc>
      </w:tr>
      <w:tr>
        <w:tc>
          <w:tcPr>
            <w:tcW w:type="dxa" w:w="7920"/>
            <w:tcMar>
              <w:top w:w="30" w:type="dxa"/>
              <w:bottom w:w="30" w:type="dxa"/>
              <w:left w:w="40" w:type="dxa"/>
              <w:right w:w="40" w:type="dxa"/>
            </w:tcMar>
          </w:tcPr>
          <w:p>
            <w:r>
              <w:rPr>
                <w:rFonts w:ascii="Calibri" w:hAnsi="Calibri"/>
                <w:b w:val="0"/>
                <w:color w:val="333333"/>
                <w:sz w:val="21"/>
              </w:rPr>
              <w:t>14. Consolidated Key Findings</w:t>
            </w:r>
          </w:p>
        </w:tc>
        <w:tc>
          <w:tcPr>
            <w:tcW w:type="dxa" w:w="1440"/>
            <w:tcMar>
              <w:top w:w="30" w:type="dxa"/>
              <w:bottom w:w="30" w:type="dxa"/>
              <w:left w:w="40" w:type="dxa"/>
              <w:right w:w="40" w:type="dxa"/>
            </w:tcMar>
          </w:tcPr>
          <w:p>
            <w:pPr>
              <w:jc w:val="right"/>
            </w:pPr>
            <w:r>
              <w:rPr>
                <w:rFonts w:ascii="Calibri" w:hAnsi="Calibri"/>
                <w:color w:val="646464"/>
                <w:sz w:val="21"/>
              </w:rPr>
              <w:t>23</w:t>
            </w:r>
          </w:p>
        </w:tc>
      </w:tr>
      <w:tr>
        <w:tc>
          <w:tcPr>
            <w:tcW w:type="dxa" w:w="7920"/>
            <w:tcMar>
              <w:top w:w="30" w:type="dxa"/>
              <w:bottom w:w="30" w:type="dxa"/>
              <w:left w:w="40" w:type="dxa"/>
              <w:right w:w="40" w:type="dxa"/>
            </w:tcMar>
          </w:tcPr>
          <w:p>
            <w:r>
              <w:rPr>
                <w:rFonts w:ascii="Calibri" w:hAnsi="Calibri"/>
                <w:b/>
                <w:color w:val="1F4E79"/>
                <w:sz w:val="21"/>
              </w:rPr>
              <w:t>15. Strategic Business Insights &amp; Recommendations</w:t>
            </w:r>
          </w:p>
        </w:tc>
        <w:tc>
          <w:tcPr>
            <w:tcW w:type="dxa" w:w="1440"/>
            <w:tcMar>
              <w:top w:w="30" w:type="dxa"/>
              <w:bottom w:w="30" w:type="dxa"/>
              <w:left w:w="40" w:type="dxa"/>
              <w:right w:w="40" w:type="dxa"/>
            </w:tcMar>
          </w:tcPr>
          <w:p>
            <w:pPr>
              <w:jc w:val="right"/>
            </w:pPr>
            <w:r>
              <w:rPr>
                <w:rFonts w:ascii="Calibri" w:hAnsi="Calibri"/>
                <w:color w:val="646464"/>
                <w:sz w:val="21"/>
              </w:rPr>
              <w:t>24</w:t>
            </w:r>
          </w:p>
        </w:tc>
      </w:tr>
      <w:tr>
        <w:tc>
          <w:tcPr>
            <w:tcW w:type="dxa" w:w="7920"/>
            <w:tcMar>
              <w:top w:w="30" w:type="dxa"/>
              <w:bottom w:w="30" w:type="dxa"/>
              <w:left w:w="40" w:type="dxa"/>
              <w:right w:w="40" w:type="dxa"/>
            </w:tcMar>
          </w:tcPr>
          <w:p>
            <w:r>
              <w:rPr>
                <w:rFonts w:ascii="Calibri" w:hAnsi="Calibri"/>
                <w:b w:val="0"/>
                <w:color w:val="333333"/>
                <w:sz w:val="21"/>
              </w:rPr>
              <w:t>16. Limitations &amp; Future Scope</w:t>
            </w:r>
          </w:p>
        </w:tc>
        <w:tc>
          <w:tcPr>
            <w:tcW w:type="dxa" w:w="1440"/>
            <w:tcMar>
              <w:top w:w="30" w:type="dxa"/>
              <w:bottom w:w="30" w:type="dxa"/>
              <w:left w:w="40" w:type="dxa"/>
              <w:right w:w="40" w:type="dxa"/>
            </w:tcMar>
          </w:tcPr>
          <w:p>
            <w:pPr>
              <w:jc w:val="right"/>
            </w:pPr>
            <w:r>
              <w:rPr>
                <w:rFonts w:ascii="Calibri" w:hAnsi="Calibri"/>
                <w:color w:val="646464"/>
                <w:sz w:val="21"/>
              </w:rPr>
              <w:t>26</w:t>
            </w:r>
          </w:p>
        </w:tc>
      </w:tr>
      <w:tr>
        <w:tc>
          <w:tcPr>
            <w:tcW w:type="dxa" w:w="7920"/>
            <w:tcMar>
              <w:top w:w="30" w:type="dxa"/>
              <w:bottom w:w="30" w:type="dxa"/>
              <w:left w:w="40" w:type="dxa"/>
              <w:right w:w="40" w:type="dxa"/>
            </w:tcMar>
          </w:tcPr>
          <w:p>
            <w:r>
              <w:rPr>
                <w:rFonts w:ascii="Calibri" w:hAnsi="Calibri"/>
                <w:b/>
                <w:color w:val="1F4E79"/>
                <w:sz w:val="21"/>
              </w:rPr>
              <w:t>17. Conclusion</w:t>
            </w:r>
          </w:p>
        </w:tc>
        <w:tc>
          <w:tcPr>
            <w:tcW w:type="dxa" w:w="1440"/>
            <w:tcMar>
              <w:top w:w="30" w:type="dxa"/>
              <w:bottom w:w="30" w:type="dxa"/>
              <w:left w:w="40" w:type="dxa"/>
              <w:right w:w="40" w:type="dxa"/>
            </w:tcMar>
          </w:tcPr>
          <w:p>
            <w:pPr>
              <w:jc w:val="right"/>
            </w:pPr>
            <w:r>
              <w:rPr>
                <w:rFonts w:ascii="Calibri" w:hAnsi="Calibri"/>
                <w:color w:val="646464"/>
                <w:sz w:val="21"/>
              </w:rPr>
              <w:t>27</w:t>
            </w:r>
          </w:p>
        </w:tc>
      </w:tr>
      <w:tr>
        <w:tc>
          <w:tcPr>
            <w:tcW w:type="dxa" w:w="7920"/>
            <w:tcMar>
              <w:top w:w="30" w:type="dxa"/>
              <w:bottom w:w="30" w:type="dxa"/>
              <w:left w:w="40" w:type="dxa"/>
              <w:right w:w="40" w:type="dxa"/>
            </w:tcMar>
          </w:tcPr>
          <w:p>
            <w:r>
              <w:rPr>
                <w:rFonts w:ascii="Calibri" w:hAnsi="Calibri"/>
                <w:b w:val="0"/>
                <w:color w:val="333333"/>
                <w:sz w:val="21"/>
              </w:rPr>
              <w:t>18. References</w:t>
            </w:r>
          </w:p>
        </w:tc>
        <w:tc>
          <w:tcPr>
            <w:tcW w:type="dxa" w:w="1440"/>
            <w:tcMar>
              <w:top w:w="30" w:type="dxa"/>
              <w:bottom w:w="30" w:type="dxa"/>
              <w:left w:w="40" w:type="dxa"/>
              <w:right w:w="40" w:type="dxa"/>
            </w:tcMar>
          </w:tcPr>
          <w:p>
            <w:pPr>
              <w:jc w:val="right"/>
            </w:pPr>
            <w:r>
              <w:rPr>
                <w:rFonts w:ascii="Calibri" w:hAnsi="Calibri"/>
                <w:color w:val="646464"/>
                <w:sz w:val="21"/>
              </w:rPr>
              <w:t>27</w:t>
            </w:r>
          </w:p>
        </w:tc>
      </w:tr>
    </w:tbl>
    <w:p>
      <w:r>
        <w:br w:type="page"/>
      </w:r>
    </w:p>
    <w:p>
      <w:pPr>
        <w:keepNext/>
        <w:spacing w:before="280" w:after="120"/>
        <w:jc w:val="left"/>
      </w:pPr>
      <w:r>
        <w:rPr>
          <w:rFonts w:ascii="Calibri" w:hAnsi="Calibri"/>
          <w:b/>
          <w:color w:val="1F4E79"/>
          <w:sz w:val="36"/>
        </w:rPr>
        <w:t>1. Introduction &amp; Background</w:t>
      </w:r>
    </w:p>
    <w:p>
      <w:pPr>
        <w:spacing w:before="0" w:after="100" w:line="276" w:lineRule="auto"/>
      </w:pPr>
      <w:r>
        <w:rPr>
          <w:rFonts w:ascii="Calibri" w:hAnsi="Calibri"/>
          <w:color w:val="333333"/>
          <w:sz w:val="22"/>
        </w:rPr>
        <w:t>In the contemporary retail landscape, e-commerce platforms capture vast streams of transactional events. Unlike traditional brick-and-mortar retail where shopper interactions are largely ephemeral, online retail environments preserve exact transaction logs—capturing timestamps, item identifiers, pricing structures, order quantities, and geographic destinations. When subjected to disciplined statistical interrogation, this transactional corpus unlocks profound visibility into customer purchasing habits, product velocity, seasonal vulnerabilities, and operational efficiency.</w:t>
      </w:r>
    </w:p>
    <w:p>
      <w:pPr>
        <w:spacing w:before="0" w:after="100" w:line="276" w:lineRule="auto"/>
      </w:pPr>
      <w:r>
        <w:rPr>
          <w:rFonts w:ascii="Calibri" w:hAnsi="Calibri"/>
          <w:color w:val="333333"/>
          <w:sz w:val="22"/>
        </w:rPr>
        <w:t>This project analyzes the transnational transactional records of an established United Kingdom-based online giftware retailer. The enterprise specializes in all-occasion novelty gifts, decorative homeware, and seasonal merchandise. While the business serves individual consumer shoppers, its core commercial engine is driven by wholesale clients—small independent retailers, boutique stores, and hospitality firms ordering inventory in bulk.</w:t>
      </w:r>
    </w:p>
    <w:p>
      <w:pPr>
        <w:keepNext/>
        <w:spacing w:before="280" w:after="120"/>
        <w:jc w:val="left"/>
      </w:pPr>
      <w:r>
        <w:rPr>
          <w:rFonts w:ascii="Calibri" w:hAnsi="Calibri"/>
          <w:b/>
          <w:color w:val="1F4E79"/>
          <w:sz w:val="36"/>
        </w:rPr>
        <w:t>2. Problem Statement</w:t>
      </w:r>
    </w:p>
    <w:p>
      <w:pPr>
        <w:spacing w:before="0" w:after="100" w:line="276" w:lineRule="auto"/>
      </w:pPr>
      <w:r>
        <w:rPr>
          <w:rFonts w:ascii="Calibri" w:hAnsi="Calibri"/>
          <w:color w:val="333333"/>
          <w:sz w:val="22"/>
        </w:rPr>
        <w:t>Online retailers face substantial operational and strategic hurdles that, if left unaddressed, can severely impair profitability. This investigation addresses five critical business challenges:</w:t>
      </w:r>
    </w:p>
    <w:p>
      <w:pPr>
        <w:pStyle w:val="ListBullet"/>
        <w:spacing w:before="20" w:after="60" w:line="276" w:lineRule="auto"/>
      </w:pPr>
      <w:r>
        <w:rPr>
          <w:rFonts w:ascii="Calibri" w:hAnsi="Calibri"/>
          <w:b/>
          <w:color w:val="333333"/>
          <w:sz w:val="22"/>
        </w:rPr>
        <w:t xml:space="preserve">1. Revenue Vulnerability &amp; Client Risk: </w:t>
      </w:r>
      <w:r>
        <w:rPr>
          <w:rFonts w:ascii="Calibri" w:hAnsi="Calibri"/>
          <w:color w:val="333333"/>
          <w:sz w:val="22"/>
        </w:rPr>
        <w:t>Extreme dependency on a high-concentration cohort of wholesale accounts creates severe liquidity exposure if top clients churn.</w:t>
      </w:r>
    </w:p>
    <w:p>
      <w:pPr>
        <w:pStyle w:val="ListBullet"/>
        <w:spacing w:before="20" w:after="60" w:line="276" w:lineRule="auto"/>
      </w:pPr>
      <w:r>
        <w:rPr>
          <w:rFonts w:ascii="Calibri" w:hAnsi="Calibri"/>
          <w:b/>
          <w:color w:val="333333"/>
          <w:sz w:val="22"/>
        </w:rPr>
        <w:t xml:space="preserve">2. Seasonal Volatility &amp; Carrying Inefficiency: </w:t>
      </w:r>
      <w:r>
        <w:rPr>
          <w:rFonts w:ascii="Calibri" w:hAnsi="Calibri"/>
          <w:color w:val="333333"/>
          <w:sz w:val="22"/>
        </w:rPr>
        <w:t>Pronounced demand surges during Q4 (holiday gifting season) induce inventory stockouts, freight premiums, and severe post-holiday Q1 demand slumps.</w:t>
      </w:r>
    </w:p>
    <w:p>
      <w:pPr>
        <w:pStyle w:val="ListBullet"/>
        <w:spacing w:before="20" w:after="60" w:line="276" w:lineRule="auto"/>
      </w:pPr>
      <w:r>
        <w:rPr>
          <w:rFonts w:ascii="Calibri" w:hAnsi="Calibri"/>
          <w:b/>
          <w:color w:val="333333"/>
          <w:sz w:val="22"/>
        </w:rPr>
        <w:t xml:space="preserve">3. Geographic Over-Concentration: </w:t>
      </w:r>
      <w:r>
        <w:rPr>
          <w:rFonts w:ascii="Calibri" w:hAnsi="Calibri"/>
          <w:color w:val="333333"/>
          <w:sz w:val="22"/>
        </w:rPr>
        <w:t>Over 85% of total sales originate in the domestic UK market, leaving high-margin European markets under-exploited.</w:t>
      </w:r>
    </w:p>
    <w:p>
      <w:pPr>
        <w:pStyle w:val="ListBullet"/>
        <w:spacing w:before="20" w:after="60" w:line="276" w:lineRule="auto"/>
      </w:pPr>
      <w:r>
        <w:rPr>
          <w:rFonts w:ascii="Calibri" w:hAnsi="Calibri"/>
          <w:b/>
          <w:color w:val="333333"/>
          <w:sz w:val="22"/>
        </w:rPr>
        <w:t xml:space="preserve">4. Operational Friction &amp; Return Erosion: </w:t>
      </w:r>
      <w:r>
        <w:rPr>
          <w:rFonts w:ascii="Calibri" w:hAnsi="Calibri"/>
          <w:color w:val="333333"/>
          <w:sz w:val="22"/>
        </w:rPr>
        <w:t>A 16.25% cancellation rate generates operational friction, reverse-logistics expenses, and substantial lost revenue (£893k+).</w:t>
      </w:r>
    </w:p>
    <w:p>
      <w:pPr>
        <w:pStyle w:val="ListBullet"/>
        <w:spacing w:before="20" w:after="60" w:line="276" w:lineRule="auto"/>
      </w:pPr>
      <w:r>
        <w:rPr>
          <w:rFonts w:ascii="Calibri" w:hAnsi="Calibri"/>
          <w:b/>
          <w:color w:val="333333"/>
          <w:sz w:val="22"/>
        </w:rPr>
        <w:t xml:space="preserve">5. SKU Breadth &amp; Inventory Allocation: </w:t>
      </w:r>
      <w:r>
        <w:rPr>
          <w:rFonts w:ascii="Calibri" w:hAnsi="Calibri"/>
          <w:color w:val="333333"/>
          <w:sz w:val="22"/>
        </w:rPr>
        <w:t>A long tail of 3,900+ SKUs leads to slow-moving inventory holding costs that tie up vital working capital.</w:t>
      </w:r>
    </w:p>
    <w:p>
      <w:pPr>
        <w:keepNext/>
        <w:spacing w:before="280" w:after="120"/>
        <w:jc w:val="left"/>
      </w:pPr>
      <w:r>
        <w:rPr>
          <w:rFonts w:ascii="Calibri" w:hAnsi="Calibri"/>
          <w:b/>
          <w:color w:val="1F4E79"/>
          <w:sz w:val="36"/>
        </w:rPr>
        <w:t>3. Project Objectives</w:t>
      </w:r>
    </w:p>
    <w:p>
      <w:pPr>
        <w:spacing w:before="0" w:after="100" w:line="276" w:lineRule="auto"/>
      </w:pPr>
      <w:r>
        <w:rPr>
          <w:rFonts w:ascii="Calibri" w:hAnsi="Calibri"/>
          <w:color w:val="333333"/>
          <w:sz w:val="22"/>
        </w:rPr>
        <w:t>The overarching objectives governing this analytical engagement are structured across four core pillars:</w:t>
      </w:r>
    </w:p>
    <w:p>
      <w:pPr>
        <w:pStyle w:val="ListBullet"/>
        <w:spacing w:before="20" w:after="60" w:line="276" w:lineRule="auto"/>
      </w:pPr>
      <w:r>
        <w:rPr>
          <w:rFonts w:ascii="Calibri" w:hAnsi="Calibri"/>
          <w:b/>
          <w:color w:val="333333"/>
          <w:sz w:val="22"/>
        </w:rPr>
        <w:t xml:space="preserve">Data Cleansing &amp; Validation: </w:t>
      </w:r>
      <w:r>
        <w:rPr>
          <w:rFonts w:ascii="Calibri" w:hAnsi="Calibri"/>
          <w:color w:val="333333"/>
          <w:sz w:val="22"/>
        </w:rPr>
        <w:t>Perform thorough data profiling, identify anomalies (negative quantities, duplicate logs, administrative codes), and implement fully justified cleaning steps.</w:t>
      </w:r>
    </w:p>
    <w:p>
      <w:pPr>
        <w:pStyle w:val="ListBullet"/>
        <w:spacing w:before="20" w:after="60" w:line="276" w:lineRule="auto"/>
      </w:pPr>
      <w:r>
        <w:rPr>
          <w:rFonts w:ascii="Calibri" w:hAnsi="Calibri"/>
          <w:b/>
          <w:color w:val="333333"/>
          <w:sz w:val="22"/>
        </w:rPr>
        <w:t xml:space="preserve">KPI Computation: </w:t>
      </w:r>
      <w:r>
        <w:rPr>
          <w:rFonts w:ascii="Calibri" w:hAnsi="Calibri"/>
          <w:color w:val="333333"/>
          <w:sz w:val="22"/>
        </w:rPr>
        <w:t>Compute exact enterprise KPIs including Net Revenue, Order Volume, AOV (£519.09), Average Unit Price (£3.31), and Items per Order (281.21).</w:t>
      </w:r>
    </w:p>
    <w:p>
      <w:pPr>
        <w:pStyle w:val="ListBullet"/>
        <w:spacing w:before="20" w:after="60" w:line="276" w:lineRule="auto"/>
      </w:pPr>
      <w:r>
        <w:rPr>
          <w:rFonts w:ascii="Calibri" w:hAnsi="Calibri"/>
          <w:b/>
          <w:color w:val="333333"/>
          <w:sz w:val="22"/>
        </w:rPr>
        <w:t xml:space="preserve">Multi-Dimensional Decomposition: </w:t>
      </w:r>
      <w:r>
        <w:rPr>
          <w:rFonts w:ascii="Calibri" w:hAnsi="Calibri"/>
          <w:color w:val="333333"/>
          <w:sz w:val="22"/>
        </w:rPr>
        <w:t>Deconstruct revenue across monthly intervals, operating days, and business hours to uncover operational rhythms.</w:t>
      </w:r>
    </w:p>
    <w:p>
      <w:pPr>
        <w:pStyle w:val="ListBullet"/>
        <w:spacing w:before="20" w:after="60" w:line="276" w:lineRule="auto"/>
      </w:pPr>
      <w:r>
        <w:rPr>
          <w:rFonts w:ascii="Calibri" w:hAnsi="Calibri"/>
          <w:b/>
          <w:color w:val="333333"/>
          <w:sz w:val="22"/>
        </w:rPr>
        <w:t xml:space="preserve">Strategic Diagnostics: </w:t>
      </w:r>
      <w:r>
        <w:rPr>
          <w:rFonts w:ascii="Calibri" w:hAnsi="Calibri"/>
          <w:color w:val="333333"/>
          <w:sz w:val="22"/>
        </w:rPr>
        <w:t>Evaluate customer spend tiers, test the Pareto principle, calculate return loss rates, and synthesize data-backed operational recommendations.</w:t>
      </w:r>
    </w:p>
    <w:p>
      <w:pPr>
        <w:keepNext/>
        <w:spacing w:before="280" w:after="120"/>
        <w:jc w:val="left"/>
      </w:pPr>
      <w:r>
        <w:rPr>
          <w:rFonts w:ascii="Calibri" w:hAnsi="Calibri"/>
          <w:b/>
          <w:color w:val="1F4E79"/>
          <w:sz w:val="36"/>
        </w:rPr>
        <w:t>4. Dataset Description &amp; Technical Architecture</w:t>
      </w:r>
    </w:p>
    <w:p>
      <w:pPr>
        <w:spacing w:before="0" w:after="100" w:line="276" w:lineRule="auto"/>
      </w:pPr>
      <w:r>
        <w:rPr>
          <w:rFonts w:ascii="Calibri" w:hAnsi="Calibri"/>
          <w:color w:val="333333"/>
          <w:sz w:val="22"/>
        </w:rPr>
        <w:t>The dataset was procured directly from the official UCI Machine Learning Repository (Online Retail Dataset). The data comprises 541,909 raw transactional records spanning December 1, 2010 to December 9, 2011.</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F4E79"/>
            <w:tcMar>
              <w:top w:w="100" w:type="dxa"/>
              <w:bottom w:w="100" w:type="dxa"/>
              <w:left w:w="120" w:type="dxa"/>
              <w:right w:w="120" w:type="dxa"/>
            </w:tcMar>
          </w:tcPr>
          <w:p>
            <w:pPr>
              <w:jc w:val="left"/>
            </w:pPr>
            <w:r>
              <w:rPr>
                <w:rFonts w:ascii="Calibri" w:hAnsi="Calibri"/>
                <w:b/>
                <w:color w:val="FFFFFF"/>
                <w:sz w:val="20"/>
              </w:rPr>
              <w:t>Attribute</w:t>
            </w:r>
          </w:p>
        </w:tc>
        <w:tc>
          <w:tcPr>
            <w:tcW w:type="dxa" w:w="1584"/>
            <w:shd w:fill="1F4E79"/>
            <w:tcMar>
              <w:top w:w="100" w:type="dxa"/>
              <w:bottom w:w="100" w:type="dxa"/>
              <w:left w:w="120" w:type="dxa"/>
              <w:right w:w="120" w:type="dxa"/>
            </w:tcMar>
          </w:tcPr>
          <w:p>
            <w:pPr>
              <w:jc w:val="left"/>
            </w:pPr>
            <w:r>
              <w:rPr>
                <w:rFonts w:ascii="Calibri" w:hAnsi="Calibri"/>
                <w:b/>
                <w:color w:val="FFFFFF"/>
                <w:sz w:val="20"/>
              </w:rPr>
              <w:t>Data Type</w:t>
            </w:r>
          </w:p>
        </w:tc>
        <w:tc>
          <w:tcPr>
            <w:tcW w:type="dxa" w:w="1296"/>
            <w:shd w:fill="1F4E79"/>
            <w:tcMar>
              <w:top w:w="100" w:type="dxa"/>
              <w:bottom w:w="100" w:type="dxa"/>
              <w:left w:w="120" w:type="dxa"/>
              <w:right w:w="120" w:type="dxa"/>
            </w:tcMar>
          </w:tcPr>
          <w:p>
            <w:pPr>
              <w:jc w:val="right"/>
            </w:pPr>
            <w:r>
              <w:rPr>
                <w:rFonts w:ascii="Calibri" w:hAnsi="Calibri"/>
                <w:b/>
                <w:color w:val="FFFFFF"/>
                <w:sz w:val="20"/>
              </w:rPr>
              <w:t>Missing Count</w:t>
            </w:r>
          </w:p>
        </w:tc>
        <w:tc>
          <w:tcPr>
            <w:tcW w:type="dxa" w:w="1152"/>
            <w:shd w:fill="1F4E79"/>
            <w:tcMar>
              <w:top w:w="100" w:type="dxa"/>
              <w:bottom w:w="100" w:type="dxa"/>
              <w:left w:w="120" w:type="dxa"/>
              <w:right w:w="120" w:type="dxa"/>
            </w:tcMar>
          </w:tcPr>
          <w:p>
            <w:pPr>
              <w:jc w:val="right"/>
            </w:pPr>
            <w:r>
              <w:rPr>
                <w:rFonts w:ascii="Calibri" w:hAnsi="Calibri"/>
                <w:b/>
                <w:color w:val="FFFFFF"/>
                <w:sz w:val="20"/>
              </w:rPr>
              <w:t>Missing %</w:t>
            </w:r>
          </w:p>
        </w:tc>
        <w:tc>
          <w:tcPr>
            <w:tcW w:type="dxa" w:w="3744"/>
            <w:shd w:fill="1F4E79"/>
            <w:tcMar>
              <w:top w:w="100" w:type="dxa"/>
              <w:bottom w:w="100" w:type="dxa"/>
              <w:left w:w="120" w:type="dxa"/>
              <w:right w:w="120" w:type="dxa"/>
            </w:tcMar>
          </w:tcPr>
          <w:p>
            <w:pPr>
              <w:jc w:val="left"/>
            </w:pPr>
            <w:r>
              <w:rPr>
                <w:rFonts w:ascii="Calibri" w:hAnsi="Calibri"/>
                <w:b/>
                <w:color w:val="FFFFFF"/>
                <w:sz w:val="20"/>
              </w:rPr>
              <w:t>Description / Analytical Role</w:t>
            </w:r>
          </w:p>
        </w:tc>
      </w:tr>
      <w:tr>
        <w:tc>
          <w:tcPr>
            <w:tcW w:type="dxa" w:w="1584"/>
            <w:shd w:fill="FFFFFF"/>
            <w:tcMar>
              <w:top w:w="80" w:type="dxa"/>
              <w:bottom w:w="80" w:type="dxa"/>
              <w:left w:w="120" w:type="dxa"/>
              <w:right w:w="120" w:type="dxa"/>
            </w:tcMar>
          </w:tcPr>
          <w:p>
            <w:pPr>
              <w:jc w:val="left"/>
            </w:pPr>
            <w:r>
              <w:rPr>
                <w:rFonts w:ascii="Calibri" w:hAnsi="Calibri"/>
                <w:color w:val="333333"/>
                <w:sz w:val="19"/>
              </w:rPr>
              <w:t>InvoiceNo</w:t>
            </w:r>
          </w:p>
        </w:tc>
        <w:tc>
          <w:tcPr>
            <w:tcW w:type="dxa" w:w="1584"/>
            <w:shd w:fill="FFFFFF"/>
            <w:tcMar>
              <w:top w:w="80" w:type="dxa"/>
              <w:bottom w:w="80" w:type="dxa"/>
              <w:left w:w="120" w:type="dxa"/>
              <w:right w:w="120" w:type="dxa"/>
            </w:tcMar>
          </w:tcPr>
          <w:p>
            <w:pPr>
              <w:jc w:val="left"/>
            </w:pPr>
            <w:r>
              <w:rPr>
                <w:rFonts w:ascii="Calibri" w:hAnsi="Calibri"/>
                <w:color w:val="333333"/>
                <w:sz w:val="19"/>
              </w:rPr>
              <w:t>String (Nominal)</w:t>
            </w:r>
          </w:p>
        </w:tc>
        <w:tc>
          <w:tcPr>
            <w:tcW w:type="dxa" w:w="1296"/>
            <w:shd w:fill="FFFFFF"/>
            <w:tcMar>
              <w:top w:w="80" w:type="dxa"/>
              <w:bottom w:w="80" w:type="dxa"/>
              <w:left w:w="120" w:type="dxa"/>
              <w:right w:w="120" w:type="dxa"/>
            </w:tcMar>
          </w:tcPr>
          <w:p>
            <w:pPr>
              <w:jc w:val="right"/>
            </w:pPr>
            <w:r>
              <w:rPr>
                <w:rFonts w:ascii="Calibri" w:hAnsi="Calibri"/>
                <w:color w:val="333333"/>
                <w:sz w:val="19"/>
              </w:rPr>
              <w:t>0</w:t>
            </w:r>
          </w:p>
        </w:tc>
        <w:tc>
          <w:tcPr>
            <w:tcW w:type="dxa" w:w="1152"/>
            <w:shd w:fill="FFFFFF"/>
            <w:tcMar>
              <w:top w:w="80" w:type="dxa"/>
              <w:bottom w:w="80" w:type="dxa"/>
              <w:left w:w="120" w:type="dxa"/>
              <w:right w:w="120" w:type="dxa"/>
            </w:tcMar>
          </w:tcPr>
          <w:p>
            <w:pPr>
              <w:jc w:val="right"/>
            </w:pPr>
            <w:r>
              <w:rPr>
                <w:rFonts w:ascii="Calibri" w:hAnsi="Calibri"/>
                <w:color w:val="333333"/>
                <w:sz w:val="19"/>
              </w:rPr>
              <w:t>0.00%</w:t>
            </w:r>
          </w:p>
        </w:tc>
        <w:tc>
          <w:tcPr>
            <w:tcW w:type="dxa" w:w="3744"/>
            <w:shd w:fill="FFFFFF"/>
            <w:tcMar>
              <w:top w:w="80" w:type="dxa"/>
              <w:bottom w:w="80" w:type="dxa"/>
              <w:left w:w="120" w:type="dxa"/>
              <w:right w:w="120" w:type="dxa"/>
            </w:tcMar>
          </w:tcPr>
          <w:p>
            <w:pPr>
              <w:jc w:val="left"/>
            </w:pPr>
            <w:r>
              <w:rPr>
                <w:rFonts w:ascii="Calibri" w:hAnsi="Calibri"/>
                <w:color w:val="333333"/>
                <w:sz w:val="19"/>
              </w:rPr>
              <w:t>Unique 6-digit transaction ID. Codes prefixed with 'C' denote cancellations.</w:t>
            </w:r>
          </w:p>
        </w:tc>
      </w:tr>
      <w:tr>
        <w:tc>
          <w:tcPr>
            <w:tcW w:type="dxa" w:w="1584"/>
            <w:shd w:fill="F9FAFB"/>
            <w:tcMar>
              <w:top w:w="80" w:type="dxa"/>
              <w:bottom w:w="80" w:type="dxa"/>
              <w:left w:w="120" w:type="dxa"/>
              <w:right w:w="120" w:type="dxa"/>
            </w:tcMar>
          </w:tcPr>
          <w:p>
            <w:pPr>
              <w:jc w:val="left"/>
            </w:pPr>
            <w:r>
              <w:rPr>
                <w:rFonts w:ascii="Calibri" w:hAnsi="Calibri"/>
                <w:color w:val="333333"/>
                <w:sz w:val="19"/>
              </w:rPr>
              <w:t>StockCode</w:t>
            </w:r>
          </w:p>
        </w:tc>
        <w:tc>
          <w:tcPr>
            <w:tcW w:type="dxa" w:w="1584"/>
            <w:shd w:fill="F9FAFB"/>
            <w:tcMar>
              <w:top w:w="80" w:type="dxa"/>
              <w:bottom w:w="80" w:type="dxa"/>
              <w:left w:w="120" w:type="dxa"/>
              <w:right w:w="120" w:type="dxa"/>
            </w:tcMar>
          </w:tcPr>
          <w:p>
            <w:pPr>
              <w:jc w:val="left"/>
            </w:pPr>
            <w:r>
              <w:rPr>
                <w:rFonts w:ascii="Calibri" w:hAnsi="Calibri"/>
                <w:color w:val="333333"/>
                <w:sz w:val="19"/>
              </w:rPr>
              <w:t>String (Nominal)</w:t>
            </w:r>
          </w:p>
        </w:tc>
        <w:tc>
          <w:tcPr>
            <w:tcW w:type="dxa" w:w="1296"/>
            <w:shd w:fill="F9FAFB"/>
            <w:tcMar>
              <w:top w:w="80" w:type="dxa"/>
              <w:bottom w:w="80" w:type="dxa"/>
              <w:left w:w="120" w:type="dxa"/>
              <w:right w:w="120" w:type="dxa"/>
            </w:tcMar>
          </w:tcPr>
          <w:p>
            <w:pPr>
              <w:jc w:val="right"/>
            </w:pPr>
            <w:r>
              <w:rPr>
                <w:rFonts w:ascii="Calibri" w:hAnsi="Calibri"/>
                <w:color w:val="333333"/>
                <w:sz w:val="19"/>
              </w:rPr>
              <w:t>0</w:t>
            </w:r>
          </w:p>
        </w:tc>
        <w:tc>
          <w:tcPr>
            <w:tcW w:type="dxa" w:w="1152"/>
            <w:shd w:fill="F9FAFB"/>
            <w:tcMar>
              <w:top w:w="80" w:type="dxa"/>
              <w:bottom w:w="80" w:type="dxa"/>
              <w:left w:w="120" w:type="dxa"/>
              <w:right w:w="120" w:type="dxa"/>
            </w:tcMar>
          </w:tcPr>
          <w:p>
            <w:pPr>
              <w:jc w:val="right"/>
            </w:pPr>
            <w:r>
              <w:rPr>
                <w:rFonts w:ascii="Calibri" w:hAnsi="Calibri"/>
                <w:color w:val="333333"/>
                <w:sz w:val="19"/>
              </w:rPr>
              <w:t>0.00%</w:t>
            </w:r>
          </w:p>
        </w:tc>
        <w:tc>
          <w:tcPr>
            <w:tcW w:type="dxa" w:w="3744"/>
            <w:shd w:fill="F9FAFB"/>
            <w:tcMar>
              <w:top w:w="80" w:type="dxa"/>
              <w:bottom w:w="80" w:type="dxa"/>
              <w:left w:w="120" w:type="dxa"/>
              <w:right w:w="120" w:type="dxa"/>
            </w:tcMar>
          </w:tcPr>
          <w:p>
            <w:pPr>
              <w:jc w:val="left"/>
            </w:pPr>
            <w:r>
              <w:rPr>
                <w:rFonts w:ascii="Calibri" w:hAnsi="Calibri"/>
                <w:color w:val="333333"/>
                <w:sz w:val="19"/>
              </w:rPr>
              <w:t>Distinct 5-digit or alphanumeric merchandise identifier.</w:t>
            </w:r>
          </w:p>
        </w:tc>
      </w:tr>
      <w:tr>
        <w:tc>
          <w:tcPr>
            <w:tcW w:type="dxa" w:w="1584"/>
            <w:shd w:fill="FFFFFF"/>
            <w:tcMar>
              <w:top w:w="80" w:type="dxa"/>
              <w:bottom w:w="80" w:type="dxa"/>
              <w:left w:w="120" w:type="dxa"/>
              <w:right w:w="120" w:type="dxa"/>
            </w:tcMar>
          </w:tcPr>
          <w:p>
            <w:pPr>
              <w:jc w:val="left"/>
            </w:pPr>
            <w:r>
              <w:rPr>
                <w:rFonts w:ascii="Calibri" w:hAnsi="Calibri"/>
                <w:color w:val="333333"/>
                <w:sz w:val="19"/>
              </w:rPr>
              <w:t>Description</w:t>
            </w:r>
          </w:p>
        </w:tc>
        <w:tc>
          <w:tcPr>
            <w:tcW w:type="dxa" w:w="1584"/>
            <w:shd w:fill="FFFFFF"/>
            <w:tcMar>
              <w:top w:w="80" w:type="dxa"/>
              <w:bottom w:w="80" w:type="dxa"/>
              <w:left w:w="120" w:type="dxa"/>
              <w:right w:w="120" w:type="dxa"/>
            </w:tcMar>
          </w:tcPr>
          <w:p>
            <w:pPr>
              <w:jc w:val="left"/>
            </w:pPr>
            <w:r>
              <w:rPr>
                <w:rFonts w:ascii="Calibri" w:hAnsi="Calibri"/>
                <w:color w:val="333333"/>
                <w:sz w:val="19"/>
              </w:rPr>
              <w:t>String (Nominal)</w:t>
            </w:r>
          </w:p>
        </w:tc>
        <w:tc>
          <w:tcPr>
            <w:tcW w:type="dxa" w:w="1296"/>
            <w:shd w:fill="FFFFFF"/>
            <w:tcMar>
              <w:top w:w="80" w:type="dxa"/>
              <w:bottom w:w="80" w:type="dxa"/>
              <w:left w:w="120" w:type="dxa"/>
              <w:right w:w="120" w:type="dxa"/>
            </w:tcMar>
          </w:tcPr>
          <w:p>
            <w:pPr>
              <w:jc w:val="right"/>
            </w:pPr>
            <w:r>
              <w:rPr>
                <w:rFonts w:ascii="Calibri" w:hAnsi="Calibri"/>
                <w:color w:val="333333"/>
                <w:sz w:val="19"/>
              </w:rPr>
              <w:t>1,454</w:t>
            </w:r>
          </w:p>
        </w:tc>
        <w:tc>
          <w:tcPr>
            <w:tcW w:type="dxa" w:w="1152"/>
            <w:shd w:fill="FFFFFF"/>
            <w:tcMar>
              <w:top w:w="80" w:type="dxa"/>
              <w:bottom w:w="80" w:type="dxa"/>
              <w:left w:w="120" w:type="dxa"/>
              <w:right w:w="120" w:type="dxa"/>
            </w:tcMar>
          </w:tcPr>
          <w:p>
            <w:pPr>
              <w:jc w:val="right"/>
            </w:pPr>
            <w:r>
              <w:rPr>
                <w:rFonts w:ascii="Calibri" w:hAnsi="Calibri"/>
                <w:color w:val="333333"/>
                <w:sz w:val="19"/>
              </w:rPr>
              <w:t>0.27%</w:t>
            </w:r>
          </w:p>
        </w:tc>
        <w:tc>
          <w:tcPr>
            <w:tcW w:type="dxa" w:w="3744"/>
            <w:shd w:fill="FFFFFF"/>
            <w:tcMar>
              <w:top w:w="80" w:type="dxa"/>
              <w:bottom w:w="80" w:type="dxa"/>
              <w:left w:w="120" w:type="dxa"/>
              <w:right w:w="120" w:type="dxa"/>
            </w:tcMar>
          </w:tcPr>
          <w:p>
            <w:pPr>
              <w:jc w:val="left"/>
            </w:pPr>
            <w:r>
              <w:rPr>
                <w:rFonts w:ascii="Calibri" w:hAnsi="Calibri"/>
                <w:color w:val="333333"/>
                <w:sz w:val="19"/>
              </w:rPr>
              <w:t>Commercial product name or merchandise description.</w:t>
            </w:r>
          </w:p>
        </w:tc>
      </w:tr>
      <w:tr>
        <w:tc>
          <w:tcPr>
            <w:tcW w:type="dxa" w:w="1584"/>
            <w:shd w:fill="F9FAFB"/>
            <w:tcMar>
              <w:top w:w="80" w:type="dxa"/>
              <w:bottom w:w="80" w:type="dxa"/>
              <w:left w:w="120" w:type="dxa"/>
              <w:right w:w="120" w:type="dxa"/>
            </w:tcMar>
          </w:tcPr>
          <w:p>
            <w:pPr>
              <w:jc w:val="left"/>
            </w:pPr>
            <w:r>
              <w:rPr>
                <w:rFonts w:ascii="Calibri" w:hAnsi="Calibri"/>
                <w:color w:val="333333"/>
                <w:sz w:val="19"/>
              </w:rPr>
              <w:t>Quantity</w:t>
            </w:r>
          </w:p>
        </w:tc>
        <w:tc>
          <w:tcPr>
            <w:tcW w:type="dxa" w:w="1584"/>
            <w:shd w:fill="F9FAFB"/>
            <w:tcMar>
              <w:top w:w="80" w:type="dxa"/>
              <w:bottom w:w="80" w:type="dxa"/>
              <w:left w:w="120" w:type="dxa"/>
              <w:right w:w="120" w:type="dxa"/>
            </w:tcMar>
          </w:tcPr>
          <w:p>
            <w:pPr>
              <w:jc w:val="left"/>
            </w:pPr>
            <w:r>
              <w:rPr>
                <w:rFonts w:ascii="Calibri" w:hAnsi="Calibri"/>
                <w:color w:val="333333"/>
                <w:sz w:val="19"/>
              </w:rPr>
              <w:t>Integer (Numeric)</w:t>
            </w:r>
          </w:p>
        </w:tc>
        <w:tc>
          <w:tcPr>
            <w:tcW w:type="dxa" w:w="1296"/>
            <w:shd w:fill="F9FAFB"/>
            <w:tcMar>
              <w:top w:w="80" w:type="dxa"/>
              <w:bottom w:w="80" w:type="dxa"/>
              <w:left w:w="120" w:type="dxa"/>
              <w:right w:w="120" w:type="dxa"/>
            </w:tcMar>
          </w:tcPr>
          <w:p>
            <w:pPr>
              <w:jc w:val="right"/>
            </w:pPr>
            <w:r>
              <w:rPr>
                <w:rFonts w:ascii="Calibri" w:hAnsi="Calibri"/>
                <w:color w:val="333333"/>
                <w:sz w:val="19"/>
              </w:rPr>
              <w:t>0</w:t>
            </w:r>
          </w:p>
        </w:tc>
        <w:tc>
          <w:tcPr>
            <w:tcW w:type="dxa" w:w="1152"/>
            <w:shd w:fill="F9FAFB"/>
            <w:tcMar>
              <w:top w:w="80" w:type="dxa"/>
              <w:bottom w:w="80" w:type="dxa"/>
              <w:left w:w="120" w:type="dxa"/>
              <w:right w:w="120" w:type="dxa"/>
            </w:tcMar>
          </w:tcPr>
          <w:p>
            <w:pPr>
              <w:jc w:val="right"/>
            </w:pPr>
            <w:r>
              <w:rPr>
                <w:rFonts w:ascii="Calibri" w:hAnsi="Calibri"/>
                <w:color w:val="333333"/>
                <w:sz w:val="19"/>
              </w:rPr>
              <w:t>0.00%</w:t>
            </w:r>
          </w:p>
        </w:tc>
        <w:tc>
          <w:tcPr>
            <w:tcW w:type="dxa" w:w="3744"/>
            <w:shd w:fill="F9FAFB"/>
            <w:tcMar>
              <w:top w:w="80" w:type="dxa"/>
              <w:bottom w:w="80" w:type="dxa"/>
              <w:left w:w="120" w:type="dxa"/>
              <w:right w:w="120" w:type="dxa"/>
            </w:tcMar>
          </w:tcPr>
          <w:p>
            <w:pPr>
              <w:jc w:val="left"/>
            </w:pPr>
            <w:r>
              <w:rPr>
                <w:rFonts w:ascii="Calibri" w:hAnsi="Calibri"/>
                <w:color w:val="333333"/>
                <w:sz w:val="19"/>
              </w:rPr>
              <w:t>Item units per transaction line. Negative values indicate cancellations/adjustments.</w:t>
            </w:r>
          </w:p>
        </w:tc>
      </w:tr>
      <w:tr>
        <w:tc>
          <w:tcPr>
            <w:tcW w:type="dxa" w:w="1584"/>
            <w:shd w:fill="FFFFFF"/>
            <w:tcMar>
              <w:top w:w="80" w:type="dxa"/>
              <w:bottom w:w="80" w:type="dxa"/>
              <w:left w:w="120" w:type="dxa"/>
              <w:right w:w="120" w:type="dxa"/>
            </w:tcMar>
          </w:tcPr>
          <w:p>
            <w:pPr>
              <w:jc w:val="left"/>
            </w:pPr>
            <w:r>
              <w:rPr>
                <w:rFonts w:ascii="Calibri" w:hAnsi="Calibri"/>
                <w:color w:val="333333"/>
                <w:sz w:val="19"/>
              </w:rPr>
              <w:t>InvoiceDate</w:t>
            </w:r>
          </w:p>
        </w:tc>
        <w:tc>
          <w:tcPr>
            <w:tcW w:type="dxa" w:w="1584"/>
            <w:shd w:fill="FFFFFF"/>
            <w:tcMar>
              <w:top w:w="80" w:type="dxa"/>
              <w:bottom w:w="80" w:type="dxa"/>
              <w:left w:w="120" w:type="dxa"/>
              <w:right w:w="120" w:type="dxa"/>
            </w:tcMar>
          </w:tcPr>
          <w:p>
            <w:pPr>
              <w:jc w:val="left"/>
            </w:pPr>
            <w:r>
              <w:rPr>
                <w:rFonts w:ascii="Calibri" w:hAnsi="Calibri"/>
                <w:color w:val="333333"/>
                <w:sz w:val="19"/>
              </w:rPr>
              <w:t>Datetime</w:t>
            </w:r>
          </w:p>
        </w:tc>
        <w:tc>
          <w:tcPr>
            <w:tcW w:type="dxa" w:w="1296"/>
            <w:shd w:fill="FFFFFF"/>
            <w:tcMar>
              <w:top w:w="80" w:type="dxa"/>
              <w:bottom w:w="80" w:type="dxa"/>
              <w:left w:w="120" w:type="dxa"/>
              <w:right w:w="120" w:type="dxa"/>
            </w:tcMar>
          </w:tcPr>
          <w:p>
            <w:pPr>
              <w:jc w:val="right"/>
            </w:pPr>
            <w:r>
              <w:rPr>
                <w:rFonts w:ascii="Calibri" w:hAnsi="Calibri"/>
                <w:color w:val="333333"/>
                <w:sz w:val="19"/>
              </w:rPr>
              <w:t>0</w:t>
            </w:r>
          </w:p>
        </w:tc>
        <w:tc>
          <w:tcPr>
            <w:tcW w:type="dxa" w:w="1152"/>
            <w:shd w:fill="FFFFFF"/>
            <w:tcMar>
              <w:top w:w="80" w:type="dxa"/>
              <w:bottom w:w="80" w:type="dxa"/>
              <w:left w:w="120" w:type="dxa"/>
              <w:right w:w="120" w:type="dxa"/>
            </w:tcMar>
          </w:tcPr>
          <w:p>
            <w:pPr>
              <w:jc w:val="right"/>
            </w:pPr>
            <w:r>
              <w:rPr>
                <w:rFonts w:ascii="Calibri" w:hAnsi="Calibri"/>
                <w:color w:val="333333"/>
                <w:sz w:val="19"/>
              </w:rPr>
              <w:t>0.00%</w:t>
            </w:r>
          </w:p>
        </w:tc>
        <w:tc>
          <w:tcPr>
            <w:tcW w:type="dxa" w:w="3744"/>
            <w:shd w:fill="FFFFFF"/>
            <w:tcMar>
              <w:top w:w="80" w:type="dxa"/>
              <w:bottom w:w="80" w:type="dxa"/>
              <w:left w:w="120" w:type="dxa"/>
              <w:right w:w="120" w:type="dxa"/>
            </w:tcMar>
          </w:tcPr>
          <w:p>
            <w:pPr>
              <w:jc w:val="left"/>
            </w:pPr>
            <w:r>
              <w:rPr>
                <w:rFonts w:ascii="Calibri" w:hAnsi="Calibri"/>
                <w:color w:val="333333"/>
                <w:sz w:val="19"/>
              </w:rPr>
              <w:t>Exact timestamp of invoice generation (date, hour, minute).</w:t>
            </w:r>
          </w:p>
        </w:tc>
      </w:tr>
      <w:tr>
        <w:tc>
          <w:tcPr>
            <w:tcW w:type="dxa" w:w="1584"/>
            <w:shd w:fill="F9FAFB"/>
            <w:tcMar>
              <w:top w:w="80" w:type="dxa"/>
              <w:bottom w:w="80" w:type="dxa"/>
              <w:left w:w="120" w:type="dxa"/>
              <w:right w:w="120" w:type="dxa"/>
            </w:tcMar>
          </w:tcPr>
          <w:p>
            <w:pPr>
              <w:jc w:val="left"/>
            </w:pPr>
            <w:r>
              <w:rPr>
                <w:rFonts w:ascii="Calibri" w:hAnsi="Calibri"/>
                <w:color w:val="333333"/>
                <w:sz w:val="19"/>
              </w:rPr>
              <w:t>UnitPrice</w:t>
            </w:r>
          </w:p>
        </w:tc>
        <w:tc>
          <w:tcPr>
            <w:tcW w:type="dxa" w:w="1584"/>
            <w:shd w:fill="F9FAFB"/>
            <w:tcMar>
              <w:top w:w="80" w:type="dxa"/>
              <w:bottom w:w="80" w:type="dxa"/>
              <w:left w:w="120" w:type="dxa"/>
              <w:right w:w="120" w:type="dxa"/>
            </w:tcMar>
          </w:tcPr>
          <w:p>
            <w:pPr>
              <w:jc w:val="left"/>
            </w:pPr>
            <w:r>
              <w:rPr>
                <w:rFonts w:ascii="Calibri" w:hAnsi="Calibri"/>
                <w:color w:val="333333"/>
                <w:sz w:val="19"/>
              </w:rPr>
              <w:t>Float (Numeric)</w:t>
            </w:r>
          </w:p>
        </w:tc>
        <w:tc>
          <w:tcPr>
            <w:tcW w:type="dxa" w:w="1296"/>
            <w:shd w:fill="F9FAFB"/>
            <w:tcMar>
              <w:top w:w="80" w:type="dxa"/>
              <w:bottom w:w="80" w:type="dxa"/>
              <w:left w:w="120" w:type="dxa"/>
              <w:right w:w="120" w:type="dxa"/>
            </w:tcMar>
          </w:tcPr>
          <w:p>
            <w:pPr>
              <w:jc w:val="right"/>
            </w:pPr>
            <w:r>
              <w:rPr>
                <w:rFonts w:ascii="Calibri" w:hAnsi="Calibri"/>
                <w:color w:val="333333"/>
                <w:sz w:val="19"/>
              </w:rPr>
              <w:t>0</w:t>
            </w:r>
          </w:p>
        </w:tc>
        <w:tc>
          <w:tcPr>
            <w:tcW w:type="dxa" w:w="1152"/>
            <w:shd w:fill="F9FAFB"/>
            <w:tcMar>
              <w:top w:w="80" w:type="dxa"/>
              <w:bottom w:w="80" w:type="dxa"/>
              <w:left w:w="120" w:type="dxa"/>
              <w:right w:w="120" w:type="dxa"/>
            </w:tcMar>
          </w:tcPr>
          <w:p>
            <w:pPr>
              <w:jc w:val="right"/>
            </w:pPr>
            <w:r>
              <w:rPr>
                <w:rFonts w:ascii="Calibri" w:hAnsi="Calibri"/>
                <w:color w:val="333333"/>
                <w:sz w:val="19"/>
              </w:rPr>
              <w:t>0.00%</w:t>
            </w:r>
          </w:p>
        </w:tc>
        <w:tc>
          <w:tcPr>
            <w:tcW w:type="dxa" w:w="3744"/>
            <w:shd w:fill="F9FAFB"/>
            <w:tcMar>
              <w:top w:w="80" w:type="dxa"/>
              <w:bottom w:w="80" w:type="dxa"/>
              <w:left w:w="120" w:type="dxa"/>
              <w:right w:w="120" w:type="dxa"/>
            </w:tcMar>
          </w:tcPr>
          <w:p>
            <w:pPr>
              <w:jc w:val="left"/>
            </w:pPr>
            <w:r>
              <w:rPr>
                <w:rFonts w:ascii="Calibri" w:hAnsi="Calibri"/>
                <w:color w:val="333333"/>
                <w:sz w:val="19"/>
              </w:rPr>
              <w:t>Product unit price in British Pounds (£ Sterling). Zero/negative values reflect adjustments.</w:t>
            </w:r>
          </w:p>
        </w:tc>
      </w:tr>
      <w:tr>
        <w:tc>
          <w:tcPr>
            <w:tcW w:type="dxa" w:w="1584"/>
            <w:shd w:fill="FFFFFF"/>
            <w:tcMar>
              <w:top w:w="80" w:type="dxa"/>
              <w:bottom w:w="80" w:type="dxa"/>
              <w:left w:w="120" w:type="dxa"/>
              <w:right w:w="120" w:type="dxa"/>
            </w:tcMar>
          </w:tcPr>
          <w:p>
            <w:pPr>
              <w:jc w:val="left"/>
            </w:pPr>
            <w:r>
              <w:rPr>
                <w:rFonts w:ascii="Calibri" w:hAnsi="Calibri"/>
                <w:color w:val="333333"/>
                <w:sz w:val="19"/>
              </w:rPr>
              <w:t>CustomerID</w:t>
            </w:r>
          </w:p>
        </w:tc>
        <w:tc>
          <w:tcPr>
            <w:tcW w:type="dxa" w:w="1584"/>
            <w:shd w:fill="FFFFFF"/>
            <w:tcMar>
              <w:top w:w="80" w:type="dxa"/>
              <w:bottom w:w="80" w:type="dxa"/>
              <w:left w:w="120" w:type="dxa"/>
              <w:right w:w="120" w:type="dxa"/>
            </w:tcMar>
          </w:tcPr>
          <w:p>
            <w:pPr>
              <w:jc w:val="left"/>
            </w:pPr>
            <w:r>
              <w:rPr>
                <w:rFonts w:ascii="Calibri" w:hAnsi="Calibri"/>
                <w:color w:val="333333"/>
                <w:sz w:val="19"/>
              </w:rPr>
              <w:t>Float (Nominal)</w:t>
            </w:r>
          </w:p>
        </w:tc>
        <w:tc>
          <w:tcPr>
            <w:tcW w:type="dxa" w:w="1296"/>
            <w:shd w:fill="FFFFFF"/>
            <w:tcMar>
              <w:top w:w="80" w:type="dxa"/>
              <w:bottom w:w="80" w:type="dxa"/>
              <w:left w:w="120" w:type="dxa"/>
              <w:right w:w="120" w:type="dxa"/>
            </w:tcMar>
          </w:tcPr>
          <w:p>
            <w:pPr>
              <w:jc w:val="right"/>
            </w:pPr>
            <w:r>
              <w:rPr>
                <w:rFonts w:ascii="Calibri" w:hAnsi="Calibri"/>
                <w:color w:val="333333"/>
                <w:sz w:val="19"/>
              </w:rPr>
              <w:t>135,080</w:t>
            </w:r>
          </w:p>
        </w:tc>
        <w:tc>
          <w:tcPr>
            <w:tcW w:type="dxa" w:w="1152"/>
            <w:shd w:fill="FFFFFF"/>
            <w:tcMar>
              <w:top w:w="80" w:type="dxa"/>
              <w:bottom w:w="80" w:type="dxa"/>
              <w:left w:w="120" w:type="dxa"/>
              <w:right w:w="120" w:type="dxa"/>
            </w:tcMar>
          </w:tcPr>
          <w:p>
            <w:pPr>
              <w:jc w:val="right"/>
            </w:pPr>
            <w:r>
              <w:rPr>
                <w:rFonts w:ascii="Calibri" w:hAnsi="Calibri"/>
                <w:color w:val="333333"/>
                <w:sz w:val="19"/>
              </w:rPr>
              <w:t>24.93%</w:t>
            </w:r>
          </w:p>
        </w:tc>
        <w:tc>
          <w:tcPr>
            <w:tcW w:type="dxa" w:w="3744"/>
            <w:shd w:fill="FFFFFF"/>
            <w:tcMar>
              <w:top w:w="80" w:type="dxa"/>
              <w:bottom w:w="80" w:type="dxa"/>
              <w:left w:w="120" w:type="dxa"/>
              <w:right w:w="120" w:type="dxa"/>
            </w:tcMar>
          </w:tcPr>
          <w:p>
            <w:pPr>
              <w:jc w:val="left"/>
            </w:pPr>
            <w:r>
              <w:rPr>
                <w:rFonts w:ascii="Calibri" w:hAnsi="Calibri"/>
                <w:color w:val="333333"/>
                <w:sz w:val="19"/>
              </w:rPr>
              <w:t>Unique 5-digit identifier assigned to registered customer accounts.</w:t>
            </w:r>
          </w:p>
        </w:tc>
      </w:tr>
      <w:tr>
        <w:tc>
          <w:tcPr>
            <w:tcW w:type="dxa" w:w="1584"/>
            <w:shd w:fill="F9FAFB"/>
            <w:tcMar>
              <w:top w:w="80" w:type="dxa"/>
              <w:bottom w:w="80" w:type="dxa"/>
              <w:left w:w="120" w:type="dxa"/>
              <w:right w:w="120" w:type="dxa"/>
            </w:tcMar>
          </w:tcPr>
          <w:p>
            <w:pPr>
              <w:jc w:val="left"/>
            </w:pPr>
            <w:r>
              <w:rPr>
                <w:rFonts w:ascii="Calibri" w:hAnsi="Calibri"/>
                <w:color w:val="333333"/>
                <w:sz w:val="19"/>
              </w:rPr>
              <w:t>Country</w:t>
            </w:r>
          </w:p>
        </w:tc>
        <w:tc>
          <w:tcPr>
            <w:tcW w:type="dxa" w:w="1584"/>
            <w:shd w:fill="F9FAFB"/>
            <w:tcMar>
              <w:top w:w="80" w:type="dxa"/>
              <w:bottom w:w="80" w:type="dxa"/>
              <w:left w:w="120" w:type="dxa"/>
              <w:right w:w="120" w:type="dxa"/>
            </w:tcMar>
          </w:tcPr>
          <w:p>
            <w:pPr>
              <w:jc w:val="left"/>
            </w:pPr>
            <w:r>
              <w:rPr>
                <w:rFonts w:ascii="Calibri" w:hAnsi="Calibri"/>
                <w:color w:val="333333"/>
                <w:sz w:val="19"/>
              </w:rPr>
              <w:t>String (Nominal)</w:t>
            </w:r>
          </w:p>
        </w:tc>
        <w:tc>
          <w:tcPr>
            <w:tcW w:type="dxa" w:w="1296"/>
            <w:shd w:fill="F9FAFB"/>
            <w:tcMar>
              <w:top w:w="80" w:type="dxa"/>
              <w:bottom w:w="80" w:type="dxa"/>
              <w:left w:w="120" w:type="dxa"/>
              <w:right w:w="120" w:type="dxa"/>
            </w:tcMar>
          </w:tcPr>
          <w:p>
            <w:pPr>
              <w:jc w:val="right"/>
            </w:pPr>
            <w:r>
              <w:rPr>
                <w:rFonts w:ascii="Calibri" w:hAnsi="Calibri"/>
                <w:color w:val="333333"/>
                <w:sz w:val="19"/>
              </w:rPr>
              <w:t>0</w:t>
            </w:r>
          </w:p>
        </w:tc>
        <w:tc>
          <w:tcPr>
            <w:tcW w:type="dxa" w:w="1152"/>
            <w:shd w:fill="F9FAFB"/>
            <w:tcMar>
              <w:top w:w="80" w:type="dxa"/>
              <w:bottom w:w="80" w:type="dxa"/>
              <w:left w:w="120" w:type="dxa"/>
              <w:right w:w="120" w:type="dxa"/>
            </w:tcMar>
          </w:tcPr>
          <w:p>
            <w:pPr>
              <w:jc w:val="right"/>
            </w:pPr>
            <w:r>
              <w:rPr>
                <w:rFonts w:ascii="Calibri" w:hAnsi="Calibri"/>
                <w:color w:val="333333"/>
                <w:sz w:val="19"/>
              </w:rPr>
              <w:t>0.00%</w:t>
            </w:r>
          </w:p>
        </w:tc>
        <w:tc>
          <w:tcPr>
            <w:tcW w:type="dxa" w:w="3744"/>
            <w:shd w:fill="F9FAFB"/>
            <w:tcMar>
              <w:top w:w="80" w:type="dxa"/>
              <w:bottom w:w="80" w:type="dxa"/>
              <w:left w:w="120" w:type="dxa"/>
              <w:right w:w="120" w:type="dxa"/>
            </w:tcMar>
          </w:tcPr>
          <w:p>
            <w:pPr>
              <w:jc w:val="left"/>
            </w:pPr>
            <w:r>
              <w:rPr>
                <w:rFonts w:ascii="Calibri" w:hAnsi="Calibri"/>
                <w:color w:val="333333"/>
                <w:sz w:val="19"/>
              </w:rPr>
              <w:t>Name of the country where the customer account resides.</w:t>
            </w:r>
          </w:p>
        </w:tc>
      </w:tr>
    </w:tbl>
    <w:p>
      <w:pPr>
        <w:spacing w:after="160"/>
      </w:pPr>
    </w:p>
    <w:p>
      <w:pPr>
        <w:keepNext/>
        <w:spacing w:before="280" w:after="120"/>
        <w:jc w:val="left"/>
      </w:pPr>
      <w:r>
        <w:rPr>
          <w:rFonts w:ascii="Calibri" w:hAnsi="Calibri"/>
          <w:b/>
          <w:color w:val="1F4E79"/>
          <w:sz w:val="36"/>
        </w:rPr>
        <w:t>5. Data Cleansing &amp; Preprocessing Methodology</w:t>
      </w:r>
    </w:p>
    <w:p>
      <w:pPr>
        <w:spacing w:before="0" w:after="100" w:line="276" w:lineRule="auto"/>
      </w:pPr>
      <w:r>
        <w:rPr>
          <w:rFonts w:ascii="Calibri" w:hAnsi="Calibri"/>
          <w:color w:val="333333"/>
          <w:sz w:val="22"/>
        </w:rPr>
        <w:t>A foundational premise of this internship project is that real-world e-commerce data cannot be evaluated blindly. Uncritical deletion of anomalous rows discards valuable business signals, while unverified inclusion corrupts core financial metrics. Accordingly, a structured 5-stage cleaning pipeline was executed:</w:t>
      </w:r>
    </w:p>
    <w:tbl>
      <w:tblPr>
        <w:tblW w:type="auto" w:w="0"/>
        <w:jc w:val="center"/>
        <w:tblLook w:firstColumn="1" w:firstRow="1" w:lastColumn="0" w:lastRow="0" w:noHBand="0" w:noVBand="1" w:val="04A0"/>
      </w:tblPr>
      <w:tblGrid>
        <w:gridCol w:w="2340"/>
        <w:gridCol w:w="2340"/>
        <w:gridCol w:w="2340"/>
        <w:gridCol w:w="2340"/>
      </w:tblGrid>
      <w:tr>
        <w:tc>
          <w:tcPr>
            <w:tcW w:type="dxa" w:w="2016"/>
            <w:shd w:fill="1F4E79"/>
            <w:tcMar>
              <w:top w:w="100" w:type="dxa"/>
              <w:bottom w:w="100" w:type="dxa"/>
              <w:left w:w="120" w:type="dxa"/>
              <w:right w:w="120" w:type="dxa"/>
            </w:tcMar>
          </w:tcPr>
          <w:p>
            <w:pPr>
              <w:jc w:val="left"/>
            </w:pPr>
            <w:r>
              <w:rPr>
                <w:rFonts w:ascii="Calibri" w:hAnsi="Calibri"/>
                <w:b/>
                <w:color w:val="FFFFFF"/>
                <w:sz w:val="20"/>
              </w:rPr>
              <w:t>Data Category / Anomaly</w:t>
            </w:r>
          </w:p>
        </w:tc>
        <w:tc>
          <w:tcPr>
            <w:tcW w:type="dxa" w:w="1584"/>
            <w:shd w:fill="1F4E79"/>
            <w:tcMar>
              <w:top w:w="100" w:type="dxa"/>
              <w:bottom w:w="100" w:type="dxa"/>
              <w:left w:w="120" w:type="dxa"/>
              <w:right w:w="120" w:type="dxa"/>
            </w:tcMar>
          </w:tcPr>
          <w:p>
            <w:pPr>
              <w:jc w:val="right"/>
            </w:pPr>
            <w:r>
              <w:rPr>
                <w:rFonts w:ascii="Calibri" w:hAnsi="Calibri"/>
                <w:b/>
                <w:color w:val="FFFFFF"/>
                <w:sz w:val="20"/>
              </w:rPr>
              <w:t>Raw Volume</w:t>
            </w:r>
          </w:p>
        </w:tc>
        <w:tc>
          <w:tcPr>
            <w:tcW w:type="dxa" w:w="1872"/>
            <w:shd w:fill="1F4E79"/>
            <w:tcMar>
              <w:top w:w="100" w:type="dxa"/>
              <w:bottom w:w="100" w:type="dxa"/>
              <w:left w:w="120" w:type="dxa"/>
              <w:right w:w="120" w:type="dxa"/>
            </w:tcMar>
          </w:tcPr>
          <w:p>
            <w:pPr>
              <w:jc w:val="left"/>
            </w:pPr>
            <w:r>
              <w:rPr>
                <w:rFonts w:ascii="Calibri" w:hAnsi="Calibri"/>
                <w:b/>
                <w:color w:val="FFFFFF"/>
                <w:sz w:val="20"/>
              </w:rPr>
              <w:t>Analytical Decision</w:t>
            </w:r>
          </w:p>
        </w:tc>
        <w:tc>
          <w:tcPr>
            <w:tcW w:type="dxa" w:w="3888"/>
            <w:shd w:fill="1F4E79"/>
            <w:tcMar>
              <w:top w:w="100" w:type="dxa"/>
              <w:bottom w:w="100" w:type="dxa"/>
              <w:left w:w="120" w:type="dxa"/>
              <w:right w:w="120" w:type="dxa"/>
            </w:tcMar>
          </w:tcPr>
          <w:p>
            <w:pPr>
              <w:jc w:val="left"/>
            </w:pPr>
            <w:r>
              <w:rPr>
                <w:rFonts w:ascii="Calibri" w:hAnsi="Calibri"/>
                <w:b/>
                <w:color w:val="FFFFFF"/>
                <w:sz w:val="20"/>
              </w:rPr>
              <w:t>Operational &amp; Statistical Justification</w:t>
            </w:r>
          </w:p>
        </w:tc>
      </w:tr>
      <w:tr>
        <w:tc>
          <w:tcPr>
            <w:tcW w:type="dxa" w:w="2016"/>
            <w:shd w:fill="FFFFFF"/>
            <w:tcMar>
              <w:top w:w="80" w:type="dxa"/>
              <w:bottom w:w="80" w:type="dxa"/>
              <w:left w:w="120" w:type="dxa"/>
              <w:right w:w="120" w:type="dxa"/>
            </w:tcMar>
          </w:tcPr>
          <w:p>
            <w:pPr>
              <w:jc w:val="left"/>
            </w:pPr>
            <w:r>
              <w:rPr>
                <w:rFonts w:ascii="Calibri" w:hAnsi="Calibri"/>
                <w:color w:val="333333"/>
                <w:sz w:val="19"/>
              </w:rPr>
              <w:t>Duplicate Records</w:t>
            </w:r>
          </w:p>
        </w:tc>
        <w:tc>
          <w:tcPr>
            <w:tcW w:type="dxa" w:w="1584"/>
            <w:shd w:fill="FFFFFF"/>
            <w:tcMar>
              <w:top w:w="80" w:type="dxa"/>
              <w:bottom w:w="80" w:type="dxa"/>
              <w:left w:w="120" w:type="dxa"/>
              <w:right w:w="120" w:type="dxa"/>
            </w:tcMar>
          </w:tcPr>
          <w:p>
            <w:pPr>
              <w:jc w:val="right"/>
            </w:pPr>
            <w:r>
              <w:rPr>
                <w:rFonts w:ascii="Calibri" w:hAnsi="Calibri"/>
                <w:color w:val="333333"/>
                <w:sz w:val="19"/>
              </w:rPr>
              <w:t>5,268 rows</w:t>
            </w:r>
          </w:p>
        </w:tc>
        <w:tc>
          <w:tcPr>
            <w:tcW w:type="dxa" w:w="1872"/>
            <w:shd w:fill="FFFFFF"/>
            <w:tcMar>
              <w:top w:w="80" w:type="dxa"/>
              <w:bottom w:w="80" w:type="dxa"/>
              <w:left w:w="120" w:type="dxa"/>
              <w:right w:w="120" w:type="dxa"/>
            </w:tcMar>
          </w:tcPr>
          <w:p>
            <w:pPr>
              <w:jc w:val="left"/>
            </w:pPr>
            <w:r>
              <w:rPr>
                <w:rFonts w:ascii="Calibri" w:hAnsi="Calibri"/>
                <w:color w:val="333333"/>
                <w:sz w:val="19"/>
              </w:rPr>
              <w:t>Removed completely</w:t>
            </w:r>
          </w:p>
        </w:tc>
        <w:tc>
          <w:tcPr>
            <w:tcW w:type="dxa" w:w="3888"/>
            <w:shd w:fill="FFFFFF"/>
            <w:tcMar>
              <w:top w:w="80" w:type="dxa"/>
              <w:bottom w:w="80" w:type="dxa"/>
              <w:left w:w="120" w:type="dxa"/>
              <w:right w:w="120" w:type="dxa"/>
            </w:tcMar>
          </w:tcPr>
          <w:p>
            <w:pPr>
              <w:jc w:val="left"/>
            </w:pPr>
            <w:r>
              <w:rPr>
                <w:rFonts w:ascii="Calibri" w:hAnsi="Calibri"/>
                <w:color w:val="333333"/>
                <w:sz w:val="19"/>
              </w:rPr>
              <w:t>System re-transmissions and duplicate clicks that artificially inflate transaction counts.</w:t>
            </w:r>
          </w:p>
        </w:tc>
      </w:tr>
      <w:tr>
        <w:tc>
          <w:tcPr>
            <w:tcW w:type="dxa" w:w="2016"/>
            <w:shd w:fill="F9FAFB"/>
            <w:tcMar>
              <w:top w:w="80" w:type="dxa"/>
              <w:bottom w:w="80" w:type="dxa"/>
              <w:left w:w="120" w:type="dxa"/>
              <w:right w:w="120" w:type="dxa"/>
            </w:tcMar>
          </w:tcPr>
          <w:p>
            <w:pPr>
              <w:jc w:val="left"/>
            </w:pPr>
            <w:r>
              <w:rPr>
                <w:rFonts w:ascii="Calibri" w:hAnsi="Calibri"/>
                <w:color w:val="333333"/>
                <w:sz w:val="19"/>
              </w:rPr>
              <w:t>Cancelled Transactions ('C')</w:t>
            </w:r>
          </w:p>
        </w:tc>
        <w:tc>
          <w:tcPr>
            <w:tcW w:type="dxa" w:w="1584"/>
            <w:shd w:fill="F9FAFB"/>
            <w:tcMar>
              <w:top w:w="80" w:type="dxa"/>
              <w:bottom w:w="80" w:type="dxa"/>
              <w:left w:w="120" w:type="dxa"/>
              <w:right w:w="120" w:type="dxa"/>
            </w:tcMar>
          </w:tcPr>
          <w:p>
            <w:pPr>
              <w:jc w:val="right"/>
            </w:pPr>
            <w:r>
              <w:rPr>
                <w:rFonts w:ascii="Calibri" w:hAnsi="Calibri"/>
                <w:color w:val="333333"/>
                <w:sz w:val="19"/>
              </w:rPr>
              <w:t>9,288 rows (3,836 invoices)</w:t>
            </w:r>
          </w:p>
        </w:tc>
        <w:tc>
          <w:tcPr>
            <w:tcW w:type="dxa" w:w="1872"/>
            <w:shd w:fill="F9FAFB"/>
            <w:tcMar>
              <w:top w:w="80" w:type="dxa"/>
              <w:bottom w:w="80" w:type="dxa"/>
              <w:left w:w="120" w:type="dxa"/>
              <w:right w:w="120" w:type="dxa"/>
            </w:tcMar>
          </w:tcPr>
          <w:p>
            <w:pPr>
              <w:jc w:val="left"/>
            </w:pPr>
            <w:r>
              <w:rPr>
                <w:rFonts w:ascii="Calibri" w:hAnsi="Calibri"/>
                <w:color w:val="333333"/>
                <w:sz w:val="19"/>
              </w:rPr>
              <w:t>Segregated into df_cancelled</w:t>
            </w:r>
          </w:p>
        </w:tc>
        <w:tc>
          <w:tcPr>
            <w:tcW w:type="dxa" w:w="3888"/>
            <w:shd w:fill="F9FAFB"/>
            <w:tcMar>
              <w:top w:w="80" w:type="dxa"/>
              <w:bottom w:w="80" w:type="dxa"/>
              <w:left w:w="120" w:type="dxa"/>
              <w:right w:w="120" w:type="dxa"/>
            </w:tcMar>
          </w:tcPr>
          <w:p>
            <w:pPr>
              <w:jc w:val="left"/>
            </w:pPr>
            <w:r>
              <w:rPr>
                <w:rFonts w:ascii="Calibri" w:hAnsi="Calibri"/>
                <w:color w:val="333333"/>
                <w:sz w:val="19"/>
              </w:rPr>
              <w:t>Separated from sales to prevent negative quantity distortion while enabling dedicated return diagnostics.</w:t>
            </w:r>
          </w:p>
        </w:tc>
      </w:tr>
      <w:tr>
        <w:tc>
          <w:tcPr>
            <w:tcW w:type="dxa" w:w="2016"/>
            <w:shd w:fill="FFFFFF"/>
            <w:tcMar>
              <w:top w:w="80" w:type="dxa"/>
              <w:bottom w:w="80" w:type="dxa"/>
              <w:left w:w="120" w:type="dxa"/>
              <w:right w:w="120" w:type="dxa"/>
            </w:tcMar>
          </w:tcPr>
          <w:p>
            <w:pPr>
              <w:jc w:val="left"/>
            </w:pPr>
            <w:r>
              <w:rPr>
                <w:rFonts w:ascii="Calibri" w:hAnsi="Calibri"/>
                <w:color w:val="333333"/>
                <w:sz w:val="19"/>
              </w:rPr>
              <w:t>Negative Quantities without 'C'</w:t>
            </w:r>
          </w:p>
        </w:tc>
        <w:tc>
          <w:tcPr>
            <w:tcW w:type="dxa" w:w="1584"/>
            <w:shd w:fill="FFFFFF"/>
            <w:tcMar>
              <w:top w:w="80" w:type="dxa"/>
              <w:bottom w:w="80" w:type="dxa"/>
              <w:left w:w="120" w:type="dxa"/>
              <w:right w:w="120" w:type="dxa"/>
            </w:tcMar>
          </w:tcPr>
          <w:p>
            <w:pPr>
              <w:jc w:val="right"/>
            </w:pPr>
            <w:r>
              <w:rPr>
                <w:rFonts w:ascii="Calibri" w:hAnsi="Calibri"/>
                <w:color w:val="333333"/>
                <w:sz w:val="19"/>
              </w:rPr>
              <w:t>1,336 rows</w:t>
            </w:r>
          </w:p>
        </w:tc>
        <w:tc>
          <w:tcPr>
            <w:tcW w:type="dxa" w:w="1872"/>
            <w:shd w:fill="FFFFFF"/>
            <w:tcMar>
              <w:top w:w="80" w:type="dxa"/>
              <w:bottom w:w="80" w:type="dxa"/>
              <w:left w:w="120" w:type="dxa"/>
              <w:right w:w="120" w:type="dxa"/>
            </w:tcMar>
          </w:tcPr>
          <w:p>
            <w:pPr>
              <w:jc w:val="left"/>
            </w:pPr>
            <w:r>
              <w:rPr>
                <w:rFonts w:ascii="Calibri" w:hAnsi="Calibri"/>
                <w:color w:val="333333"/>
                <w:sz w:val="19"/>
              </w:rPr>
              <w:t>Filtered out</w:t>
            </w:r>
          </w:p>
        </w:tc>
        <w:tc>
          <w:tcPr>
            <w:tcW w:type="dxa" w:w="3888"/>
            <w:shd w:fill="FFFFFF"/>
            <w:tcMar>
              <w:top w:w="80" w:type="dxa"/>
              <w:bottom w:w="80" w:type="dxa"/>
              <w:left w:w="120" w:type="dxa"/>
              <w:right w:w="120" w:type="dxa"/>
            </w:tcMar>
          </w:tcPr>
          <w:p>
            <w:pPr>
              <w:jc w:val="left"/>
            </w:pPr>
            <w:r>
              <w:rPr>
                <w:rFonts w:ascii="Calibri" w:hAnsi="Calibri"/>
                <w:color w:val="333333"/>
                <w:sz w:val="19"/>
              </w:rPr>
              <w:t>Administrative inventory write-offs ('damaged', 'lost', 'check') with zero revenue contribution.</w:t>
            </w:r>
          </w:p>
        </w:tc>
      </w:tr>
      <w:tr>
        <w:tc>
          <w:tcPr>
            <w:tcW w:type="dxa" w:w="2016"/>
            <w:shd w:fill="F9FAFB"/>
            <w:tcMar>
              <w:top w:w="80" w:type="dxa"/>
              <w:bottom w:w="80" w:type="dxa"/>
              <w:left w:w="120" w:type="dxa"/>
              <w:right w:w="120" w:type="dxa"/>
            </w:tcMar>
          </w:tcPr>
          <w:p>
            <w:pPr>
              <w:jc w:val="left"/>
            </w:pPr>
            <w:r>
              <w:rPr>
                <w:rFonts w:ascii="Calibri" w:hAnsi="Calibri"/>
                <w:color w:val="333333"/>
                <w:sz w:val="19"/>
              </w:rPr>
              <w:t>Zero or Negative Unit Prices</w:t>
            </w:r>
          </w:p>
        </w:tc>
        <w:tc>
          <w:tcPr>
            <w:tcW w:type="dxa" w:w="1584"/>
            <w:shd w:fill="F9FAFB"/>
            <w:tcMar>
              <w:top w:w="80" w:type="dxa"/>
              <w:bottom w:w="80" w:type="dxa"/>
              <w:left w:w="120" w:type="dxa"/>
              <w:right w:w="120" w:type="dxa"/>
            </w:tcMar>
          </w:tcPr>
          <w:p>
            <w:pPr>
              <w:jc w:val="right"/>
            </w:pPr>
            <w:r>
              <w:rPr>
                <w:rFonts w:ascii="Calibri" w:hAnsi="Calibri"/>
                <w:color w:val="333333"/>
                <w:sz w:val="19"/>
              </w:rPr>
              <w:t>2,517 rows</w:t>
            </w:r>
          </w:p>
        </w:tc>
        <w:tc>
          <w:tcPr>
            <w:tcW w:type="dxa" w:w="1872"/>
            <w:shd w:fill="F9FAFB"/>
            <w:tcMar>
              <w:top w:w="80" w:type="dxa"/>
              <w:bottom w:w="80" w:type="dxa"/>
              <w:left w:w="120" w:type="dxa"/>
              <w:right w:w="120" w:type="dxa"/>
            </w:tcMar>
          </w:tcPr>
          <w:p>
            <w:pPr>
              <w:jc w:val="left"/>
            </w:pPr>
            <w:r>
              <w:rPr>
                <w:rFonts w:ascii="Calibri" w:hAnsi="Calibri"/>
                <w:color w:val="333333"/>
                <w:sz w:val="19"/>
              </w:rPr>
              <w:t>Filtered out</w:t>
            </w:r>
          </w:p>
        </w:tc>
        <w:tc>
          <w:tcPr>
            <w:tcW w:type="dxa" w:w="3888"/>
            <w:shd w:fill="F9FAFB"/>
            <w:tcMar>
              <w:top w:w="80" w:type="dxa"/>
              <w:bottom w:w="80" w:type="dxa"/>
              <w:left w:w="120" w:type="dxa"/>
              <w:right w:w="120" w:type="dxa"/>
            </w:tcMar>
          </w:tcPr>
          <w:p>
            <w:pPr>
              <w:jc w:val="left"/>
            </w:pPr>
            <w:r>
              <w:rPr>
                <w:rFonts w:ascii="Calibri" w:hAnsi="Calibri"/>
                <w:color w:val="333333"/>
                <w:sz w:val="19"/>
              </w:rPr>
              <w:t>System test entries, bad debt adjustments ('Adjust bad debt'), or free promotional samples.</w:t>
            </w:r>
          </w:p>
        </w:tc>
      </w:tr>
      <w:tr>
        <w:tc>
          <w:tcPr>
            <w:tcW w:type="dxa" w:w="2016"/>
            <w:shd w:fill="FFFFFF"/>
            <w:tcMar>
              <w:top w:w="80" w:type="dxa"/>
              <w:bottom w:w="80" w:type="dxa"/>
              <w:left w:w="120" w:type="dxa"/>
              <w:right w:w="120" w:type="dxa"/>
            </w:tcMar>
          </w:tcPr>
          <w:p>
            <w:pPr>
              <w:jc w:val="left"/>
            </w:pPr>
            <w:r>
              <w:rPr>
                <w:rFonts w:ascii="Calibri" w:hAnsi="Calibri"/>
                <w:color w:val="333333"/>
                <w:sz w:val="19"/>
              </w:rPr>
              <w:t>Non-Product Administrative Codes</w:t>
            </w:r>
          </w:p>
        </w:tc>
        <w:tc>
          <w:tcPr>
            <w:tcW w:type="dxa" w:w="1584"/>
            <w:shd w:fill="FFFFFF"/>
            <w:tcMar>
              <w:top w:w="80" w:type="dxa"/>
              <w:bottom w:w="80" w:type="dxa"/>
              <w:left w:w="120" w:type="dxa"/>
              <w:right w:w="120" w:type="dxa"/>
            </w:tcMar>
          </w:tcPr>
          <w:p>
            <w:pPr>
              <w:jc w:val="right"/>
            </w:pPr>
            <w:r>
              <w:rPr>
                <w:rFonts w:ascii="Calibri" w:hAnsi="Calibri"/>
                <w:color w:val="333333"/>
                <w:sz w:val="19"/>
              </w:rPr>
              <w:t>1,273 rows</w:t>
            </w:r>
          </w:p>
        </w:tc>
        <w:tc>
          <w:tcPr>
            <w:tcW w:type="dxa" w:w="1872"/>
            <w:shd w:fill="FFFFFF"/>
            <w:tcMar>
              <w:top w:w="80" w:type="dxa"/>
              <w:bottom w:w="80" w:type="dxa"/>
              <w:left w:w="120" w:type="dxa"/>
              <w:right w:w="120" w:type="dxa"/>
            </w:tcMar>
          </w:tcPr>
          <w:p>
            <w:pPr>
              <w:jc w:val="left"/>
            </w:pPr>
            <w:r>
              <w:rPr>
                <w:rFonts w:ascii="Calibri" w:hAnsi="Calibri"/>
                <w:color w:val="333333"/>
                <w:sz w:val="19"/>
              </w:rPr>
              <w:t>Filtered out</w:t>
            </w:r>
          </w:p>
        </w:tc>
        <w:tc>
          <w:tcPr>
            <w:tcW w:type="dxa" w:w="3888"/>
            <w:shd w:fill="FFFFFF"/>
            <w:tcMar>
              <w:top w:w="80" w:type="dxa"/>
              <w:bottom w:w="80" w:type="dxa"/>
              <w:left w:w="120" w:type="dxa"/>
              <w:right w:w="120" w:type="dxa"/>
            </w:tcMar>
          </w:tcPr>
          <w:p>
            <w:pPr>
              <w:jc w:val="left"/>
            </w:pPr>
            <w:r>
              <w:rPr>
                <w:rFonts w:ascii="Calibri" w:hAnsi="Calibri"/>
                <w:color w:val="333333"/>
                <w:sz w:val="19"/>
              </w:rPr>
              <w:t>Non-merchandise ledger items ('POST' postage, 'D' discounts, 'BANK CHARGES', 'AMAZONFEE', 'CRUK').</w:t>
            </w:r>
          </w:p>
        </w:tc>
      </w:tr>
      <w:tr>
        <w:tc>
          <w:tcPr>
            <w:tcW w:type="dxa" w:w="2016"/>
            <w:shd w:fill="F9FAFB"/>
            <w:tcMar>
              <w:top w:w="80" w:type="dxa"/>
              <w:bottom w:w="80" w:type="dxa"/>
              <w:left w:w="120" w:type="dxa"/>
              <w:right w:w="120" w:type="dxa"/>
            </w:tcMar>
          </w:tcPr>
          <w:p>
            <w:pPr>
              <w:jc w:val="left"/>
            </w:pPr>
            <w:r>
              <w:rPr>
                <w:rFonts w:ascii="Calibri" w:hAnsi="Calibri"/>
                <w:color w:val="333333"/>
                <w:sz w:val="19"/>
              </w:rPr>
              <w:t>Missing CustomerID (Guest Users)</w:t>
            </w:r>
          </w:p>
        </w:tc>
        <w:tc>
          <w:tcPr>
            <w:tcW w:type="dxa" w:w="1584"/>
            <w:shd w:fill="F9FAFB"/>
            <w:tcMar>
              <w:top w:w="80" w:type="dxa"/>
              <w:bottom w:w="80" w:type="dxa"/>
              <w:left w:w="120" w:type="dxa"/>
              <w:right w:w="120" w:type="dxa"/>
            </w:tcMar>
          </w:tcPr>
          <w:p>
            <w:pPr>
              <w:jc w:val="right"/>
            </w:pPr>
            <w:r>
              <w:rPr>
                <w:rFonts w:ascii="Calibri" w:hAnsi="Calibri"/>
                <w:color w:val="333333"/>
                <w:sz w:val="19"/>
              </w:rPr>
              <w:t>135,080 rows</w:t>
            </w:r>
          </w:p>
        </w:tc>
        <w:tc>
          <w:tcPr>
            <w:tcW w:type="dxa" w:w="1872"/>
            <w:shd w:fill="F9FAFB"/>
            <w:tcMar>
              <w:top w:w="80" w:type="dxa"/>
              <w:bottom w:w="80" w:type="dxa"/>
              <w:left w:w="120" w:type="dxa"/>
              <w:right w:w="120" w:type="dxa"/>
            </w:tcMar>
          </w:tcPr>
          <w:p>
            <w:pPr>
              <w:jc w:val="left"/>
            </w:pPr>
            <w:r>
              <w:rPr>
                <w:rFonts w:ascii="Calibri" w:hAnsi="Calibri"/>
                <w:color w:val="333333"/>
                <w:sz w:val="19"/>
              </w:rPr>
              <w:t>Retained for Sales; Filtered for Customer Cohort</w:t>
            </w:r>
          </w:p>
        </w:tc>
        <w:tc>
          <w:tcPr>
            <w:tcW w:type="dxa" w:w="3888"/>
            <w:shd w:fill="F9FAFB"/>
            <w:tcMar>
              <w:top w:w="80" w:type="dxa"/>
              <w:bottom w:w="80" w:type="dxa"/>
              <w:left w:w="120" w:type="dxa"/>
              <w:right w:w="120" w:type="dxa"/>
            </w:tcMar>
          </w:tcPr>
          <w:p>
            <w:pPr>
              <w:jc w:val="left"/>
            </w:pPr>
            <w:r>
              <w:rPr>
                <w:rFonts w:ascii="Calibri" w:hAnsi="Calibri"/>
                <w:color w:val="333333"/>
                <w:sz w:val="19"/>
              </w:rPr>
              <w:t>Maintained in store-level sales to reflect total revenue (£10.26M); segregated for customer-level analytics.</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9"/>
              <w:top w:val="none"/>
              <w:right w:val="none"/>
              <w:bottom w:val="none"/>
            </w:tcBorders>
          </w:tcPr>
          <w:p>
            <w:pPr>
              <w:spacing w:before="40" w:after="40" w:line="276" w:lineRule="auto"/>
            </w:pPr>
            <w:r>
              <w:rPr>
                <w:rFonts w:ascii="Calibri" w:hAnsi="Calibri"/>
                <w:b/>
                <w:color w:val="1F4E79"/>
                <w:sz w:val="21"/>
              </w:rPr>
              <w:t xml:space="preserve">CLEANSING MILESTONE: </w:t>
            </w:r>
            <w:r>
              <w:rPr>
                <w:rFonts w:ascii="Calibri" w:hAnsi="Calibri"/>
                <w:i/>
                <w:color w:val="333333"/>
                <w:sz w:val="21"/>
              </w:rPr>
              <w:t>The finalized clean sales corpus contains exactly 522,713 transaction line items across 19,777 completed orders and 38 countries, retaining 96.46% of raw record volume while eliminating all distorting ledger entries.</w:t>
            </w:r>
          </w:p>
        </w:tc>
      </w:tr>
    </w:tbl>
    <w:p>
      <w:pPr>
        <w:spacing w:after="80"/>
      </w:pPr>
    </w:p>
    <w:p>
      <w:pPr>
        <w:keepNext/>
        <w:spacing w:before="280" w:after="120"/>
        <w:jc w:val="left"/>
      </w:pPr>
      <w:r>
        <w:rPr>
          <w:rFonts w:ascii="Calibri" w:hAnsi="Calibri"/>
          <w:b/>
          <w:color w:val="1F4E79"/>
          <w:sz w:val="36"/>
        </w:rPr>
        <w:t>6. Exploratory Data Analysis &amp; Statistical Distributions</w:t>
      </w:r>
    </w:p>
    <w:p>
      <w:pPr>
        <w:spacing w:before="0" w:after="100" w:line="276" w:lineRule="auto"/>
      </w:pPr>
      <w:r>
        <w:rPr>
          <w:rFonts w:ascii="Calibri" w:hAnsi="Calibri"/>
          <w:color w:val="333333"/>
          <w:sz w:val="22"/>
        </w:rPr>
        <w:t>To understand the fundamental characteristics of order size and spending behavior, we analyzed the distributions of transaction line Revenue, Quantity, and UnitPrice across the clean dataset.</w:t>
      </w:r>
    </w:p>
    <w:tbl>
      <w:tblPr>
        <w:tblW w:type="auto" w:w="0"/>
        <w:jc w:val="center"/>
        <w:tblLook w:firstColumn="1" w:firstRow="1" w:lastColumn="0" w:lastRow="0" w:noHBand="0" w:noVBand="1" w:val="04A0"/>
      </w:tblPr>
      <w:tblGrid>
        <w:gridCol w:w="2340"/>
        <w:gridCol w:w="2340"/>
        <w:gridCol w:w="2340"/>
        <w:gridCol w:w="2340"/>
      </w:tblGrid>
      <w:tr>
        <w:tc>
          <w:tcPr>
            <w:tcW w:type="dxa" w:w="2592"/>
            <w:shd w:fill="1F4E79"/>
            <w:tcMar>
              <w:top w:w="100" w:type="dxa"/>
              <w:bottom w:w="100" w:type="dxa"/>
              <w:left w:w="120" w:type="dxa"/>
              <w:right w:w="120" w:type="dxa"/>
            </w:tcMar>
          </w:tcPr>
          <w:p>
            <w:pPr>
              <w:jc w:val="left"/>
            </w:pPr>
            <w:r>
              <w:rPr>
                <w:rFonts w:ascii="Calibri" w:hAnsi="Calibri"/>
                <w:b/>
                <w:color w:val="FFFFFF"/>
                <w:sz w:val="20"/>
              </w:rPr>
              <w:t>Statistical Metric</w:t>
            </w:r>
          </w:p>
        </w:tc>
        <w:tc>
          <w:tcPr>
            <w:tcW w:type="dxa" w:w="2016"/>
            <w:shd w:fill="1F4E79"/>
            <w:tcMar>
              <w:top w:w="100" w:type="dxa"/>
              <w:bottom w:w="100" w:type="dxa"/>
              <w:left w:w="120" w:type="dxa"/>
              <w:right w:w="120" w:type="dxa"/>
            </w:tcMar>
          </w:tcPr>
          <w:p>
            <w:pPr>
              <w:jc w:val="right"/>
            </w:pPr>
            <w:r>
              <w:rPr>
                <w:rFonts w:ascii="Calibri" w:hAnsi="Calibri"/>
                <w:b/>
                <w:color w:val="FFFFFF"/>
                <w:sz w:val="20"/>
              </w:rPr>
              <w:t>Quantity (Units)</w:t>
            </w:r>
          </w:p>
        </w:tc>
        <w:tc>
          <w:tcPr>
            <w:tcW w:type="dxa" w:w="2016"/>
            <w:shd w:fill="1F4E79"/>
            <w:tcMar>
              <w:top w:w="100" w:type="dxa"/>
              <w:bottom w:w="100" w:type="dxa"/>
              <w:left w:w="120" w:type="dxa"/>
              <w:right w:w="120" w:type="dxa"/>
            </w:tcMar>
          </w:tcPr>
          <w:p>
            <w:pPr>
              <w:jc w:val="right"/>
            </w:pPr>
            <w:r>
              <w:rPr>
                <w:rFonts w:ascii="Calibri" w:hAnsi="Calibri"/>
                <w:b/>
                <w:color w:val="FFFFFF"/>
                <w:sz w:val="20"/>
              </w:rPr>
              <w:t>Unit Price (£)</w:t>
            </w:r>
          </w:p>
        </w:tc>
        <w:tc>
          <w:tcPr>
            <w:tcW w:type="dxa" w:w="2736"/>
            <w:shd w:fill="1F4E79"/>
            <w:tcMar>
              <w:top w:w="100" w:type="dxa"/>
              <w:bottom w:w="100" w:type="dxa"/>
              <w:left w:w="120" w:type="dxa"/>
              <w:right w:w="120" w:type="dxa"/>
            </w:tcMar>
          </w:tcPr>
          <w:p>
            <w:pPr>
              <w:jc w:val="right"/>
            </w:pPr>
            <w:r>
              <w:rPr>
                <w:rFonts w:ascii="Calibri" w:hAnsi="Calibri"/>
                <w:b/>
                <w:color w:val="FFFFFF"/>
                <w:sz w:val="20"/>
              </w:rPr>
              <w:t>Transaction Revenue (£)</w:t>
            </w:r>
          </w:p>
        </w:tc>
      </w:tr>
      <w:tr>
        <w:tc>
          <w:tcPr>
            <w:tcW w:type="dxa" w:w="2592"/>
            <w:shd w:fill="FFFFFF"/>
            <w:tcMar>
              <w:top w:w="80" w:type="dxa"/>
              <w:bottom w:w="80" w:type="dxa"/>
              <w:left w:w="120" w:type="dxa"/>
              <w:right w:w="120" w:type="dxa"/>
            </w:tcMar>
          </w:tcPr>
          <w:p>
            <w:pPr>
              <w:jc w:val="left"/>
            </w:pPr>
            <w:r>
              <w:rPr>
                <w:rFonts w:ascii="Calibri" w:hAnsi="Calibri"/>
                <w:color w:val="333333"/>
                <w:sz w:val="19"/>
              </w:rPr>
              <w:t>Count</w:t>
            </w:r>
          </w:p>
        </w:tc>
        <w:tc>
          <w:tcPr>
            <w:tcW w:type="dxa" w:w="2016"/>
            <w:shd w:fill="FFFFFF"/>
            <w:tcMar>
              <w:top w:w="80" w:type="dxa"/>
              <w:bottom w:w="80" w:type="dxa"/>
              <w:left w:w="120" w:type="dxa"/>
              <w:right w:w="120" w:type="dxa"/>
            </w:tcMar>
          </w:tcPr>
          <w:p>
            <w:pPr>
              <w:jc w:val="right"/>
            </w:pPr>
            <w:r>
              <w:rPr>
                <w:rFonts w:ascii="Calibri" w:hAnsi="Calibri"/>
                <w:color w:val="333333"/>
                <w:sz w:val="19"/>
              </w:rPr>
              <w:t>522,713</w:t>
            </w:r>
          </w:p>
        </w:tc>
        <w:tc>
          <w:tcPr>
            <w:tcW w:type="dxa" w:w="2016"/>
            <w:shd w:fill="FFFFFF"/>
            <w:tcMar>
              <w:top w:w="80" w:type="dxa"/>
              <w:bottom w:w="80" w:type="dxa"/>
              <w:left w:w="120" w:type="dxa"/>
              <w:right w:w="120" w:type="dxa"/>
            </w:tcMar>
          </w:tcPr>
          <w:p>
            <w:pPr>
              <w:jc w:val="right"/>
            </w:pPr>
            <w:r>
              <w:rPr>
                <w:rFonts w:ascii="Calibri" w:hAnsi="Calibri"/>
                <w:color w:val="333333"/>
                <w:sz w:val="19"/>
              </w:rPr>
              <w:t>522,713</w:t>
            </w:r>
          </w:p>
        </w:tc>
        <w:tc>
          <w:tcPr>
            <w:tcW w:type="dxa" w:w="2736"/>
            <w:shd w:fill="FFFFFF"/>
            <w:tcMar>
              <w:top w:w="80" w:type="dxa"/>
              <w:bottom w:w="80" w:type="dxa"/>
              <w:left w:w="120" w:type="dxa"/>
              <w:right w:w="120" w:type="dxa"/>
            </w:tcMar>
          </w:tcPr>
          <w:p>
            <w:pPr>
              <w:jc w:val="right"/>
            </w:pPr>
            <w:r>
              <w:rPr>
                <w:rFonts w:ascii="Calibri" w:hAnsi="Calibri"/>
                <w:color w:val="333333"/>
                <w:sz w:val="19"/>
              </w:rPr>
              <w:t>522,713</w:t>
            </w:r>
          </w:p>
        </w:tc>
      </w:tr>
      <w:tr>
        <w:tc>
          <w:tcPr>
            <w:tcW w:type="dxa" w:w="2592"/>
            <w:shd w:fill="F9FAFB"/>
            <w:tcMar>
              <w:top w:w="80" w:type="dxa"/>
              <w:bottom w:w="80" w:type="dxa"/>
              <w:left w:w="120" w:type="dxa"/>
              <w:right w:w="120" w:type="dxa"/>
            </w:tcMar>
          </w:tcPr>
          <w:p>
            <w:pPr>
              <w:jc w:val="left"/>
            </w:pPr>
            <w:r>
              <w:rPr>
                <w:rFonts w:ascii="Calibri" w:hAnsi="Calibri"/>
                <w:color w:val="333333"/>
                <w:sz w:val="19"/>
              </w:rPr>
              <w:t>Mean (Average)</w:t>
            </w:r>
          </w:p>
        </w:tc>
        <w:tc>
          <w:tcPr>
            <w:tcW w:type="dxa" w:w="2016"/>
            <w:shd w:fill="F9FAFB"/>
            <w:tcMar>
              <w:top w:w="80" w:type="dxa"/>
              <w:bottom w:w="80" w:type="dxa"/>
              <w:left w:w="120" w:type="dxa"/>
              <w:right w:w="120" w:type="dxa"/>
            </w:tcMar>
          </w:tcPr>
          <w:p>
            <w:pPr>
              <w:jc w:val="right"/>
            </w:pPr>
            <w:r>
              <w:rPr>
                <w:rFonts w:ascii="Calibri" w:hAnsi="Calibri"/>
                <w:color w:val="333333"/>
                <w:sz w:val="19"/>
              </w:rPr>
              <w:t>10.64</w:t>
            </w:r>
          </w:p>
        </w:tc>
        <w:tc>
          <w:tcPr>
            <w:tcW w:type="dxa" w:w="2016"/>
            <w:shd w:fill="F9FAFB"/>
            <w:tcMar>
              <w:top w:w="80" w:type="dxa"/>
              <w:bottom w:w="80" w:type="dxa"/>
              <w:left w:w="120" w:type="dxa"/>
              <w:right w:w="120" w:type="dxa"/>
            </w:tcMar>
          </w:tcPr>
          <w:p>
            <w:pPr>
              <w:jc w:val="right"/>
            </w:pPr>
            <w:r>
              <w:rPr>
                <w:rFonts w:ascii="Calibri" w:hAnsi="Calibri"/>
                <w:color w:val="333333"/>
                <w:sz w:val="19"/>
              </w:rPr>
              <w:t>£3.31</w:t>
            </w:r>
          </w:p>
        </w:tc>
        <w:tc>
          <w:tcPr>
            <w:tcW w:type="dxa" w:w="2736"/>
            <w:shd w:fill="F9FAFB"/>
            <w:tcMar>
              <w:top w:w="80" w:type="dxa"/>
              <w:bottom w:w="80" w:type="dxa"/>
              <w:left w:w="120" w:type="dxa"/>
              <w:right w:w="120" w:type="dxa"/>
            </w:tcMar>
          </w:tcPr>
          <w:p>
            <w:pPr>
              <w:jc w:val="right"/>
            </w:pPr>
            <w:r>
              <w:rPr>
                <w:rFonts w:ascii="Calibri" w:hAnsi="Calibri"/>
                <w:color w:val="333333"/>
                <w:sz w:val="19"/>
              </w:rPr>
              <w:t>£19.64</w:t>
            </w:r>
          </w:p>
        </w:tc>
      </w:tr>
      <w:tr>
        <w:tc>
          <w:tcPr>
            <w:tcW w:type="dxa" w:w="2592"/>
            <w:shd w:fill="FFFFFF"/>
            <w:tcMar>
              <w:top w:w="80" w:type="dxa"/>
              <w:bottom w:w="80" w:type="dxa"/>
              <w:left w:w="120" w:type="dxa"/>
              <w:right w:w="120" w:type="dxa"/>
            </w:tcMar>
          </w:tcPr>
          <w:p>
            <w:pPr>
              <w:jc w:val="left"/>
            </w:pPr>
            <w:r>
              <w:rPr>
                <w:rFonts w:ascii="Calibri" w:hAnsi="Calibri"/>
                <w:color w:val="333333"/>
                <w:sz w:val="19"/>
              </w:rPr>
              <w:t>Standard Deviation</w:t>
            </w:r>
          </w:p>
        </w:tc>
        <w:tc>
          <w:tcPr>
            <w:tcW w:type="dxa" w:w="2016"/>
            <w:shd w:fill="FFFFFF"/>
            <w:tcMar>
              <w:top w:w="80" w:type="dxa"/>
              <w:bottom w:w="80" w:type="dxa"/>
              <w:left w:w="120" w:type="dxa"/>
              <w:right w:w="120" w:type="dxa"/>
            </w:tcMar>
          </w:tcPr>
          <w:p>
            <w:pPr>
              <w:jc w:val="right"/>
            </w:pPr>
            <w:r>
              <w:rPr>
                <w:rFonts w:ascii="Calibri" w:hAnsi="Calibri"/>
                <w:color w:val="333333"/>
                <w:sz w:val="19"/>
              </w:rPr>
              <w:t>159.08</w:t>
            </w:r>
          </w:p>
        </w:tc>
        <w:tc>
          <w:tcPr>
            <w:tcW w:type="dxa" w:w="2016"/>
            <w:shd w:fill="FFFFFF"/>
            <w:tcMar>
              <w:top w:w="80" w:type="dxa"/>
              <w:bottom w:w="80" w:type="dxa"/>
              <w:left w:w="120" w:type="dxa"/>
              <w:right w:w="120" w:type="dxa"/>
            </w:tcMar>
          </w:tcPr>
          <w:p>
            <w:pPr>
              <w:jc w:val="right"/>
            </w:pPr>
            <w:r>
              <w:rPr>
                <w:rFonts w:ascii="Calibri" w:hAnsi="Calibri"/>
                <w:color w:val="333333"/>
                <w:sz w:val="19"/>
              </w:rPr>
              <w:t>£11.16</w:t>
            </w:r>
          </w:p>
        </w:tc>
        <w:tc>
          <w:tcPr>
            <w:tcW w:type="dxa" w:w="2736"/>
            <w:shd w:fill="FFFFFF"/>
            <w:tcMar>
              <w:top w:w="80" w:type="dxa"/>
              <w:bottom w:w="80" w:type="dxa"/>
              <w:left w:w="120" w:type="dxa"/>
              <w:right w:w="120" w:type="dxa"/>
            </w:tcMar>
          </w:tcPr>
          <w:p>
            <w:pPr>
              <w:jc w:val="right"/>
            </w:pPr>
            <w:r>
              <w:rPr>
                <w:rFonts w:ascii="Calibri" w:hAnsi="Calibri"/>
                <w:color w:val="333333"/>
                <w:sz w:val="19"/>
              </w:rPr>
              <w:t>£277.83</w:t>
            </w:r>
          </w:p>
        </w:tc>
      </w:tr>
      <w:tr>
        <w:tc>
          <w:tcPr>
            <w:tcW w:type="dxa" w:w="2592"/>
            <w:shd w:fill="F9FAFB"/>
            <w:tcMar>
              <w:top w:w="80" w:type="dxa"/>
              <w:bottom w:w="80" w:type="dxa"/>
              <w:left w:w="120" w:type="dxa"/>
              <w:right w:w="120" w:type="dxa"/>
            </w:tcMar>
          </w:tcPr>
          <w:p>
            <w:pPr>
              <w:jc w:val="left"/>
            </w:pPr>
            <w:r>
              <w:rPr>
                <w:rFonts w:ascii="Calibri" w:hAnsi="Calibri"/>
                <w:color w:val="333333"/>
                <w:sz w:val="19"/>
              </w:rPr>
              <w:t>Minimum</w:t>
            </w:r>
          </w:p>
        </w:tc>
        <w:tc>
          <w:tcPr>
            <w:tcW w:type="dxa" w:w="2016"/>
            <w:shd w:fill="F9FAFB"/>
            <w:tcMar>
              <w:top w:w="80" w:type="dxa"/>
              <w:bottom w:w="80" w:type="dxa"/>
              <w:left w:w="120" w:type="dxa"/>
              <w:right w:w="120" w:type="dxa"/>
            </w:tcMar>
          </w:tcPr>
          <w:p>
            <w:pPr>
              <w:jc w:val="right"/>
            </w:pPr>
            <w:r>
              <w:rPr>
                <w:rFonts w:ascii="Calibri" w:hAnsi="Calibri"/>
                <w:color w:val="333333"/>
                <w:sz w:val="19"/>
              </w:rPr>
              <w:t>1.00</w:t>
            </w:r>
          </w:p>
        </w:tc>
        <w:tc>
          <w:tcPr>
            <w:tcW w:type="dxa" w:w="2016"/>
            <w:shd w:fill="F9FAFB"/>
            <w:tcMar>
              <w:top w:w="80" w:type="dxa"/>
              <w:bottom w:w="80" w:type="dxa"/>
              <w:left w:w="120" w:type="dxa"/>
              <w:right w:w="120" w:type="dxa"/>
            </w:tcMar>
          </w:tcPr>
          <w:p>
            <w:pPr>
              <w:jc w:val="right"/>
            </w:pPr>
            <w:r>
              <w:rPr>
                <w:rFonts w:ascii="Calibri" w:hAnsi="Calibri"/>
                <w:color w:val="333333"/>
                <w:sz w:val="19"/>
              </w:rPr>
              <w:t>£0.001</w:t>
            </w:r>
          </w:p>
        </w:tc>
        <w:tc>
          <w:tcPr>
            <w:tcW w:type="dxa" w:w="2736"/>
            <w:shd w:fill="F9FAFB"/>
            <w:tcMar>
              <w:top w:w="80" w:type="dxa"/>
              <w:bottom w:w="80" w:type="dxa"/>
              <w:left w:w="120" w:type="dxa"/>
              <w:right w:w="120" w:type="dxa"/>
            </w:tcMar>
          </w:tcPr>
          <w:p>
            <w:pPr>
              <w:jc w:val="right"/>
            </w:pPr>
            <w:r>
              <w:rPr>
                <w:rFonts w:ascii="Calibri" w:hAnsi="Calibri"/>
                <w:color w:val="333333"/>
                <w:sz w:val="19"/>
              </w:rPr>
              <w:t>£0.001</w:t>
            </w:r>
          </w:p>
        </w:tc>
      </w:tr>
      <w:tr>
        <w:tc>
          <w:tcPr>
            <w:tcW w:type="dxa" w:w="2592"/>
            <w:shd w:fill="FFFFFF"/>
            <w:tcMar>
              <w:top w:w="80" w:type="dxa"/>
              <w:bottom w:w="80" w:type="dxa"/>
              <w:left w:w="120" w:type="dxa"/>
              <w:right w:w="120" w:type="dxa"/>
            </w:tcMar>
          </w:tcPr>
          <w:p>
            <w:pPr>
              <w:jc w:val="left"/>
            </w:pPr>
            <w:r>
              <w:rPr>
                <w:rFonts w:ascii="Calibri" w:hAnsi="Calibri"/>
                <w:color w:val="333333"/>
                <w:sz w:val="19"/>
              </w:rPr>
              <w:t>25th Percentile (Q1)</w:t>
            </w:r>
          </w:p>
        </w:tc>
        <w:tc>
          <w:tcPr>
            <w:tcW w:type="dxa" w:w="2016"/>
            <w:shd w:fill="FFFFFF"/>
            <w:tcMar>
              <w:top w:w="80" w:type="dxa"/>
              <w:bottom w:w="80" w:type="dxa"/>
              <w:left w:w="120" w:type="dxa"/>
              <w:right w:w="120" w:type="dxa"/>
            </w:tcMar>
          </w:tcPr>
          <w:p>
            <w:pPr>
              <w:jc w:val="right"/>
            </w:pPr>
            <w:r>
              <w:rPr>
                <w:rFonts w:ascii="Calibri" w:hAnsi="Calibri"/>
                <w:color w:val="333333"/>
                <w:sz w:val="19"/>
              </w:rPr>
              <w:t>1.00</w:t>
            </w:r>
          </w:p>
        </w:tc>
        <w:tc>
          <w:tcPr>
            <w:tcW w:type="dxa" w:w="2016"/>
            <w:shd w:fill="FFFFFF"/>
            <w:tcMar>
              <w:top w:w="80" w:type="dxa"/>
              <w:bottom w:w="80" w:type="dxa"/>
              <w:left w:w="120" w:type="dxa"/>
              <w:right w:w="120" w:type="dxa"/>
            </w:tcMar>
          </w:tcPr>
          <w:p>
            <w:pPr>
              <w:jc w:val="right"/>
            </w:pPr>
            <w:r>
              <w:rPr>
                <w:rFonts w:ascii="Calibri" w:hAnsi="Calibri"/>
                <w:color w:val="333333"/>
                <w:sz w:val="19"/>
              </w:rPr>
              <w:t>£1.25</w:t>
            </w:r>
          </w:p>
        </w:tc>
        <w:tc>
          <w:tcPr>
            <w:tcW w:type="dxa" w:w="2736"/>
            <w:shd w:fill="FFFFFF"/>
            <w:tcMar>
              <w:top w:w="80" w:type="dxa"/>
              <w:bottom w:w="80" w:type="dxa"/>
              <w:left w:w="120" w:type="dxa"/>
              <w:right w:w="120" w:type="dxa"/>
            </w:tcMar>
          </w:tcPr>
          <w:p>
            <w:pPr>
              <w:jc w:val="right"/>
            </w:pPr>
            <w:r>
              <w:rPr>
                <w:rFonts w:ascii="Calibri" w:hAnsi="Calibri"/>
                <w:color w:val="333333"/>
                <w:sz w:val="19"/>
              </w:rPr>
              <w:t>£3.90</w:t>
            </w:r>
          </w:p>
        </w:tc>
      </w:tr>
      <w:tr>
        <w:tc>
          <w:tcPr>
            <w:tcW w:type="dxa" w:w="2592"/>
            <w:shd w:fill="F9FAFB"/>
            <w:tcMar>
              <w:top w:w="80" w:type="dxa"/>
              <w:bottom w:w="80" w:type="dxa"/>
              <w:left w:w="120" w:type="dxa"/>
              <w:right w:w="120" w:type="dxa"/>
            </w:tcMar>
          </w:tcPr>
          <w:p>
            <w:pPr>
              <w:jc w:val="left"/>
            </w:pPr>
            <w:r>
              <w:rPr>
                <w:rFonts w:ascii="Calibri" w:hAnsi="Calibri"/>
                <w:color w:val="333333"/>
                <w:sz w:val="19"/>
              </w:rPr>
              <w:t>50th Percentile (Median)</w:t>
            </w:r>
          </w:p>
        </w:tc>
        <w:tc>
          <w:tcPr>
            <w:tcW w:type="dxa" w:w="2016"/>
            <w:shd w:fill="F9FAFB"/>
            <w:tcMar>
              <w:top w:w="80" w:type="dxa"/>
              <w:bottom w:w="80" w:type="dxa"/>
              <w:left w:w="120" w:type="dxa"/>
              <w:right w:w="120" w:type="dxa"/>
            </w:tcMar>
          </w:tcPr>
          <w:p>
            <w:pPr>
              <w:jc w:val="right"/>
            </w:pPr>
            <w:r>
              <w:rPr>
                <w:rFonts w:ascii="Calibri" w:hAnsi="Calibri"/>
                <w:color w:val="333333"/>
                <w:sz w:val="19"/>
              </w:rPr>
              <w:t>3.00</w:t>
            </w:r>
          </w:p>
        </w:tc>
        <w:tc>
          <w:tcPr>
            <w:tcW w:type="dxa" w:w="2016"/>
            <w:shd w:fill="F9FAFB"/>
            <w:tcMar>
              <w:top w:w="80" w:type="dxa"/>
              <w:bottom w:w="80" w:type="dxa"/>
              <w:left w:w="120" w:type="dxa"/>
              <w:right w:w="120" w:type="dxa"/>
            </w:tcMar>
          </w:tcPr>
          <w:p>
            <w:pPr>
              <w:jc w:val="right"/>
            </w:pPr>
            <w:r>
              <w:rPr>
                <w:rFonts w:ascii="Calibri" w:hAnsi="Calibri"/>
                <w:color w:val="333333"/>
                <w:sz w:val="19"/>
              </w:rPr>
              <w:t>£2.08</w:t>
            </w:r>
          </w:p>
        </w:tc>
        <w:tc>
          <w:tcPr>
            <w:tcW w:type="dxa" w:w="2736"/>
            <w:shd w:fill="F9FAFB"/>
            <w:tcMar>
              <w:top w:w="80" w:type="dxa"/>
              <w:bottom w:w="80" w:type="dxa"/>
              <w:left w:w="120" w:type="dxa"/>
              <w:right w:w="120" w:type="dxa"/>
            </w:tcMar>
          </w:tcPr>
          <w:p>
            <w:pPr>
              <w:jc w:val="right"/>
            </w:pPr>
            <w:r>
              <w:rPr>
                <w:rFonts w:ascii="Calibri" w:hAnsi="Calibri"/>
                <w:color w:val="333333"/>
                <w:sz w:val="19"/>
              </w:rPr>
              <w:t>£9.90</w:t>
            </w:r>
          </w:p>
        </w:tc>
      </w:tr>
      <w:tr>
        <w:tc>
          <w:tcPr>
            <w:tcW w:type="dxa" w:w="2592"/>
            <w:shd w:fill="FFFFFF"/>
            <w:tcMar>
              <w:top w:w="80" w:type="dxa"/>
              <w:bottom w:w="80" w:type="dxa"/>
              <w:left w:w="120" w:type="dxa"/>
              <w:right w:w="120" w:type="dxa"/>
            </w:tcMar>
          </w:tcPr>
          <w:p>
            <w:pPr>
              <w:jc w:val="left"/>
            </w:pPr>
            <w:r>
              <w:rPr>
                <w:rFonts w:ascii="Calibri" w:hAnsi="Calibri"/>
                <w:color w:val="333333"/>
                <w:sz w:val="19"/>
              </w:rPr>
              <w:t>75th Percentile (Q3)</w:t>
            </w:r>
          </w:p>
        </w:tc>
        <w:tc>
          <w:tcPr>
            <w:tcW w:type="dxa" w:w="2016"/>
            <w:shd w:fill="FFFFFF"/>
            <w:tcMar>
              <w:top w:w="80" w:type="dxa"/>
              <w:bottom w:w="80" w:type="dxa"/>
              <w:left w:w="120" w:type="dxa"/>
              <w:right w:w="120" w:type="dxa"/>
            </w:tcMar>
          </w:tcPr>
          <w:p>
            <w:pPr>
              <w:jc w:val="right"/>
            </w:pPr>
            <w:r>
              <w:rPr>
                <w:rFonts w:ascii="Calibri" w:hAnsi="Calibri"/>
                <w:color w:val="333333"/>
                <w:sz w:val="19"/>
              </w:rPr>
              <w:t>10.00</w:t>
            </w:r>
          </w:p>
        </w:tc>
        <w:tc>
          <w:tcPr>
            <w:tcW w:type="dxa" w:w="2016"/>
            <w:shd w:fill="FFFFFF"/>
            <w:tcMar>
              <w:top w:w="80" w:type="dxa"/>
              <w:bottom w:w="80" w:type="dxa"/>
              <w:left w:w="120" w:type="dxa"/>
              <w:right w:w="120" w:type="dxa"/>
            </w:tcMar>
          </w:tcPr>
          <w:p>
            <w:pPr>
              <w:jc w:val="right"/>
            </w:pPr>
            <w:r>
              <w:rPr>
                <w:rFonts w:ascii="Calibri" w:hAnsi="Calibri"/>
                <w:color w:val="333333"/>
                <w:sz w:val="19"/>
              </w:rPr>
              <w:t>£4.13</w:t>
            </w:r>
          </w:p>
        </w:tc>
        <w:tc>
          <w:tcPr>
            <w:tcW w:type="dxa" w:w="2736"/>
            <w:shd w:fill="FFFFFF"/>
            <w:tcMar>
              <w:top w:w="80" w:type="dxa"/>
              <w:bottom w:w="80" w:type="dxa"/>
              <w:left w:w="120" w:type="dxa"/>
              <w:right w:w="120" w:type="dxa"/>
            </w:tcMar>
          </w:tcPr>
          <w:p>
            <w:pPr>
              <w:jc w:val="right"/>
            </w:pPr>
            <w:r>
              <w:rPr>
                <w:rFonts w:ascii="Calibri" w:hAnsi="Calibri"/>
                <w:color w:val="333333"/>
                <w:sz w:val="19"/>
              </w:rPr>
              <w:t>£17.70</w:t>
            </w:r>
          </w:p>
        </w:tc>
      </w:tr>
      <w:tr>
        <w:tc>
          <w:tcPr>
            <w:tcW w:type="dxa" w:w="2592"/>
            <w:shd w:fill="F9FAFB"/>
            <w:tcMar>
              <w:top w:w="80" w:type="dxa"/>
              <w:bottom w:w="80" w:type="dxa"/>
              <w:left w:w="120" w:type="dxa"/>
              <w:right w:w="120" w:type="dxa"/>
            </w:tcMar>
          </w:tcPr>
          <w:p>
            <w:pPr>
              <w:jc w:val="left"/>
            </w:pPr>
            <w:r>
              <w:rPr>
                <w:rFonts w:ascii="Calibri" w:hAnsi="Calibri"/>
                <w:color w:val="333333"/>
                <w:sz w:val="19"/>
              </w:rPr>
              <w:t>95th Percentile</w:t>
            </w:r>
          </w:p>
        </w:tc>
        <w:tc>
          <w:tcPr>
            <w:tcW w:type="dxa" w:w="2016"/>
            <w:shd w:fill="F9FAFB"/>
            <w:tcMar>
              <w:top w:w="80" w:type="dxa"/>
              <w:bottom w:w="80" w:type="dxa"/>
              <w:left w:w="120" w:type="dxa"/>
              <w:right w:w="120" w:type="dxa"/>
            </w:tcMar>
          </w:tcPr>
          <w:p>
            <w:pPr>
              <w:jc w:val="right"/>
            </w:pPr>
            <w:r>
              <w:rPr>
                <w:rFonts w:ascii="Calibri" w:hAnsi="Calibri"/>
                <w:color w:val="333333"/>
                <w:sz w:val="19"/>
              </w:rPr>
              <w:t>36.00</w:t>
            </w:r>
          </w:p>
        </w:tc>
        <w:tc>
          <w:tcPr>
            <w:tcW w:type="dxa" w:w="2016"/>
            <w:shd w:fill="F9FAFB"/>
            <w:tcMar>
              <w:top w:w="80" w:type="dxa"/>
              <w:bottom w:w="80" w:type="dxa"/>
              <w:left w:w="120" w:type="dxa"/>
              <w:right w:w="120" w:type="dxa"/>
            </w:tcMar>
          </w:tcPr>
          <w:p>
            <w:pPr>
              <w:jc w:val="right"/>
            </w:pPr>
            <w:r>
              <w:rPr>
                <w:rFonts w:ascii="Calibri" w:hAnsi="Calibri"/>
                <w:color w:val="333333"/>
                <w:sz w:val="19"/>
              </w:rPr>
              <w:t>£8.50</w:t>
            </w:r>
          </w:p>
        </w:tc>
        <w:tc>
          <w:tcPr>
            <w:tcW w:type="dxa" w:w="2736"/>
            <w:shd w:fill="F9FAFB"/>
            <w:tcMar>
              <w:top w:w="80" w:type="dxa"/>
              <w:bottom w:w="80" w:type="dxa"/>
              <w:left w:w="120" w:type="dxa"/>
              <w:right w:w="120" w:type="dxa"/>
            </w:tcMar>
          </w:tcPr>
          <w:p>
            <w:pPr>
              <w:jc w:val="right"/>
            </w:pPr>
            <w:r>
              <w:rPr>
                <w:rFonts w:ascii="Calibri" w:hAnsi="Calibri"/>
                <w:color w:val="333333"/>
                <w:sz w:val="19"/>
              </w:rPr>
              <w:t>£67.20</w:t>
            </w:r>
          </w:p>
        </w:tc>
      </w:tr>
      <w:tr>
        <w:tc>
          <w:tcPr>
            <w:tcW w:type="dxa" w:w="2592"/>
            <w:shd w:fill="FFFFFF"/>
            <w:tcMar>
              <w:top w:w="80" w:type="dxa"/>
              <w:bottom w:w="80" w:type="dxa"/>
              <w:left w:w="120" w:type="dxa"/>
              <w:right w:w="120" w:type="dxa"/>
            </w:tcMar>
          </w:tcPr>
          <w:p>
            <w:pPr>
              <w:jc w:val="left"/>
            </w:pPr>
            <w:r>
              <w:rPr>
                <w:rFonts w:ascii="Calibri" w:hAnsi="Calibri"/>
                <w:color w:val="333333"/>
                <w:sz w:val="19"/>
              </w:rPr>
              <w:t>99th Percentile</w:t>
            </w:r>
          </w:p>
        </w:tc>
        <w:tc>
          <w:tcPr>
            <w:tcW w:type="dxa" w:w="2016"/>
            <w:shd w:fill="FFFFFF"/>
            <w:tcMar>
              <w:top w:w="80" w:type="dxa"/>
              <w:bottom w:w="80" w:type="dxa"/>
              <w:left w:w="120" w:type="dxa"/>
              <w:right w:w="120" w:type="dxa"/>
            </w:tcMar>
          </w:tcPr>
          <w:p>
            <w:pPr>
              <w:jc w:val="right"/>
            </w:pPr>
            <w:r>
              <w:rPr>
                <w:rFonts w:ascii="Calibri" w:hAnsi="Calibri"/>
                <w:color w:val="333333"/>
                <w:sz w:val="19"/>
              </w:rPr>
              <w:t>120.00</w:t>
            </w:r>
          </w:p>
        </w:tc>
        <w:tc>
          <w:tcPr>
            <w:tcW w:type="dxa" w:w="2016"/>
            <w:shd w:fill="FFFFFF"/>
            <w:tcMar>
              <w:top w:w="80" w:type="dxa"/>
              <w:bottom w:w="80" w:type="dxa"/>
              <w:left w:w="120" w:type="dxa"/>
              <w:right w:w="120" w:type="dxa"/>
            </w:tcMar>
          </w:tcPr>
          <w:p>
            <w:pPr>
              <w:jc w:val="right"/>
            </w:pPr>
            <w:r>
              <w:rPr>
                <w:rFonts w:ascii="Calibri" w:hAnsi="Calibri"/>
                <w:color w:val="333333"/>
                <w:sz w:val="19"/>
              </w:rPr>
              <w:t>£15.00</w:t>
            </w:r>
          </w:p>
        </w:tc>
        <w:tc>
          <w:tcPr>
            <w:tcW w:type="dxa" w:w="2736"/>
            <w:shd w:fill="FFFFFF"/>
            <w:tcMar>
              <w:top w:w="80" w:type="dxa"/>
              <w:bottom w:w="80" w:type="dxa"/>
              <w:left w:w="120" w:type="dxa"/>
              <w:right w:w="120" w:type="dxa"/>
            </w:tcMar>
          </w:tcPr>
          <w:p>
            <w:pPr>
              <w:jc w:val="right"/>
            </w:pPr>
            <w:r>
              <w:rPr>
                <w:rFonts w:ascii="Calibri" w:hAnsi="Calibri"/>
                <w:color w:val="333333"/>
                <w:sz w:val="19"/>
              </w:rPr>
              <w:t>£125.00</w:t>
            </w:r>
          </w:p>
        </w:tc>
      </w:tr>
      <w:tr>
        <w:tc>
          <w:tcPr>
            <w:tcW w:type="dxa" w:w="2592"/>
            <w:shd w:fill="F9FAFB"/>
            <w:tcMar>
              <w:top w:w="80" w:type="dxa"/>
              <w:bottom w:w="80" w:type="dxa"/>
              <w:left w:w="120" w:type="dxa"/>
              <w:right w:w="120" w:type="dxa"/>
            </w:tcMar>
          </w:tcPr>
          <w:p>
            <w:pPr>
              <w:jc w:val="left"/>
            </w:pPr>
            <w:r>
              <w:rPr>
                <w:rFonts w:ascii="Calibri" w:hAnsi="Calibri"/>
                <w:color w:val="333333"/>
                <w:sz w:val="19"/>
              </w:rPr>
              <w:t>Maximum</w:t>
            </w:r>
          </w:p>
        </w:tc>
        <w:tc>
          <w:tcPr>
            <w:tcW w:type="dxa" w:w="2016"/>
            <w:shd w:fill="F9FAFB"/>
            <w:tcMar>
              <w:top w:w="80" w:type="dxa"/>
              <w:bottom w:w="80" w:type="dxa"/>
              <w:left w:w="120" w:type="dxa"/>
              <w:right w:w="120" w:type="dxa"/>
            </w:tcMar>
          </w:tcPr>
          <w:p>
            <w:pPr>
              <w:jc w:val="right"/>
            </w:pPr>
            <w:r>
              <w:rPr>
                <w:rFonts w:ascii="Calibri" w:hAnsi="Calibri"/>
                <w:color w:val="333333"/>
                <w:sz w:val="19"/>
              </w:rPr>
              <w:t>80,995.00</w:t>
            </w:r>
          </w:p>
        </w:tc>
        <w:tc>
          <w:tcPr>
            <w:tcW w:type="dxa" w:w="2016"/>
            <w:shd w:fill="F9FAFB"/>
            <w:tcMar>
              <w:top w:w="80" w:type="dxa"/>
              <w:bottom w:w="80" w:type="dxa"/>
              <w:left w:w="120" w:type="dxa"/>
              <w:right w:w="120" w:type="dxa"/>
            </w:tcMar>
          </w:tcPr>
          <w:p>
            <w:pPr>
              <w:jc w:val="right"/>
            </w:pPr>
            <w:r>
              <w:rPr>
                <w:rFonts w:ascii="Calibri" w:hAnsi="Calibri"/>
                <w:color w:val="333333"/>
                <w:sz w:val="19"/>
              </w:rPr>
              <w:t>£3,155.95</w:t>
            </w:r>
          </w:p>
        </w:tc>
        <w:tc>
          <w:tcPr>
            <w:tcW w:type="dxa" w:w="2736"/>
            <w:shd w:fill="F9FAFB"/>
            <w:tcMar>
              <w:top w:w="80" w:type="dxa"/>
              <w:bottom w:w="80" w:type="dxa"/>
              <w:left w:w="120" w:type="dxa"/>
              <w:right w:w="120" w:type="dxa"/>
            </w:tcMar>
          </w:tcPr>
          <w:p>
            <w:pPr>
              <w:jc w:val="right"/>
            </w:pPr>
            <w:r>
              <w:rPr>
                <w:rFonts w:ascii="Calibri" w:hAnsi="Calibri"/>
                <w:color w:val="333333"/>
                <w:sz w:val="19"/>
              </w:rPr>
              <w:t>£168,469.60</w:t>
            </w:r>
          </w:p>
        </w:tc>
      </w:tr>
    </w:tbl>
    <w:p>
      <w:pPr>
        <w:spacing w:after="160"/>
      </w:pPr>
    </w:p>
    <w:p>
      <w:pPr>
        <w:spacing w:before="0" w:after="100" w:line="276" w:lineRule="auto"/>
      </w:pPr>
      <w:r>
        <w:rPr>
          <w:rFonts w:ascii="Calibri" w:hAnsi="Calibri"/>
          <w:color w:val="333333"/>
          <w:sz w:val="22"/>
        </w:rPr>
        <w:t>The statistical comparison between median (£9.90) and mean (£19.64) underscores substantial right-skewness. While 75% of transaction line items involve £17.70 or less and 10 or fewer units, the distribution is characterized by an extreme positive tail driven by wholesale buyers purchasing thousands of units in a single order line. The single largest transaction line reached £168,469.60 (80,995 units of 'PAPER CRAFT , LITTLE BIRDIE').</w:t>
      </w:r>
    </w:p>
    <w:p>
      <w:pPr>
        <w:keepNext/>
        <w:spacing w:before="280" w:after="120"/>
        <w:jc w:val="left"/>
      </w:pPr>
      <w:r>
        <w:rPr>
          <w:rFonts w:ascii="Calibri" w:hAnsi="Calibri"/>
          <w:b/>
          <w:color w:val="1F4E79"/>
          <w:sz w:val="36"/>
        </w:rPr>
        <w:t>7. Sales &amp; Seasonality Analysis</w:t>
      </w:r>
    </w:p>
    <w:p>
      <w:pPr>
        <w:spacing w:before="0" w:after="100" w:line="276" w:lineRule="auto"/>
      </w:pPr>
      <w:r>
        <w:rPr>
          <w:rFonts w:ascii="Calibri" w:hAnsi="Calibri"/>
          <w:color w:val="333333"/>
          <w:sz w:val="22"/>
        </w:rPr>
        <w:t>Evaluating month-over-month sales performance reveals profound seasonal cadence and operational growth patterns. The enterprise recorded steady baseline revenues between £500,000 and £750,000 per month during the first three quarters of 2011, followed by an exponential surge in Q4.</w:t>
      </w:r>
    </w:p>
    <w:p>
      <w:pPr>
        <w:keepNext/>
        <w:spacing w:before="12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01_monthly_revenue_trend.png"/>
                    <pic:cNvPicPr/>
                  </pic:nvPicPr>
                  <pic:blipFill>
                    <a:blip r:embed="rId11"/>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6464"/>
          <w:sz w:val="19"/>
        </w:rPr>
        <w:t>Figure 1: Monthly Total Net Revenue (£ Thousands) from Dec 2010 to Dec 2011</w:t>
      </w:r>
    </w:p>
    <w:p>
      <w:pPr>
        <w:keepNext/>
        <w:spacing w:before="12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2_monthly_orders_trend.png"/>
                    <pic:cNvPicPr/>
                  </pic:nvPicPr>
                  <pic:blipFill>
                    <a:blip r:embed="rId12"/>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6464"/>
          <w:sz w:val="19"/>
        </w:rPr>
        <w:t>Figure 2: Monthly Completed Order Invoices Volume</w:t>
      </w:r>
    </w:p>
    <w:p>
      <w:pPr>
        <w:spacing w:before="0" w:after="100" w:line="276" w:lineRule="auto"/>
      </w:pPr>
      <w:r>
        <w:rPr>
          <w:rFonts w:ascii="Calibri" w:hAnsi="Calibri"/>
          <w:color w:val="333333"/>
          <w:sz w:val="22"/>
        </w:rPr>
        <w:t>Sales peaked decisively in November 2011 (2011-11), generating £1,453,265.98 in revenue across 2,751 completed orders. This represents a 186.0% expansion over the annual low recorded in February 2011 (£508,081.54, 1,114 orders). This explosive Q4 acceleration is directly attributable to retailers stocking inventory in advance of the Christmas gifting period. December 2011 reflects £517,110.74 across 9 operating days, representing an annualized run rate surpassing £1.7M.</w:t>
      </w:r>
    </w:p>
    <w:p>
      <w:pPr>
        <w:keepNext/>
        <w:spacing w:before="280" w:after="120"/>
        <w:jc w:val="left"/>
      </w:pPr>
      <w:r>
        <w:rPr>
          <w:rFonts w:ascii="Calibri" w:hAnsi="Calibri"/>
          <w:b/>
          <w:color w:val="1F4E79"/>
          <w:sz w:val="36"/>
        </w:rPr>
        <w:t>8. Temporal Behavior Analysis (Day of Week &amp; Hourly)</w:t>
      </w:r>
    </w:p>
    <w:p>
      <w:pPr>
        <w:spacing w:before="0" w:after="100" w:line="276" w:lineRule="auto"/>
      </w:pPr>
      <w:r>
        <w:rPr>
          <w:rFonts w:ascii="Calibri" w:hAnsi="Calibri"/>
          <w:color w:val="333333"/>
          <w:sz w:val="22"/>
        </w:rPr>
        <w:t>To optimize warehouse staffing, inventory replenishment schedules, and marketing email dispatch, we mapped transaction volumes across days of the week and operating hours of the day.</w:t>
      </w:r>
    </w:p>
    <w:p>
      <w:pPr>
        <w:keepNext/>
        <w:spacing w:before="120" w:after="40"/>
        <w:jc w:val="center"/>
      </w:pPr>
      <w:r>
        <w:drawing>
          <wp:inline xmlns:a="http://schemas.openxmlformats.org/drawingml/2006/main" xmlns:pic="http://schemas.openxmlformats.org/drawingml/2006/picture">
            <wp:extent cx="5669280" cy="3118104"/>
            <wp:docPr id="3" name="Picture 3"/>
            <wp:cNvGraphicFramePr>
              <a:graphicFrameLocks noChangeAspect="1"/>
            </wp:cNvGraphicFramePr>
            <a:graphic>
              <a:graphicData uri="http://schemas.openxmlformats.org/drawingml/2006/picture">
                <pic:pic>
                  <pic:nvPicPr>
                    <pic:cNvPr id="0" name="07_orders_by_day_of_week.png"/>
                    <pic:cNvPicPr/>
                  </pic:nvPicPr>
                  <pic:blipFill>
                    <a:blip r:embed="rId13"/>
                    <a:stretch>
                      <a:fillRect/>
                    </a:stretch>
                  </pic:blipFill>
                  <pic:spPr>
                    <a:xfrm>
                      <a:off x="0" y="0"/>
                      <a:ext cx="5669280" cy="3118104"/>
                    </a:xfrm>
                    <a:prstGeom prst="rect"/>
                  </pic:spPr>
                </pic:pic>
              </a:graphicData>
            </a:graphic>
          </wp:inline>
        </w:drawing>
      </w:r>
    </w:p>
    <w:p>
      <w:pPr>
        <w:spacing w:before="0" w:after="160"/>
        <w:jc w:val="center"/>
      </w:pPr>
      <w:r>
        <w:rPr>
          <w:rFonts w:ascii="Calibri" w:hAnsi="Calibri"/>
          <w:i/>
          <w:color w:val="646464"/>
          <w:sz w:val="19"/>
        </w:rPr>
        <w:t>Figure 3: Order Volume Distribution by Day of Week</w:t>
      </w:r>
    </w:p>
    <w:p>
      <w:pPr>
        <w:keepNext/>
        <w:spacing w:before="120" w:after="40"/>
        <w:jc w:val="center"/>
      </w:pPr>
      <w:r>
        <w:drawing>
          <wp:inline xmlns:a="http://schemas.openxmlformats.org/drawingml/2006/main" xmlns:pic="http://schemas.openxmlformats.org/drawingml/2006/picture">
            <wp:extent cx="5669280" cy="2598420"/>
            <wp:docPr id="4" name="Picture 4"/>
            <wp:cNvGraphicFramePr>
              <a:graphicFrameLocks noChangeAspect="1"/>
            </wp:cNvGraphicFramePr>
            <a:graphic>
              <a:graphicData uri="http://schemas.openxmlformats.org/drawingml/2006/picture">
                <pic:pic>
                  <pic:nvPicPr>
                    <pic:cNvPr id="0" name="08_orders_by_hour.png"/>
                    <pic:cNvPicPr/>
                  </pic:nvPicPr>
                  <pic:blipFill>
                    <a:blip r:embed="rId14"/>
                    <a:stretch>
                      <a:fillRect/>
                    </a:stretch>
                  </pic:blipFill>
                  <pic:spPr>
                    <a:xfrm>
                      <a:off x="0" y="0"/>
                      <a:ext cx="5669280" cy="2598420"/>
                    </a:xfrm>
                    <a:prstGeom prst="rect"/>
                  </pic:spPr>
                </pic:pic>
              </a:graphicData>
            </a:graphic>
          </wp:inline>
        </w:drawing>
      </w:r>
    </w:p>
    <w:p>
      <w:pPr>
        <w:spacing w:before="0" w:after="160"/>
        <w:jc w:val="center"/>
      </w:pPr>
      <w:r>
        <w:rPr>
          <w:rFonts w:ascii="Calibri" w:hAnsi="Calibri"/>
          <w:i/>
          <w:color w:val="646464"/>
          <w:sz w:val="19"/>
        </w:rPr>
        <w:t>Figure 4: Transaction Volume Across Operating Hours of the Day</w:t>
      </w:r>
    </w:p>
    <w:p>
      <w:pPr>
        <w:spacing w:before="0" w:after="100" w:line="276" w:lineRule="auto"/>
      </w:pPr>
      <w:r>
        <w:rPr>
          <w:rFonts w:ascii="Calibri" w:hAnsi="Calibri"/>
          <w:color w:val="333333"/>
          <w:sz w:val="22"/>
        </w:rPr>
        <w:t>1. Day-of-Week Distribution: Thursday is the peak trading day with 4,209 orders (£2,109,720.69), followed closely by Wednesday (3,995 orders) and Tuesday (3,767 orders). Crucially, exactly zero orders are recorded on Saturdays. This complete weekend shutdown reflects the enterprise's wholesale heritage, where commercial buyers submit orders ahead of the weekend.</w:t>
      </w:r>
    </w:p>
    <w:p>
      <w:pPr>
        <w:spacing w:before="0" w:after="100" w:line="276" w:lineRule="auto"/>
      </w:pPr>
      <w:r>
        <w:rPr>
          <w:rFonts w:ascii="Calibri" w:hAnsi="Calibri"/>
          <w:color w:val="333333"/>
          <w:sz w:val="22"/>
        </w:rPr>
        <w:t>2. Hourly Cadence: Trading activity commences at 6:00 AM, ramps rapidly past 8:00 AM, and peaks at 12:00 PM (3,205 orders). Over 72% of all orders are placed between 10:00 AM and 3:00 PM. Transaction velocity declines steeply after 4:00 PM, with fewer than 100 orders placed after 6:00 PM. This bell-shaped daytime distribution reinforces that transactions are conducted during corporate business hours.</w:t>
      </w:r>
    </w:p>
    <w:p>
      <w:pPr>
        <w:keepNext/>
        <w:spacing w:before="280" w:after="120"/>
        <w:jc w:val="left"/>
      </w:pPr>
      <w:r>
        <w:rPr>
          <w:rFonts w:ascii="Calibri" w:hAnsi="Calibri"/>
          <w:b/>
          <w:color w:val="1F4E79"/>
          <w:sz w:val="36"/>
        </w:rPr>
        <w:t>9. Product Intelligence &amp; Inventory Dynamics</w:t>
      </w:r>
    </w:p>
    <w:p>
      <w:pPr>
        <w:spacing w:before="0" w:after="100" w:line="276" w:lineRule="auto"/>
      </w:pPr>
      <w:r>
        <w:rPr>
          <w:rFonts w:ascii="Calibri" w:hAnsi="Calibri"/>
          <w:color w:val="333333"/>
          <w:sz w:val="22"/>
        </w:rPr>
        <w:t>The catalog encompasses 3,915 distinct stock codes. We evaluated revenue generation and physical unit velocity to identify the enterprise's flagship merchandise.</w:t>
      </w:r>
    </w:p>
    <w:p>
      <w:pPr>
        <w:keepNext/>
        <w:spacing w:before="120" w:after="40"/>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03_top_products_revenue.png"/>
                    <pic:cNvPicPr/>
                  </pic:nvPicPr>
                  <pic:blipFill>
                    <a:blip r:embed="rId15"/>
                    <a:stretch>
                      <a:fillRect/>
                    </a:stretch>
                  </pic:blipFill>
                  <pic:spPr>
                    <a:xfrm>
                      <a:off x="0" y="0"/>
                      <a:ext cx="5669280" cy="3307080"/>
                    </a:xfrm>
                    <a:prstGeom prst="rect"/>
                  </pic:spPr>
                </pic:pic>
              </a:graphicData>
            </a:graphic>
          </wp:inline>
        </w:drawing>
      </w:r>
    </w:p>
    <w:p>
      <w:pPr>
        <w:spacing w:before="0" w:after="160"/>
        <w:jc w:val="center"/>
      </w:pPr>
      <w:r>
        <w:rPr>
          <w:rFonts w:ascii="Calibri" w:hAnsi="Calibri"/>
          <w:i/>
          <w:color w:val="646464"/>
          <w:sz w:val="19"/>
        </w:rPr>
        <w:t>Figure 5: Top 10 Products by Total Revenue Generation (£ Thousands)</w:t>
      </w:r>
    </w:p>
    <w:p>
      <w:pPr>
        <w:keepNext/>
        <w:spacing w:before="120" w:after="40"/>
        <w:jc w:val="center"/>
      </w:pPr>
      <w:r>
        <w:drawing>
          <wp:inline xmlns:a="http://schemas.openxmlformats.org/drawingml/2006/main" xmlns:pic="http://schemas.openxmlformats.org/drawingml/2006/picture">
            <wp:extent cx="5669280" cy="3307080"/>
            <wp:docPr id="6" name="Picture 6"/>
            <wp:cNvGraphicFramePr>
              <a:graphicFrameLocks noChangeAspect="1"/>
            </wp:cNvGraphicFramePr>
            <a:graphic>
              <a:graphicData uri="http://schemas.openxmlformats.org/drawingml/2006/picture">
                <pic:pic>
                  <pic:nvPicPr>
                    <pic:cNvPr id="0" name="04_top_products_quantity.png"/>
                    <pic:cNvPicPr/>
                  </pic:nvPicPr>
                  <pic:blipFill>
                    <a:blip r:embed="rId16"/>
                    <a:stretch>
                      <a:fillRect/>
                    </a:stretch>
                  </pic:blipFill>
                  <pic:spPr>
                    <a:xfrm>
                      <a:off x="0" y="0"/>
                      <a:ext cx="5669280" cy="3307080"/>
                    </a:xfrm>
                    <a:prstGeom prst="rect"/>
                  </pic:spPr>
                </pic:pic>
              </a:graphicData>
            </a:graphic>
          </wp:inline>
        </w:drawing>
      </w:r>
    </w:p>
    <w:p>
      <w:pPr>
        <w:spacing w:before="0" w:after="160"/>
        <w:jc w:val="center"/>
      </w:pPr>
      <w:r>
        <w:rPr>
          <w:rFonts w:ascii="Calibri" w:hAnsi="Calibri"/>
          <w:i/>
          <w:color w:val="646464"/>
          <w:sz w:val="19"/>
        </w:rPr>
        <w:t>Figure 6: Top 10 Products by Physical Unit Velocity (Thousands of Units)</w:t>
      </w:r>
    </w:p>
    <w:p>
      <w:pPr>
        <w:spacing w:before="0" w:after="100" w:line="276" w:lineRule="auto"/>
      </w:pPr>
      <w:r>
        <w:rPr>
          <w:rFonts w:ascii="Calibri" w:hAnsi="Calibri"/>
          <w:color w:val="333333"/>
          <w:sz w:val="22"/>
        </w:rPr>
        <w:t>1. Top Revenue Flagship: Stock Code 22423 ('REGENCY CAKESTAND 3 TIER') generated £174,156.54 across 13,812 units sold with an average selling price of £12.44. This multi-tiered decorative cakestand represents the enterprise's highest-margin hero product.</w:t>
      </w:r>
    </w:p>
    <w:p>
      <w:pPr>
        <w:spacing w:before="0" w:after="100" w:line="276" w:lineRule="auto"/>
      </w:pPr>
      <w:r>
        <w:rPr>
          <w:rFonts w:ascii="Calibri" w:hAnsi="Calibri"/>
          <w:color w:val="333333"/>
          <w:sz w:val="22"/>
        </w:rPr>
        <w:t>2. Top Volume Flagship: Stock Code 23843 ('PAPER CRAFT , LITTLE BIRDIE') generated the highest unit volume at 80,995 units (£168,469.60), followed by 'MEDIUM CERAMIC TOP STORAGE JAR' (78,033 units, £81,700.92) and 'WORLD WAR 2 GLIDERS ASSTD DESIGNS' (54,951 units, £14,642.34).</w:t>
      </w:r>
    </w:p>
    <w:p>
      <w:pPr>
        <w:keepNext/>
        <w:spacing w:before="280" w:after="120"/>
        <w:jc w:val="left"/>
      </w:pPr>
      <w:r>
        <w:rPr>
          <w:rFonts w:ascii="Calibri" w:hAnsi="Calibri"/>
          <w:b/>
          <w:color w:val="1F4E79"/>
          <w:sz w:val="36"/>
        </w:rPr>
        <w:t>10. Geographic Market Performance &amp; Cross-Border Expansion</w:t>
      </w:r>
    </w:p>
    <w:p>
      <w:pPr>
        <w:spacing w:before="0" w:after="100" w:line="276" w:lineRule="auto"/>
      </w:pPr>
      <w:r>
        <w:rPr>
          <w:rFonts w:ascii="Calibri" w:hAnsi="Calibri"/>
          <w:color w:val="333333"/>
          <w:sz w:val="22"/>
        </w:rPr>
        <w:t>The retailer serves customers across 38 countries. We evaluated domestic UK concentration against international cross-border performance.</w:t>
      </w:r>
    </w:p>
    <w:p>
      <w:pPr>
        <w:keepNext/>
        <w:spacing w:before="120" w:after="4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05_revenue_by_country.png"/>
                    <pic:cNvPicPr/>
                  </pic:nvPicPr>
                  <pic:blipFill>
                    <a:blip r:embed="rId17"/>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6464"/>
          <w:sz w:val="19"/>
        </w:rPr>
        <w:t>Figure 7: Top 10 Countries by Total Revenue (£ Thousands)</w:t>
      </w:r>
    </w:p>
    <w:p>
      <w:pPr>
        <w:keepNext/>
        <w:spacing w:before="120" w:after="40"/>
        <w:jc w:val="center"/>
      </w:pPr>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06_international_revenue_ex_uk.png"/>
                    <pic:cNvPicPr/>
                  </pic:nvPicPr>
                  <pic:blipFill>
                    <a:blip r:embed="rId18"/>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6464"/>
          <w:sz w:val="19"/>
        </w:rPr>
        <w:t>Figure 8: Top 10 International Cross-Border Markets (Excluding United Kingdom)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F4E79"/>
            <w:tcMar>
              <w:top w:w="100" w:type="dxa"/>
              <w:bottom w:w="100" w:type="dxa"/>
              <w:left w:w="120" w:type="dxa"/>
              <w:right w:w="120" w:type="dxa"/>
            </w:tcMar>
          </w:tcPr>
          <w:p>
            <w:pPr>
              <w:jc w:val="left"/>
            </w:pPr>
            <w:r>
              <w:rPr>
                <w:rFonts w:ascii="Calibri" w:hAnsi="Calibri"/>
                <w:b/>
                <w:color w:val="FFFFFF"/>
                <w:sz w:val="20"/>
              </w:rPr>
              <w:t>Market / Country</w:t>
            </w:r>
          </w:p>
        </w:tc>
        <w:tc>
          <w:tcPr>
            <w:tcW w:type="dxa" w:w="1728"/>
            <w:shd w:fill="1F4E79"/>
            <w:tcMar>
              <w:top w:w="100" w:type="dxa"/>
              <w:bottom w:w="100" w:type="dxa"/>
              <w:left w:w="120" w:type="dxa"/>
              <w:right w:w="120" w:type="dxa"/>
            </w:tcMar>
          </w:tcPr>
          <w:p>
            <w:pPr>
              <w:jc w:val="right"/>
            </w:pPr>
            <w:r>
              <w:rPr>
                <w:rFonts w:ascii="Calibri" w:hAnsi="Calibri"/>
                <w:b/>
                <w:color w:val="FFFFFF"/>
                <w:sz w:val="20"/>
              </w:rPr>
              <w:t>Net Revenue (£)</w:t>
            </w:r>
          </w:p>
        </w:tc>
        <w:tc>
          <w:tcPr>
            <w:tcW w:type="dxa" w:w="1440"/>
            <w:shd w:fill="1F4E79"/>
            <w:tcMar>
              <w:top w:w="100" w:type="dxa"/>
              <w:bottom w:w="100" w:type="dxa"/>
              <w:left w:w="120" w:type="dxa"/>
              <w:right w:w="120" w:type="dxa"/>
            </w:tcMar>
          </w:tcPr>
          <w:p>
            <w:pPr>
              <w:jc w:val="right"/>
            </w:pPr>
            <w:r>
              <w:rPr>
                <w:rFonts w:ascii="Calibri" w:hAnsi="Calibri"/>
                <w:b/>
                <w:color w:val="FFFFFF"/>
                <w:sz w:val="20"/>
              </w:rPr>
              <w:t>Revenue Share (%)</w:t>
            </w:r>
          </w:p>
        </w:tc>
        <w:tc>
          <w:tcPr>
            <w:tcW w:type="dxa" w:w="1296"/>
            <w:shd w:fill="1F4E79"/>
            <w:tcMar>
              <w:top w:w="100" w:type="dxa"/>
              <w:bottom w:w="100" w:type="dxa"/>
              <w:left w:w="120" w:type="dxa"/>
              <w:right w:w="120" w:type="dxa"/>
            </w:tcMar>
          </w:tcPr>
          <w:p>
            <w:pPr>
              <w:jc w:val="right"/>
            </w:pPr>
            <w:r>
              <w:rPr>
                <w:rFonts w:ascii="Calibri" w:hAnsi="Calibri"/>
                <w:b/>
                <w:color w:val="FFFFFF"/>
                <w:sz w:val="20"/>
              </w:rPr>
              <w:t>Completed Orders</w:t>
            </w:r>
          </w:p>
        </w:tc>
        <w:tc>
          <w:tcPr>
            <w:tcW w:type="dxa" w:w="1296"/>
            <w:shd w:fill="1F4E79"/>
            <w:tcMar>
              <w:top w:w="100" w:type="dxa"/>
              <w:bottom w:w="100" w:type="dxa"/>
              <w:left w:w="120" w:type="dxa"/>
              <w:right w:w="120" w:type="dxa"/>
            </w:tcMar>
          </w:tcPr>
          <w:p>
            <w:pPr>
              <w:jc w:val="right"/>
            </w:pPr>
            <w:r>
              <w:rPr>
                <w:rFonts w:ascii="Calibri" w:hAnsi="Calibri"/>
                <w:b/>
                <w:color w:val="FFFFFF"/>
                <w:sz w:val="20"/>
              </w:rPr>
              <w:t>Active Customers</w:t>
            </w:r>
          </w:p>
        </w:tc>
        <w:tc>
          <w:tcPr>
            <w:tcW w:type="dxa" w:w="1440"/>
            <w:shd w:fill="1F4E79"/>
            <w:tcMar>
              <w:top w:w="100" w:type="dxa"/>
              <w:bottom w:w="100" w:type="dxa"/>
              <w:left w:w="120" w:type="dxa"/>
              <w:right w:w="120" w:type="dxa"/>
            </w:tcMar>
          </w:tcPr>
          <w:p>
            <w:pPr>
              <w:jc w:val="right"/>
            </w:pPr>
            <w:r>
              <w:rPr>
                <w:rFonts w:ascii="Calibri" w:hAnsi="Calibri"/>
                <w:b/>
                <w:color w:val="FFFFFF"/>
                <w:sz w:val="20"/>
              </w:rPr>
              <w:t>Average Order Value (£)</w:t>
            </w:r>
          </w:p>
        </w:tc>
      </w:tr>
      <w:tr>
        <w:tc>
          <w:tcPr>
            <w:tcW w:type="dxa" w:w="2160"/>
            <w:shd w:fill="FFFFFF"/>
            <w:tcMar>
              <w:top w:w="80" w:type="dxa"/>
              <w:bottom w:w="80" w:type="dxa"/>
              <w:left w:w="120" w:type="dxa"/>
              <w:right w:w="120" w:type="dxa"/>
            </w:tcMar>
          </w:tcPr>
          <w:p>
            <w:pPr>
              <w:jc w:val="left"/>
            </w:pPr>
            <w:r>
              <w:rPr>
                <w:rFonts w:ascii="Calibri" w:hAnsi="Calibri"/>
                <w:color w:val="333333"/>
                <w:sz w:val="19"/>
              </w:rPr>
              <w:t>United Kingdom</w:t>
            </w:r>
          </w:p>
        </w:tc>
        <w:tc>
          <w:tcPr>
            <w:tcW w:type="dxa" w:w="1728"/>
            <w:shd w:fill="FFFFFF"/>
            <w:tcMar>
              <w:top w:w="80" w:type="dxa"/>
              <w:bottom w:w="80" w:type="dxa"/>
              <w:left w:w="120" w:type="dxa"/>
              <w:right w:w="120" w:type="dxa"/>
            </w:tcMar>
          </w:tcPr>
          <w:p>
            <w:pPr>
              <w:jc w:val="right"/>
            </w:pPr>
            <w:r>
              <w:rPr>
                <w:rFonts w:ascii="Calibri" w:hAnsi="Calibri"/>
                <w:color w:val="333333"/>
                <w:sz w:val="19"/>
              </w:rPr>
              <w:t>£8,737,666.54</w:t>
            </w:r>
          </w:p>
        </w:tc>
        <w:tc>
          <w:tcPr>
            <w:tcW w:type="dxa" w:w="1440"/>
            <w:shd w:fill="FFFFFF"/>
            <w:tcMar>
              <w:top w:w="80" w:type="dxa"/>
              <w:bottom w:w="80" w:type="dxa"/>
              <w:left w:w="120" w:type="dxa"/>
              <w:right w:w="120" w:type="dxa"/>
            </w:tcMar>
          </w:tcPr>
          <w:p>
            <w:pPr>
              <w:jc w:val="right"/>
            </w:pPr>
            <w:r>
              <w:rPr>
                <w:rFonts w:ascii="Calibri" w:hAnsi="Calibri"/>
                <w:color w:val="333333"/>
                <w:sz w:val="19"/>
              </w:rPr>
              <w:t>85.11%</w:t>
            </w:r>
          </w:p>
        </w:tc>
        <w:tc>
          <w:tcPr>
            <w:tcW w:type="dxa" w:w="1296"/>
            <w:shd w:fill="FFFFFF"/>
            <w:tcMar>
              <w:top w:w="80" w:type="dxa"/>
              <w:bottom w:w="80" w:type="dxa"/>
              <w:left w:w="120" w:type="dxa"/>
              <w:right w:w="120" w:type="dxa"/>
            </w:tcMar>
          </w:tcPr>
          <w:p>
            <w:pPr>
              <w:jc w:val="right"/>
            </w:pPr>
            <w:r>
              <w:rPr>
                <w:rFonts w:ascii="Calibri" w:hAnsi="Calibri"/>
                <w:color w:val="333333"/>
                <w:sz w:val="19"/>
              </w:rPr>
              <w:t>18,016</w:t>
            </w:r>
          </w:p>
        </w:tc>
        <w:tc>
          <w:tcPr>
            <w:tcW w:type="dxa" w:w="1296"/>
            <w:shd w:fill="FFFFFF"/>
            <w:tcMar>
              <w:top w:w="80" w:type="dxa"/>
              <w:bottom w:w="80" w:type="dxa"/>
              <w:left w:w="120" w:type="dxa"/>
              <w:right w:w="120" w:type="dxa"/>
            </w:tcMar>
          </w:tcPr>
          <w:p>
            <w:pPr>
              <w:jc w:val="right"/>
            </w:pPr>
            <w:r>
              <w:rPr>
                <w:rFonts w:ascii="Calibri" w:hAnsi="Calibri"/>
                <w:color w:val="333333"/>
                <w:sz w:val="19"/>
              </w:rPr>
              <w:t>3,921</w:t>
            </w:r>
          </w:p>
        </w:tc>
        <w:tc>
          <w:tcPr>
            <w:tcW w:type="dxa" w:w="1440"/>
            <w:shd w:fill="FFFFFF"/>
            <w:tcMar>
              <w:top w:w="80" w:type="dxa"/>
              <w:bottom w:w="80" w:type="dxa"/>
              <w:left w:w="120" w:type="dxa"/>
              <w:right w:w="120" w:type="dxa"/>
            </w:tcMar>
          </w:tcPr>
          <w:p>
            <w:pPr>
              <w:jc w:val="right"/>
            </w:pPr>
            <w:r>
              <w:rPr>
                <w:rFonts w:ascii="Calibri" w:hAnsi="Calibri"/>
                <w:color w:val="333333"/>
                <w:sz w:val="19"/>
              </w:rPr>
              <w:t>£484.99</w:t>
            </w:r>
          </w:p>
        </w:tc>
      </w:tr>
      <w:tr>
        <w:tc>
          <w:tcPr>
            <w:tcW w:type="dxa" w:w="2160"/>
            <w:shd w:fill="F9FAFB"/>
            <w:tcMar>
              <w:top w:w="80" w:type="dxa"/>
              <w:bottom w:w="80" w:type="dxa"/>
              <w:left w:w="120" w:type="dxa"/>
              <w:right w:w="120" w:type="dxa"/>
            </w:tcMar>
          </w:tcPr>
          <w:p>
            <w:pPr>
              <w:jc w:val="left"/>
            </w:pPr>
            <w:r>
              <w:rPr>
                <w:rFonts w:ascii="Calibri" w:hAnsi="Calibri"/>
                <w:color w:val="333333"/>
                <w:sz w:val="19"/>
              </w:rPr>
              <w:t>Netherlands</w:t>
            </w:r>
          </w:p>
        </w:tc>
        <w:tc>
          <w:tcPr>
            <w:tcW w:type="dxa" w:w="1728"/>
            <w:shd w:fill="F9FAFB"/>
            <w:tcMar>
              <w:top w:w="80" w:type="dxa"/>
              <w:bottom w:w="80" w:type="dxa"/>
              <w:left w:w="120" w:type="dxa"/>
              <w:right w:w="120" w:type="dxa"/>
            </w:tcMar>
          </w:tcPr>
          <w:p>
            <w:pPr>
              <w:jc w:val="right"/>
            </w:pPr>
            <w:r>
              <w:rPr>
                <w:rFonts w:ascii="Calibri" w:hAnsi="Calibri"/>
                <w:color w:val="333333"/>
                <w:sz w:val="19"/>
              </w:rPr>
              <w:t>£283,889.34</w:t>
            </w:r>
          </w:p>
        </w:tc>
        <w:tc>
          <w:tcPr>
            <w:tcW w:type="dxa" w:w="1440"/>
            <w:shd w:fill="F9FAFB"/>
            <w:tcMar>
              <w:top w:w="80" w:type="dxa"/>
              <w:bottom w:w="80" w:type="dxa"/>
              <w:left w:w="120" w:type="dxa"/>
              <w:right w:w="120" w:type="dxa"/>
            </w:tcMar>
          </w:tcPr>
          <w:p>
            <w:pPr>
              <w:jc w:val="right"/>
            </w:pPr>
            <w:r>
              <w:rPr>
                <w:rFonts w:ascii="Calibri" w:hAnsi="Calibri"/>
                <w:color w:val="333333"/>
                <w:sz w:val="19"/>
              </w:rPr>
              <w:t>2.77%</w:t>
            </w:r>
          </w:p>
        </w:tc>
        <w:tc>
          <w:tcPr>
            <w:tcW w:type="dxa" w:w="1296"/>
            <w:shd w:fill="F9FAFB"/>
            <w:tcMar>
              <w:top w:w="80" w:type="dxa"/>
              <w:bottom w:w="80" w:type="dxa"/>
              <w:left w:w="120" w:type="dxa"/>
              <w:right w:w="120" w:type="dxa"/>
            </w:tcMar>
          </w:tcPr>
          <w:p>
            <w:pPr>
              <w:jc w:val="right"/>
            </w:pPr>
            <w:r>
              <w:rPr>
                <w:rFonts w:ascii="Calibri" w:hAnsi="Calibri"/>
                <w:color w:val="333333"/>
                <w:sz w:val="19"/>
              </w:rPr>
              <w:t>94</w:t>
            </w:r>
          </w:p>
        </w:tc>
        <w:tc>
          <w:tcPr>
            <w:tcW w:type="dxa" w:w="1296"/>
            <w:shd w:fill="F9FAFB"/>
            <w:tcMar>
              <w:top w:w="80" w:type="dxa"/>
              <w:bottom w:w="80" w:type="dxa"/>
              <w:left w:w="120" w:type="dxa"/>
              <w:right w:w="120" w:type="dxa"/>
            </w:tcMar>
          </w:tcPr>
          <w:p>
            <w:pPr>
              <w:jc w:val="right"/>
            </w:pPr>
            <w:r>
              <w:rPr>
                <w:rFonts w:ascii="Calibri" w:hAnsi="Calibri"/>
                <w:color w:val="333333"/>
                <w:sz w:val="19"/>
              </w:rPr>
              <w:t>9</w:t>
            </w:r>
          </w:p>
        </w:tc>
        <w:tc>
          <w:tcPr>
            <w:tcW w:type="dxa" w:w="1440"/>
            <w:shd w:fill="F9FAFB"/>
            <w:tcMar>
              <w:top w:w="80" w:type="dxa"/>
              <w:bottom w:w="80" w:type="dxa"/>
              <w:left w:w="120" w:type="dxa"/>
              <w:right w:w="120" w:type="dxa"/>
            </w:tcMar>
          </w:tcPr>
          <w:p>
            <w:pPr>
              <w:jc w:val="right"/>
            </w:pPr>
            <w:r>
              <w:rPr>
                <w:rFonts w:ascii="Calibri" w:hAnsi="Calibri"/>
                <w:color w:val="333333"/>
                <w:sz w:val="19"/>
              </w:rPr>
              <w:t>£3,020.10</w:t>
            </w:r>
          </w:p>
        </w:tc>
      </w:tr>
      <w:tr>
        <w:tc>
          <w:tcPr>
            <w:tcW w:type="dxa" w:w="2160"/>
            <w:shd w:fill="FFFFFF"/>
            <w:tcMar>
              <w:top w:w="80" w:type="dxa"/>
              <w:bottom w:w="80" w:type="dxa"/>
              <w:left w:w="120" w:type="dxa"/>
              <w:right w:w="120" w:type="dxa"/>
            </w:tcMar>
          </w:tcPr>
          <w:p>
            <w:pPr>
              <w:jc w:val="left"/>
            </w:pPr>
            <w:r>
              <w:rPr>
                <w:rFonts w:ascii="Calibri" w:hAnsi="Calibri"/>
                <w:color w:val="333333"/>
                <w:sz w:val="19"/>
              </w:rPr>
              <w:t>EIRE (Ireland)</w:t>
            </w:r>
          </w:p>
        </w:tc>
        <w:tc>
          <w:tcPr>
            <w:tcW w:type="dxa" w:w="1728"/>
            <w:shd w:fill="FFFFFF"/>
            <w:tcMar>
              <w:top w:w="80" w:type="dxa"/>
              <w:bottom w:w="80" w:type="dxa"/>
              <w:left w:w="120" w:type="dxa"/>
              <w:right w:w="120" w:type="dxa"/>
            </w:tcMar>
          </w:tcPr>
          <w:p>
            <w:pPr>
              <w:jc w:val="right"/>
            </w:pPr>
            <w:r>
              <w:rPr>
                <w:rFonts w:ascii="Calibri" w:hAnsi="Calibri"/>
                <w:color w:val="333333"/>
                <w:sz w:val="19"/>
              </w:rPr>
              <w:t>£276,090.86</w:t>
            </w:r>
          </w:p>
        </w:tc>
        <w:tc>
          <w:tcPr>
            <w:tcW w:type="dxa" w:w="1440"/>
            <w:shd w:fill="FFFFFF"/>
            <w:tcMar>
              <w:top w:w="80" w:type="dxa"/>
              <w:bottom w:w="80" w:type="dxa"/>
              <w:left w:w="120" w:type="dxa"/>
              <w:right w:w="120" w:type="dxa"/>
            </w:tcMar>
          </w:tcPr>
          <w:p>
            <w:pPr>
              <w:jc w:val="right"/>
            </w:pPr>
            <w:r>
              <w:rPr>
                <w:rFonts w:ascii="Calibri" w:hAnsi="Calibri"/>
                <w:color w:val="333333"/>
                <w:sz w:val="19"/>
              </w:rPr>
              <w:t>2.69%</w:t>
            </w:r>
          </w:p>
        </w:tc>
        <w:tc>
          <w:tcPr>
            <w:tcW w:type="dxa" w:w="1296"/>
            <w:shd w:fill="FFFFFF"/>
            <w:tcMar>
              <w:top w:w="80" w:type="dxa"/>
              <w:bottom w:w="80" w:type="dxa"/>
              <w:left w:w="120" w:type="dxa"/>
              <w:right w:w="120" w:type="dxa"/>
            </w:tcMar>
          </w:tcPr>
          <w:p>
            <w:pPr>
              <w:jc w:val="right"/>
            </w:pPr>
            <w:r>
              <w:rPr>
                <w:rFonts w:ascii="Calibri" w:hAnsi="Calibri"/>
                <w:color w:val="333333"/>
                <w:sz w:val="19"/>
              </w:rPr>
              <w:t>286</w:t>
            </w:r>
          </w:p>
        </w:tc>
        <w:tc>
          <w:tcPr>
            <w:tcW w:type="dxa" w:w="1296"/>
            <w:shd w:fill="FFFFFF"/>
            <w:tcMar>
              <w:top w:w="80" w:type="dxa"/>
              <w:bottom w:w="80" w:type="dxa"/>
              <w:left w:w="120" w:type="dxa"/>
              <w:right w:w="120" w:type="dxa"/>
            </w:tcMar>
          </w:tcPr>
          <w:p>
            <w:pPr>
              <w:jc w:val="right"/>
            </w:pPr>
            <w:r>
              <w:rPr>
                <w:rFonts w:ascii="Calibri" w:hAnsi="Calibri"/>
                <w:color w:val="333333"/>
                <w:sz w:val="19"/>
              </w:rPr>
              <w:t>3</w:t>
            </w:r>
          </w:p>
        </w:tc>
        <w:tc>
          <w:tcPr>
            <w:tcW w:type="dxa" w:w="1440"/>
            <w:shd w:fill="FFFFFF"/>
            <w:tcMar>
              <w:top w:w="80" w:type="dxa"/>
              <w:bottom w:w="80" w:type="dxa"/>
              <w:left w:w="120" w:type="dxa"/>
              <w:right w:w="120" w:type="dxa"/>
            </w:tcMar>
          </w:tcPr>
          <w:p>
            <w:pPr>
              <w:jc w:val="right"/>
            </w:pPr>
            <w:r>
              <w:rPr>
                <w:rFonts w:ascii="Calibri" w:hAnsi="Calibri"/>
                <w:color w:val="333333"/>
                <w:sz w:val="19"/>
              </w:rPr>
              <w:t>£965.35</w:t>
            </w:r>
          </w:p>
        </w:tc>
      </w:tr>
      <w:tr>
        <w:tc>
          <w:tcPr>
            <w:tcW w:type="dxa" w:w="2160"/>
            <w:shd w:fill="F9FAFB"/>
            <w:tcMar>
              <w:top w:w="80" w:type="dxa"/>
              <w:bottom w:w="80" w:type="dxa"/>
              <w:left w:w="120" w:type="dxa"/>
              <w:right w:w="120" w:type="dxa"/>
            </w:tcMar>
          </w:tcPr>
          <w:p>
            <w:pPr>
              <w:jc w:val="left"/>
            </w:pPr>
            <w:r>
              <w:rPr>
                <w:rFonts w:ascii="Calibri" w:hAnsi="Calibri"/>
                <w:color w:val="333333"/>
                <w:sz w:val="19"/>
              </w:rPr>
              <w:t>Germany</w:t>
            </w:r>
          </w:p>
        </w:tc>
        <w:tc>
          <w:tcPr>
            <w:tcW w:type="dxa" w:w="1728"/>
            <w:shd w:fill="F9FAFB"/>
            <w:tcMar>
              <w:top w:w="80" w:type="dxa"/>
              <w:bottom w:w="80" w:type="dxa"/>
              <w:left w:w="120" w:type="dxa"/>
              <w:right w:w="120" w:type="dxa"/>
            </w:tcMar>
          </w:tcPr>
          <w:p>
            <w:pPr>
              <w:jc w:val="right"/>
            </w:pPr>
            <w:r>
              <w:rPr>
                <w:rFonts w:ascii="Calibri" w:hAnsi="Calibri"/>
                <w:color w:val="333333"/>
                <w:sz w:val="19"/>
              </w:rPr>
              <w:t>£228,867.14</w:t>
            </w:r>
          </w:p>
        </w:tc>
        <w:tc>
          <w:tcPr>
            <w:tcW w:type="dxa" w:w="1440"/>
            <w:shd w:fill="F9FAFB"/>
            <w:tcMar>
              <w:top w:w="80" w:type="dxa"/>
              <w:bottom w:w="80" w:type="dxa"/>
              <w:left w:w="120" w:type="dxa"/>
              <w:right w:w="120" w:type="dxa"/>
            </w:tcMar>
          </w:tcPr>
          <w:p>
            <w:pPr>
              <w:jc w:val="right"/>
            </w:pPr>
            <w:r>
              <w:rPr>
                <w:rFonts w:ascii="Calibri" w:hAnsi="Calibri"/>
                <w:color w:val="333333"/>
                <w:sz w:val="19"/>
              </w:rPr>
              <w:t>2.23%</w:t>
            </w:r>
          </w:p>
        </w:tc>
        <w:tc>
          <w:tcPr>
            <w:tcW w:type="dxa" w:w="1296"/>
            <w:shd w:fill="F9FAFB"/>
            <w:tcMar>
              <w:top w:w="80" w:type="dxa"/>
              <w:bottom w:w="80" w:type="dxa"/>
              <w:left w:w="120" w:type="dxa"/>
              <w:right w:w="120" w:type="dxa"/>
            </w:tcMar>
          </w:tcPr>
          <w:p>
            <w:pPr>
              <w:jc w:val="right"/>
            </w:pPr>
            <w:r>
              <w:rPr>
                <w:rFonts w:ascii="Calibri" w:hAnsi="Calibri"/>
                <w:color w:val="333333"/>
                <w:sz w:val="19"/>
              </w:rPr>
              <w:t>456</w:t>
            </w:r>
          </w:p>
        </w:tc>
        <w:tc>
          <w:tcPr>
            <w:tcW w:type="dxa" w:w="1296"/>
            <w:shd w:fill="F9FAFB"/>
            <w:tcMar>
              <w:top w:w="80" w:type="dxa"/>
              <w:bottom w:w="80" w:type="dxa"/>
              <w:left w:w="120" w:type="dxa"/>
              <w:right w:w="120" w:type="dxa"/>
            </w:tcMar>
          </w:tcPr>
          <w:p>
            <w:pPr>
              <w:jc w:val="right"/>
            </w:pPr>
            <w:r>
              <w:rPr>
                <w:rFonts w:ascii="Calibri" w:hAnsi="Calibri"/>
                <w:color w:val="333333"/>
                <w:sz w:val="19"/>
              </w:rPr>
              <w:t>94</w:t>
            </w:r>
          </w:p>
        </w:tc>
        <w:tc>
          <w:tcPr>
            <w:tcW w:type="dxa" w:w="1440"/>
            <w:shd w:fill="F9FAFB"/>
            <w:tcMar>
              <w:top w:w="80" w:type="dxa"/>
              <w:bottom w:w="80" w:type="dxa"/>
              <w:left w:w="120" w:type="dxa"/>
              <w:right w:w="120" w:type="dxa"/>
            </w:tcMar>
          </w:tcPr>
          <w:p>
            <w:pPr>
              <w:jc w:val="right"/>
            </w:pPr>
            <w:r>
              <w:rPr>
                <w:rFonts w:ascii="Calibri" w:hAnsi="Calibri"/>
                <w:color w:val="333333"/>
                <w:sz w:val="19"/>
              </w:rPr>
              <w:t>£501.90</w:t>
            </w:r>
          </w:p>
        </w:tc>
      </w:tr>
      <w:tr>
        <w:tc>
          <w:tcPr>
            <w:tcW w:type="dxa" w:w="2160"/>
            <w:shd w:fill="FFFFFF"/>
            <w:tcMar>
              <w:top w:w="80" w:type="dxa"/>
              <w:bottom w:w="80" w:type="dxa"/>
              <w:left w:w="120" w:type="dxa"/>
              <w:right w:w="120" w:type="dxa"/>
            </w:tcMar>
          </w:tcPr>
          <w:p>
            <w:pPr>
              <w:jc w:val="left"/>
            </w:pPr>
            <w:r>
              <w:rPr>
                <w:rFonts w:ascii="Calibri" w:hAnsi="Calibri"/>
                <w:color w:val="333333"/>
                <w:sz w:val="19"/>
              </w:rPr>
              <w:t>France</w:t>
            </w:r>
          </w:p>
        </w:tc>
        <w:tc>
          <w:tcPr>
            <w:tcW w:type="dxa" w:w="1728"/>
            <w:shd w:fill="FFFFFF"/>
            <w:tcMar>
              <w:top w:w="80" w:type="dxa"/>
              <w:bottom w:w="80" w:type="dxa"/>
              <w:left w:w="120" w:type="dxa"/>
              <w:right w:w="120" w:type="dxa"/>
            </w:tcMar>
          </w:tcPr>
          <w:p>
            <w:pPr>
              <w:jc w:val="right"/>
            </w:pPr>
            <w:r>
              <w:rPr>
                <w:rFonts w:ascii="Calibri" w:hAnsi="Calibri"/>
                <w:color w:val="333333"/>
                <w:sz w:val="19"/>
              </w:rPr>
              <w:t>£208,610.15</w:t>
            </w:r>
          </w:p>
        </w:tc>
        <w:tc>
          <w:tcPr>
            <w:tcW w:type="dxa" w:w="1440"/>
            <w:shd w:fill="FFFFFF"/>
            <w:tcMar>
              <w:top w:w="80" w:type="dxa"/>
              <w:bottom w:w="80" w:type="dxa"/>
              <w:left w:w="120" w:type="dxa"/>
              <w:right w:w="120" w:type="dxa"/>
            </w:tcMar>
          </w:tcPr>
          <w:p>
            <w:pPr>
              <w:jc w:val="right"/>
            </w:pPr>
            <w:r>
              <w:rPr>
                <w:rFonts w:ascii="Calibri" w:hAnsi="Calibri"/>
                <w:color w:val="333333"/>
                <w:sz w:val="19"/>
              </w:rPr>
              <w:t>2.03%</w:t>
            </w:r>
          </w:p>
        </w:tc>
        <w:tc>
          <w:tcPr>
            <w:tcW w:type="dxa" w:w="1296"/>
            <w:shd w:fill="FFFFFF"/>
            <w:tcMar>
              <w:top w:w="80" w:type="dxa"/>
              <w:bottom w:w="80" w:type="dxa"/>
              <w:left w:w="120" w:type="dxa"/>
              <w:right w:w="120" w:type="dxa"/>
            </w:tcMar>
          </w:tcPr>
          <w:p>
            <w:pPr>
              <w:jc w:val="right"/>
            </w:pPr>
            <w:r>
              <w:rPr>
                <w:rFonts w:ascii="Calibri" w:hAnsi="Calibri"/>
                <w:color w:val="333333"/>
                <w:sz w:val="19"/>
              </w:rPr>
              <w:t>391</w:t>
            </w:r>
          </w:p>
        </w:tc>
        <w:tc>
          <w:tcPr>
            <w:tcW w:type="dxa" w:w="1296"/>
            <w:shd w:fill="FFFFFF"/>
            <w:tcMar>
              <w:top w:w="80" w:type="dxa"/>
              <w:bottom w:w="80" w:type="dxa"/>
              <w:left w:w="120" w:type="dxa"/>
              <w:right w:w="120" w:type="dxa"/>
            </w:tcMar>
          </w:tcPr>
          <w:p>
            <w:pPr>
              <w:jc w:val="right"/>
            </w:pPr>
            <w:r>
              <w:rPr>
                <w:rFonts w:ascii="Calibri" w:hAnsi="Calibri"/>
                <w:color w:val="333333"/>
                <w:sz w:val="19"/>
              </w:rPr>
              <w:t>87</w:t>
            </w:r>
          </w:p>
        </w:tc>
        <w:tc>
          <w:tcPr>
            <w:tcW w:type="dxa" w:w="1440"/>
            <w:shd w:fill="FFFFFF"/>
            <w:tcMar>
              <w:top w:w="80" w:type="dxa"/>
              <w:bottom w:w="80" w:type="dxa"/>
              <w:left w:w="120" w:type="dxa"/>
              <w:right w:w="120" w:type="dxa"/>
            </w:tcMar>
          </w:tcPr>
          <w:p>
            <w:pPr>
              <w:jc w:val="right"/>
            </w:pPr>
            <w:r>
              <w:rPr>
                <w:rFonts w:ascii="Calibri" w:hAnsi="Calibri"/>
                <w:color w:val="333333"/>
                <w:sz w:val="19"/>
              </w:rPr>
              <w:t>£533.53</w:t>
            </w:r>
          </w:p>
        </w:tc>
      </w:tr>
      <w:tr>
        <w:tc>
          <w:tcPr>
            <w:tcW w:type="dxa" w:w="2160"/>
            <w:shd w:fill="F9FAFB"/>
            <w:tcMar>
              <w:top w:w="80" w:type="dxa"/>
              <w:bottom w:w="80" w:type="dxa"/>
              <w:left w:w="120" w:type="dxa"/>
              <w:right w:w="120" w:type="dxa"/>
            </w:tcMar>
          </w:tcPr>
          <w:p>
            <w:pPr>
              <w:jc w:val="left"/>
            </w:pPr>
            <w:r>
              <w:rPr>
                <w:rFonts w:ascii="Calibri" w:hAnsi="Calibri"/>
                <w:color w:val="333333"/>
                <w:sz w:val="19"/>
              </w:rPr>
              <w:t>Australia</w:t>
            </w:r>
          </w:p>
        </w:tc>
        <w:tc>
          <w:tcPr>
            <w:tcW w:type="dxa" w:w="1728"/>
            <w:shd w:fill="F9FAFB"/>
            <w:tcMar>
              <w:top w:w="80" w:type="dxa"/>
              <w:bottom w:w="80" w:type="dxa"/>
              <w:left w:w="120" w:type="dxa"/>
              <w:right w:w="120" w:type="dxa"/>
            </w:tcMar>
          </w:tcPr>
          <w:p>
            <w:pPr>
              <w:jc w:val="right"/>
            </w:pPr>
            <w:r>
              <w:rPr>
                <w:rFonts w:ascii="Calibri" w:hAnsi="Calibri"/>
                <w:color w:val="333333"/>
                <w:sz w:val="19"/>
              </w:rPr>
              <w:t>£138,521.31</w:t>
            </w:r>
          </w:p>
        </w:tc>
        <w:tc>
          <w:tcPr>
            <w:tcW w:type="dxa" w:w="1440"/>
            <w:shd w:fill="F9FAFB"/>
            <w:tcMar>
              <w:top w:w="80" w:type="dxa"/>
              <w:bottom w:w="80" w:type="dxa"/>
              <w:left w:w="120" w:type="dxa"/>
              <w:right w:w="120" w:type="dxa"/>
            </w:tcMar>
          </w:tcPr>
          <w:p>
            <w:pPr>
              <w:jc w:val="right"/>
            </w:pPr>
            <w:r>
              <w:rPr>
                <w:rFonts w:ascii="Calibri" w:hAnsi="Calibri"/>
                <w:color w:val="333333"/>
                <w:sz w:val="19"/>
              </w:rPr>
              <w:t>1.35%</w:t>
            </w:r>
          </w:p>
        </w:tc>
        <w:tc>
          <w:tcPr>
            <w:tcW w:type="dxa" w:w="1296"/>
            <w:shd w:fill="F9FAFB"/>
            <w:tcMar>
              <w:top w:w="80" w:type="dxa"/>
              <w:bottom w:w="80" w:type="dxa"/>
              <w:left w:w="120" w:type="dxa"/>
              <w:right w:w="120" w:type="dxa"/>
            </w:tcMar>
          </w:tcPr>
          <w:p>
            <w:pPr>
              <w:jc w:val="right"/>
            </w:pPr>
            <w:r>
              <w:rPr>
                <w:rFonts w:ascii="Calibri" w:hAnsi="Calibri"/>
                <w:color w:val="333333"/>
                <w:sz w:val="19"/>
              </w:rPr>
              <w:t>57</w:t>
            </w:r>
          </w:p>
        </w:tc>
        <w:tc>
          <w:tcPr>
            <w:tcW w:type="dxa" w:w="1296"/>
            <w:shd w:fill="F9FAFB"/>
            <w:tcMar>
              <w:top w:w="80" w:type="dxa"/>
              <w:bottom w:w="80" w:type="dxa"/>
              <w:left w:w="120" w:type="dxa"/>
              <w:right w:w="120" w:type="dxa"/>
            </w:tcMar>
          </w:tcPr>
          <w:p>
            <w:pPr>
              <w:jc w:val="right"/>
            </w:pPr>
            <w:r>
              <w:rPr>
                <w:rFonts w:ascii="Calibri" w:hAnsi="Calibri"/>
                <w:color w:val="333333"/>
                <w:sz w:val="19"/>
              </w:rPr>
              <w:t>9</w:t>
            </w:r>
          </w:p>
        </w:tc>
        <w:tc>
          <w:tcPr>
            <w:tcW w:type="dxa" w:w="1440"/>
            <w:shd w:fill="F9FAFB"/>
            <w:tcMar>
              <w:top w:w="80" w:type="dxa"/>
              <w:bottom w:w="80" w:type="dxa"/>
              <w:left w:w="120" w:type="dxa"/>
              <w:right w:w="120" w:type="dxa"/>
            </w:tcMar>
          </w:tcPr>
          <w:p>
            <w:pPr>
              <w:jc w:val="right"/>
            </w:pPr>
            <w:r>
              <w:rPr>
                <w:rFonts w:ascii="Calibri" w:hAnsi="Calibri"/>
                <w:color w:val="333333"/>
                <w:sz w:val="19"/>
              </w:rPr>
              <w:t>£2,430.20</w:t>
            </w:r>
          </w:p>
        </w:tc>
      </w:tr>
      <w:tr>
        <w:tc>
          <w:tcPr>
            <w:tcW w:type="dxa" w:w="2160"/>
            <w:shd w:fill="FFFFFF"/>
            <w:tcMar>
              <w:top w:w="80" w:type="dxa"/>
              <w:bottom w:w="80" w:type="dxa"/>
              <w:left w:w="120" w:type="dxa"/>
              <w:right w:w="120" w:type="dxa"/>
            </w:tcMar>
          </w:tcPr>
          <w:p>
            <w:pPr>
              <w:jc w:val="left"/>
            </w:pPr>
            <w:r>
              <w:rPr>
                <w:rFonts w:ascii="Calibri" w:hAnsi="Calibri"/>
                <w:color w:val="333333"/>
                <w:sz w:val="19"/>
              </w:rPr>
              <w:t>Spain</w:t>
            </w:r>
          </w:p>
        </w:tc>
        <w:tc>
          <w:tcPr>
            <w:tcW w:type="dxa" w:w="1728"/>
            <w:shd w:fill="FFFFFF"/>
            <w:tcMar>
              <w:top w:w="80" w:type="dxa"/>
              <w:bottom w:w="80" w:type="dxa"/>
              <w:left w:w="120" w:type="dxa"/>
              <w:right w:w="120" w:type="dxa"/>
            </w:tcMar>
          </w:tcPr>
          <w:p>
            <w:pPr>
              <w:jc w:val="right"/>
            </w:pPr>
            <w:r>
              <w:rPr>
                <w:rFonts w:ascii="Calibri" w:hAnsi="Calibri"/>
                <w:color w:val="333333"/>
                <w:sz w:val="19"/>
              </w:rPr>
              <w:t>£61,577.11</w:t>
            </w:r>
          </w:p>
        </w:tc>
        <w:tc>
          <w:tcPr>
            <w:tcW w:type="dxa" w:w="1440"/>
            <w:shd w:fill="FFFFFF"/>
            <w:tcMar>
              <w:top w:w="80" w:type="dxa"/>
              <w:bottom w:w="80" w:type="dxa"/>
              <w:left w:w="120" w:type="dxa"/>
              <w:right w:w="120" w:type="dxa"/>
            </w:tcMar>
          </w:tcPr>
          <w:p>
            <w:pPr>
              <w:jc w:val="right"/>
            </w:pPr>
            <w:r>
              <w:rPr>
                <w:rFonts w:ascii="Calibri" w:hAnsi="Calibri"/>
                <w:color w:val="333333"/>
                <w:sz w:val="19"/>
              </w:rPr>
              <w:t>0.60%</w:t>
            </w:r>
          </w:p>
        </w:tc>
        <w:tc>
          <w:tcPr>
            <w:tcW w:type="dxa" w:w="1296"/>
            <w:shd w:fill="FFFFFF"/>
            <w:tcMar>
              <w:top w:w="80" w:type="dxa"/>
              <w:bottom w:w="80" w:type="dxa"/>
              <w:left w:w="120" w:type="dxa"/>
              <w:right w:w="120" w:type="dxa"/>
            </w:tcMar>
          </w:tcPr>
          <w:p>
            <w:pPr>
              <w:jc w:val="right"/>
            </w:pPr>
            <w:r>
              <w:rPr>
                <w:rFonts w:ascii="Calibri" w:hAnsi="Calibri"/>
                <w:color w:val="333333"/>
                <w:sz w:val="19"/>
              </w:rPr>
              <w:t>90</w:t>
            </w:r>
          </w:p>
        </w:tc>
        <w:tc>
          <w:tcPr>
            <w:tcW w:type="dxa" w:w="1296"/>
            <w:shd w:fill="FFFFFF"/>
            <w:tcMar>
              <w:top w:w="80" w:type="dxa"/>
              <w:bottom w:w="80" w:type="dxa"/>
              <w:left w:w="120" w:type="dxa"/>
              <w:right w:w="120" w:type="dxa"/>
            </w:tcMar>
          </w:tcPr>
          <w:p>
            <w:pPr>
              <w:jc w:val="right"/>
            </w:pPr>
            <w:r>
              <w:rPr>
                <w:rFonts w:ascii="Calibri" w:hAnsi="Calibri"/>
                <w:color w:val="333333"/>
                <w:sz w:val="19"/>
              </w:rPr>
              <w:t>30</w:t>
            </w:r>
          </w:p>
        </w:tc>
        <w:tc>
          <w:tcPr>
            <w:tcW w:type="dxa" w:w="1440"/>
            <w:shd w:fill="FFFFFF"/>
            <w:tcMar>
              <w:top w:w="80" w:type="dxa"/>
              <w:bottom w:w="80" w:type="dxa"/>
              <w:left w:w="120" w:type="dxa"/>
              <w:right w:w="120" w:type="dxa"/>
            </w:tcMar>
          </w:tcPr>
          <w:p>
            <w:pPr>
              <w:jc w:val="right"/>
            </w:pPr>
            <w:r>
              <w:rPr>
                <w:rFonts w:ascii="Calibri" w:hAnsi="Calibri"/>
                <w:color w:val="333333"/>
                <w:sz w:val="19"/>
              </w:rPr>
              <w:t>£684.19</w:t>
            </w:r>
          </w:p>
        </w:tc>
      </w:tr>
      <w:tr>
        <w:tc>
          <w:tcPr>
            <w:tcW w:type="dxa" w:w="2160"/>
            <w:shd w:fill="F9FAFB"/>
            <w:tcMar>
              <w:top w:w="80" w:type="dxa"/>
              <w:bottom w:w="80" w:type="dxa"/>
              <w:left w:w="120" w:type="dxa"/>
              <w:right w:w="120" w:type="dxa"/>
            </w:tcMar>
          </w:tcPr>
          <w:p>
            <w:pPr>
              <w:jc w:val="left"/>
            </w:pPr>
            <w:r>
              <w:rPr>
                <w:rFonts w:ascii="Calibri" w:hAnsi="Calibri"/>
                <w:color w:val="333333"/>
                <w:sz w:val="19"/>
              </w:rPr>
              <w:t>Switzerland</w:t>
            </w:r>
          </w:p>
        </w:tc>
        <w:tc>
          <w:tcPr>
            <w:tcW w:type="dxa" w:w="1728"/>
            <w:shd w:fill="F9FAFB"/>
            <w:tcMar>
              <w:top w:w="80" w:type="dxa"/>
              <w:bottom w:w="80" w:type="dxa"/>
              <w:left w:w="120" w:type="dxa"/>
              <w:right w:w="120" w:type="dxa"/>
            </w:tcMar>
          </w:tcPr>
          <w:p>
            <w:pPr>
              <w:jc w:val="right"/>
            </w:pPr>
            <w:r>
              <w:rPr>
                <w:rFonts w:ascii="Calibri" w:hAnsi="Calibri"/>
                <w:color w:val="333333"/>
                <w:sz w:val="19"/>
              </w:rPr>
              <w:t>£56,488.45</w:t>
            </w:r>
          </w:p>
        </w:tc>
        <w:tc>
          <w:tcPr>
            <w:tcW w:type="dxa" w:w="1440"/>
            <w:shd w:fill="F9FAFB"/>
            <w:tcMar>
              <w:top w:w="80" w:type="dxa"/>
              <w:bottom w:w="80" w:type="dxa"/>
              <w:left w:w="120" w:type="dxa"/>
              <w:right w:w="120" w:type="dxa"/>
            </w:tcMar>
          </w:tcPr>
          <w:p>
            <w:pPr>
              <w:jc w:val="right"/>
            </w:pPr>
            <w:r>
              <w:rPr>
                <w:rFonts w:ascii="Calibri" w:hAnsi="Calibri"/>
                <w:color w:val="333333"/>
                <w:sz w:val="19"/>
              </w:rPr>
              <w:t>0.55%</w:t>
            </w:r>
          </w:p>
        </w:tc>
        <w:tc>
          <w:tcPr>
            <w:tcW w:type="dxa" w:w="1296"/>
            <w:shd w:fill="F9FAFB"/>
            <w:tcMar>
              <w:top w:w="80" w:type="dxa"/>
              <w:bottom w:w="80" w:type="dxa"/>
              <w:left w:w="120" w:type="dxa"/>
              <w:right w:w="120" w:type="dxa"/>
            </w:tcMar>
          </w:tcPr>
          <w:p>
            <w:pPr>
              <w:jc w:val="right"/>
            </w:pPr>
            <w:r>
              <w:rPr>
                <w:rFonts w:ascii="Calibri" w:hAnsi="Calibri"/>
                <w:color w:val="333333"/>
                <w:sz w:val="19"/>
              </w:rPr>
              <w:t>54</w:t>
            </w:r>
          </w:p>
        </w:tc>
        <w:tc>
          <w:tcPr>
            <w:tcW w:type="dxa" w:w="1296"/>
            <w:shd w:fill="F9FAFB"/>
            <w:tcMar>
              <w:top w:w="80" w:type="dxa"/>
              <w:bottom w:w="80" w:type="dxa"/>
              <w:left w:w="120" w:type="dxa"/>
              <w:right w:w="120" w:type="dxa"/>
            </w:tcMar>
          </w:tcPr>
          <w:p>
            <w:pPr>
              <w:jc w:val="right"/>
            </w:pPr>
            <w:r>
              <w:rPr>
                <w:rFonts w:ascii="Calibri" w:hAnsi="Calibri"/>
                <w:color w:val="333333"/>
                <w:sz w:val="19"/>
              </w:rPr>
              <w:t>21</w:t>
            </w:r>
          </w:p>
        </w:tc>
        <w:tc>
          <w:tcPr>
            <w:tcW w:type="dxa" w:w="1440"/>
            <w:shd w:fill="F9FAFB"/>
            <w:tcMar>
              <w:top w:w="80" w:type="dxa"/>
              <w:bottom w:w="80" w:type="dxa"/>
              <w:left w:w="120" w:type="dxa"/>
              <w:right w:w="120" w:type="dxa"/>
            </w:tcMar>
          </w:tcPr>
          <w:p>
            <w:pPr>
              <w:jc w:val="right"/>
            </w:pPr>
            <w:r>
              <w:rPr>
                <w:rFonts w:ascii="Calibri" w:hAnsi="Calibri"/>
                <w:color w:val="333333"/>
                <w:sz w:val="19"/>
              </w:rPr>
              <w:t>£1,046.08</w:t>
            </w:r>
          </w:p>
        </w:tc>
      </w:tr>
      <w:tr>
        <w:tc>
          <w:tcPr>
            <w:tcW w:type="dxa" w:w="2160"/>
            <w:shd w:fill="FFFFFF"/>
            <w:tcMar>
              <w:top w:w="80" w:type="dxa"/>
              <w:bottom w:w="80" w:type="dxa"/>
              <w:left w:w="120" w:type="dxa"/>
              <w:right w:w="120" w:type="dxa"/>
            </w:tcMar>
          </w:tcPr>
          <w:p>
            <w:pPr>
              <w:jc w:val="left"/>
            </w:pPr>
            <w:r>
              <w:rPr>
                <w:rFonts w:ascii="Calibri" w:hAnsi="Calibri"/>
                <w:color w:val="333333"/>
                <w:sz w:val="19"/>
              </w:rPr>
              <w:t>Belgium</w:t>
            </w:r>
          </w:p>
        </w:tc>
        <w:tc>
          <w:tcPr>
            <w:tcW w:type="dxa" w:w="1728"/>
            <w:shd w:fill="FFFFFF"/>
            <w:tcMar>
              <w:top w:w="80" w:type="dxa"/>
              <w:bottom w:w="80" w:type="dxa"/>
              <w:left w:w="120" w:type="dxa"/>
              <w:right w:w="120" w:type="dxa"/>
            </w:tcMar>
          </w:tcPr>
          <w:p>
            <w:pPr>
              <w:jc w:val="right"/>
            </w:pPr>
            <w:r>
              <w:rPr>
                <w:rFonts w:ascii="Calibri" w:hAnsi="Calibri"/>
                <w:color w:val="333333"/>
                <w:sz w:val="19"/>
              </w:rPr>
              <w:t>£41,196.34</w:t>
            </w:r>
          </w:p>
        </w:tc>
        <w:tc>
          <w:tcPr>
            <w:tcW w:type="dxa" w:w="1440"/>
            <w:shd w:fill="FFFFFF"/>
            <w:tcMar>
              <w:top w:w="80" w:type="dxa"/>
              <w:bottom w:w="80" w:type="dxa"/>
              <w:left w:w="120" w:type="dxa"/>
              <w:right w:w="120" w:type="dxa"/>
            </w:tcMar>
          </w:tcPr>
          <w:p>
            <w:pPr>
              <w:jc w:val="right"/>
            </w:pPr>
            <w:r>
              <w:rPr>
                <w:rFonts w:ascii="Calibri" w:hAnsi="Calibri"/>
                <w:color w:val="333333"/>
                <w:sz w:val="19"/>
              </w:rPr>
              <w:t>0.40%</w:t>
            </w:r>
          </w:p>
        </w:tc>
        <w:tc>
          <w:tcPr>
            <w:tcW w:type="dxa" w:w="1296"/>
            <w:shd w:fill="FFFFFF"/>
            <w:tcMar>
              <w:top w:w="80" w:type="dxa"/>
              <w:bottom w:w="80" w:type="dxa"/>
              <w:left w:w="120" w:type="dxa"/>
              <w:right w:w="120" w:type="dxa"/>
            </w:tcMar>
          </w:tcPr>
          <w:p>
            <w:pPr>
              <w:jc w:val="right"/>
            </w:pPr>
            <w:r>
              <w:rPr>
                <w:rFonts w:ascii="Calibri" w:hAnsi="Calibri"/>
                <w:color w:val="333333"/>
                <w:sz w:val="19"/>
              </w:rPr>
              <w:t>98</w:t>
            </w:r>
          </w:p>
        </w:tc>
        <w:tc>
          <w:tcPr>
            <w:tcW w:type="dxa" w:w="1296"/>
            <w:shd w:fill="FFFFFF"/>
            <w:tcMar>
              <w:top w:w="80" w:type="dxa"/>
              <w:bottom w:w="80" w:type="dxa"/>
              <w:left w:w="120" w:type="dxa"/>
              <w:right w:w="120" w:type="dxa"/>
            </w:tcMar>
          </w:tcPr>
          <w:p>
            <w:pPr>
              <w:jc w:val="right"/>
            </w:pPr>
            <w:r>
              <w:rPr>
                <w:rFonts w:ascii="Calibri" w:hAnsi="Calibri"/>
                <w:color w:val="333333"/>
                <w:sz w:val="19"/>
              </w:rPr>
              <w:t>25</w:t>
            </w:r>
          </w:p>
        </w:tc>
        <w:tc>
          <w:tcPr>
            <w:tcW w:type="dxa" w:w="1440"/>
            <w:shd w:fill="FFFFFF"/>
            <w:tcMar>
              <w:top w:w="80" w:type="dxa"/>
              <w:bottom w:w="80" w:type="dxa"/>
              <w:left w:w="120" w:type="dxa"/>
              <w:right w:w="120" w:type="dxa"/>
            </w:tcMar>
          </w:tcPr>
          <w:p>
            <w:pPr>
              <w:jc w:val="right"/>
            </w:pPr>
            <w:r>
              <w:rPr>
                <w:rFonts w:ascii="Calibri" w:hAnsi="Calibri"/>
                <w:color w:val="333333"/>
                <w:sz w:val="19"/>
              </w:rPr>
              <w:t>£420.37</w:t>
            </w:r>
          </w:p>
        </w:tc>
      </w:tr>
      <w:tr>
        <w:tc>
          <w:tcPr>
            <w:tcW w:type="dxa" w:w="2160"/>
            <w:shd w:fill="F9FAFB"/>
            <w:tcMar>
              <w:top w:w="80" w:type="dxa"/>
              <w:bottom w:w="80" w:type="dxa"/>
              <w:left w:w="120" w:type="dxa"/>
              <w:right w:w="120" w:type="dxa"/>
            </w:tcMar>
          </w:tcPr>
          <w:p>
            <w:pPr>
              <w:jc w:val="left"/>
            </w:pPr>
            <w:r>
              <w:rPr>
                <w:rFonts w:ascii="Calibri" w:hAnsi="Calibri"/>
                <w:color w:val="333333"/>
                <w:sz w:val="19"/>
              </w:rPr>
              <w:t>Sweden</w:t>
            </w:r>
          </w:p>
        </w:tc>
        <w:tc>
          <w:tcPr>
            <w:tcW w:type="dxa" w:w="1728"/>
            <w:shd w:fill="F9FAFB"/>
            <w:tcMar>
              <w:top w:w="80" w:type="dxa"/>
              <w:bottom w:w="80" w:type="dxa"/>
              <w:left w:w="120" w:type="dxa"/>
              <w:right w:w="120" w:type="dxa"/>
            </w:tcMar>
          </w:tcPr>
          <w:p>
            <w:pPr>
              <w:jc w:val="right"/>
            </w:pPr>
            <w:r>
              <w:rPr>
                <w:rFonts w:ascii="Calibri" w:hAnsi="Calibri"/>
                <w:color w:val="333333"/>
                <w:sz w:val="19"/>
              </w:rPr>
              <w:t>£38,378.33</w:t>
            </w:r>
          </w:p>
        </w:tc>
        <w:tc>
          <w:tcPr>
            <w:tcW w:type="dxa" w:w="1440"/>
            <w:shd w:fill="F9FAFB"/>
            <w:tcMar>
              <w:top w:w="80" w:type="dxa"/>
              <w:bottom w:w="80" w:type="dxa"/>
              <w:left w:w="120" w:type="dxa"/>
              <w:right w:w="120" w:type="dxa"/>
            </w:tcMar>
          </w:tcPr>
          <w:p>
            <w:pPr>
              <w:jc w:val="right"/>
            </w:pPr>
            <w:r>
              <w:rPr>
                <w:rFonts w:ascii="Calibri" w:hAnsi="Calibri"/>
                <w:color w:val="333333"/>
                <w:sz w:val="19"/>
              </w:rPr>
              <w:t>0.37%</w:t>
            </w:r>
          </w:p>
        </w:tc>
        <w:tc>
          <w:tcPr>
            <w:tcW w:type="dxa" w:w="1296"/>
            <w:shd w:fill="F9FAFB"/>
            <w:tcMar>
              <w:top w:w="80" w:type="dxa"/>
              <w:bottom w:w="80" w:type="dxa"/>
              <w:left w:w="120" w:type="dxa"/>
              <w:right w:w="120" w:type="dxa"/>
            </w:tcMar>
          </w:tcPr>
          <w:p>
            <w:pPr>
              <w:jc w:val="right"/>
            </w:pPr>
            <w:r>
              <w:rPr>
                <w:rFonts w:ascii="Calibri" w:hAnsi="Calibri"/>
                <w:color w:val="333333"/>
                <w:sz w:val="19"/>
              </w:rPr>
              <w:t>36</w:t>
            </w:r>
          </w:p>
        </w:tc>
        <w:tc>
          <w:tcPr>
            <w:tcW w:type="dxa" w:w="1296"/>
            <w:shd w:fill="F9FAFB"/>
            <w:tcMar>
              <w:top w:w="80" w:type="dxa"/>
              <w:bottom w:w="80" w:type="dxa"/>
              <w:left w:w="120" w:type="dxa"/>
              <w:right w:w="120" w:type="dxa"/>
            </w:tcMar>
          </w:tcPr>
          <w:p>
            <w:pPr>
              <w:jc w:val="right"/>
            </w:pPr>
            <w:r>
              <w:rPr>
                <w:rFonts w:ascii="Calibri" w:hAnsi="Calibri"/>
                <w:color w:val="333333"/>
                <w:sz w:val="19"/>
              </w:rPr>
              <w:t>8</w:t>
            </w:r>
          </w:p>
        </w:tc>
        <w:tc>
          <w:tcPr>
            <w:tcW w:type="dxa" w:w="1440"/>
            <w:shd w:fill="F9FAFB"/>
            <w:tcMar>
              <w:top w:w="80" w:type="dxa"/>
              <w:bottom w:w="80" w:type="dxa"/>
              <w:left w:w="120" w:type="dxa"/>
              <w:right w:w="120" w:type="dxa"/>
            </w:tcMar>
          </w:tcPr>
          <w:p>
            <w:pPr>
              <w:jc w:val="right"/>
            </w:pPr>
            <w:r>
              <w:rPr>
                <w:rFonts w:ascii="Calibri" w:hAnsi="Calibri"/>
                <w:color w:val="333333"/>
                <w:sz w:val="19"/>
              </w:rPr>
              <w:t>£1,066.06</w:t>
            </w:r>
          </w:p>
        </w:tc>
      </w:tr>
    </w:tbl>
    <w:p>
      <w:pPr>
        <w:spacing w:after="160"/>
      </w:pPr>
    </w:p>
    <w:p>
      <w:pPr>
        <w:spacing w:before="0" w:after="100" w:line="276" w:lineRule="auto"/>
      </w:pPr>
      <w:r>
        <w:rPr>
          <w:rFonts w:ascii="Calibri" w:hAnsi="Calibri"/>
          <w:color w:val="333333"/>
          <w:sz w:val="22"/>
        </w:rPr>
        <w:t>A striking insight emerges from the cross-border metric: while international orders represent only 8.9% of total order counts, they account for 14.89% of enterprise revenue. The Netherlands boasts an astonishing Average Order Value of £3,020.10—nearly six times the UK average (£484.99). This indicates that international accounts are large-scale commercial distributors purchasing in bulk container loads.</w:t>
      </w:r>
    </w:p>
    <w:p>
      <w:pPr>
        <w:keepNext/>
        <w:spacing w:before="280" w:after="120"/>
        <w:jc w:val="left"/>
      </w:pPr>
      <w:r>
        <w:rPr>
          <w:rFonts w:ascii="Calibri" w:hAnsi="Calibri"/>
          <w:b/>
          <w:color w:val="1F4E79"/>
          <w:sz w:val="36"/>
        </w:rPr>
        <w:t>11. Customer Lifetime Spend &amp; Pareto Concentration</w:t>
      </w:r>
    </w:p>
    <w:p>
      <w:pPr>
        <w:spacing w:before="0" w:after="100" w:line="276" w:lineRule="auto"/>
      </w:pPr>
      <w:r>
        <w:rPr>
          <w:rFonts w:ascii="Calibri" w:hAnsi="Calibri"/>
          <w:color w:val="333333"/>
          <w:sz w:val="22"/>
        </w:rPr>
        <w:t>We analyzed customer spending distributions across 4,334 identified customer accounts, segmenting buyers into distinct value tiers and testing the empirical validity of the Pareto Principle (80/20 rule).</w:t>
      </w:r>
    </w:p>
    <w:p>
      <w:pPr>
        <w:keepNext/>
        <w:spacing w:before="120" w:after="40"/>
        <w:jc w:val="center"/>
      </w:pPr>
      <w:r>
        <w:drawing>
          <wp:inline xmlns:a="http://schemas.openxmlformats.org/drawingml/2006/main" xmlns:pic="http://schemas.openxmlformats.org/drawingml/2006/picture">
            <wp:extent cx="5669280" cy="3401568"/>
            <wp:docPr id="9" name="Picture 9"/>
            <wp:cNvGraphicFramePr>
              <a:graphicFrameLocks noChangeAspect="1"/>
            </wp:cNvGraphicFramePr>
            <a:graphic>
              <a:graphicData uri="http://schemas.openxmlformats.org/drawingml/2006/picture">
                <pic:pic>
                  <pic:nvPicPr>
                    <pic:cNvPr id="0" name="09_customer_spending_distribution.png"/>
                    <pic:cNvPicPr/>
                  </pic:nvPicPr>
                  <pic:blipFill>
                    <a:blip r:embed="rId19"/>
                    <a:stretch>
                      <a:fillRect/>
                    </a:stretch>
                  </pic:blipFill>
                  <pic:spPr>
                    <a:xfrm>
                      <a:off x="0" y="0"/>
                      <a:ext cx="5669280" cy="3401568"/>
                    </a:xfrm>
                    <a:prstGeom prst="rect"/>
                  </pic:spPr>
                </pic:pic>
              </a:graphicData>
            </a:graphic>
          </wp:inline>
        </w:drawing>
      </w:r>
    </w:p>
    <w:p>
      <w:pPr>
        <w:spacing w:before="0" w:after="160"/>
        <w:jc w:val="center"/>
      </w:pPr>
      <w:r>
        <w:rPr>
          <w:rFonts w:ascii="Calibri" w:hAnsi="Calibri"/>
          <w:i/>
          <w:color w:val="646464"/>
          <w:sz w:val="19"/>
        </w:rPr>
        <w:t>Figure 9: Customer Segmentation by Total Spending Tier</w:t>
      </w:r>
    </w:p>
    <w:p>
      <w:pPr>
        <w:keepNext/>
        <w:spacing w:before="120" w:after="40"/>
        <w:jc w:val="center"/>
      </w:pPr>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10_top_customers_revenue.png"/>
                    <pic:cNvPicPr/>
                  </pic:nvPicPr>
                  <pic:blipFill>
                    <a:blip r:embed="rId20"/>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6464"/>
          <w:sz w:val="19"/>
        </w:rPr>
        <w:t>Figure 10: Top 10 High-Value Wholesale Accounts by Lifetime Spend (£ Thousands)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9"/>
              <w:top w:val="none"/>
              <w:right w:val="none"/>
              <w:bottom w:val="none"/>
            </w:tcBorders>
          </w:tcPr>
          <w:p>
            <w:pPr>
              <w:spacing w:before="40" w:after="40" w:line="276" w:lineRule="auto"/>
            </w:pPr>
            <w:r>
              <w:rPr>
                <w:rFonts w:ascii="Calibri" w:hAnsi="Calibri"/>
                <w:b/>
                <w:color w:val="1F4E79"/>
                <w:sz w:val="21"/>
              </w:rPr>
              <w:t xml:space="preserve">PARETO CONCENTRATION VERIFICATION: </w:t>
            </w:r>
            <w:r>
              <w:rPr>
                <w:rFonts w:ascii="Calibri" w:hAnsi="Calibri"/>
                <w:i/>
                <w:color w:val="333333"/>
                <w:sz w:val="21"/>
              </w:rPr>
              <w:t>The top 1% of customers generate 32.02% of identified revenue (£2.85M).</w:t>
              <w:br/>
              <w:t>The top 10% of customers generate 61.39% of identified revenue (£5.46M).</w:t>
              <w:br/>
              <w:t>The top 20% of customers generate 74.59% of identified revenue (£6.64M).</w:t>
              <w:br/>
              <w:t>The single largest account (Customer ID 14646, Netherlands) generated £279,138.02 across 72 orders.</w:t>
            </w:r>
          </w:p>
        </w:tc>
      </w:tr>
    </w:tbl>
    <w:p>
      <w:pPr>
        <w:spacing w:after="80"/>
      </w:pPr>
    </w:p>
    <w:p>
      <w:pPr>
        <w:spacing w:before="0" w:after="100" w:line="276" w:lineRule="auto"/>
      </w:pPr>
      <w:r>
        <w:rPr>
          <w:rFonts w:ascii="Calibri" w:hAnsi="Calibri"/>
          <w:color w:val="333333"/>
          <w:sz w:val="22"/>
        </w:rPr>
        <w:t>Customer accounts were segmented into four operational tiers: Low (&lt;£250, 32.2% of accounts), Mid (£250–£1,000, 37.9% of accounts), High (£1,000–£5,000, 27.7% of accounts), and VIP (&gt;£5,000, 2.2% of accounts). While VIP clients represent only 94 enterprises, they generate over 35% of all identified revenue. The firm faces acute key-account dependency risk.</w:t>
      </w:r>
    </w:p>
    <w:p>
      <w:pPr>
        <w:keepNext/>
        <w:spacing w:before="280" w:after="120"/>
        <w:jc w:val="left"/>
      </w:pPr>
      <w:r>
        <w:rPr>
          <w:rFonts w:ascii="Calibri" w:hAnsi="Calibri"/>
          <w:b/>
          <w:color w:val="1F4E79"/>
          <w:sz w:val="36"/>
        </w:rPr>
        <w:t>12. Cancellation &amp; Return Margin Diagnostics</w:t>
      </w:r>
    </w:p>
    <w:p>
      <w:pPr>
        <w:spacing w:before="0" w:after="100" w:line="276" w:lineRule="auto"/>
      </w:pPr>
      <w:r>
        <w:rPr>
          <w:rFonts w:ascii="Calibri" w:hAnsi="Calibri"/>
          <w:color w:val="333333"/>
          <w:sz w:val="22"/>
        </w:rPr>
        <w:t>Transaction cancellations (invoices prefixed with 'C') represent a substantial operational drag. We analyzed cancellation frequencies, item volumes, and revenue impact across the year.</w:t>
      </w:r>
    </w:p>
    <w:p>
      <w:pPr>
        <w:keepNext/>
        <w:spacing w:before="120" w:after="40"/>
        <w:jc w:val="center"/>
      </w:pPr>
      <w:r>
        <w:drawing>
          <wp:inline xmlns:a="http://schemas.openxmlformats.org/drawingml/2006/main" xmlns:pic="http://schemas.openxmlformats.org/drawingml/2006/picture">
            <wp:extent cx="5669280" cy="2834640"/>
            <wp:docPr id="11" name="Picture 11"/>
            <wp:cNvGraphicFramePr>
              <a:graphicFrameLocks noChangeAspect="1"/>
            </wp:cNvGraphicFramePr>
            <a:graphic>
              <a:graphicData uri="http://schemas.openxmlformats.org/drawingml/2006/picture">
                <pic:pic>
                  <pic:nvPicPr>
                    <pic:cNvPr id="0" name="11_cancellation_patterns_monthly.png"/>
                    <pic:cNvPicPr/>
                  </pic:nvPicPr>
                  <pic:blipFill>
                    <a:blip r:embed="rId21"/>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6464"/>
          <w:sz w:val="19"/>
        </w:rPr>
        <w:t>Figure 11: Monthly Net Sales Revenue vs. Value of Cancelled Transactions</w:t>
      </w:r>
    </w:p>
    <w:p>
      <w:pPr>
        <w:spacing w:before="0" w:after="100" w:line="276" w:lineRule="auto"/>
      </w:pPr>
      <w:r>
        <w:rPr>
          <w:rFonts w:ascii="Calibri" w:hAnsi="Calibri"/>
          <w:color w:val="333333"/>
          <w:sz w:val="22"/>
        </w:rPr>
        <w:t>Across the observation window, exactly 3,836 invoices comprising 9,288 line items and 275,560 physical units were cancelled. The gross value of these cancellations reached £893,979.73, representing an invoice cancellation rate of 16.25% across all order attempts. Cancellations peaked in absolute terms during October and November, mirroring the Q4 surge. However, the return-loss ratio stayed consistent at 6.5% to 8.8% of gross monthly sales, indicating systemic process drivers rather than isolated seasonal anomalies.</w:t>
      </w:r>
    </w:p>
    <w:p>
      <w:pPr>
        <w:keepNext/>
        <w:spacing w:before="280" w:after="120"/>
        <w:jc w:val="left"/>
      </w:pPr>
      <w:r>
        <w:rPr>
          <w:rFonts w:ascii="Calibri" w:hAnsi="Calibri"/>
          <w:b/>
          <w:color w:val="1F4E79"/>
          <w:sz w:val="36"/>
        </w:rPr>
        <w:t>13. Feature Correlation Analysis</w:t>
      </w:r>
    </w:p>
    <w:p>
      <w:pPr>
        <w:spacing w:before="0" w:after="100" w:line="276" w:lineRule="auto"/>
      </w:pPr>
      <w:r>
        <w:rPr>
          <w:rFonts w:ascii="Calibri" w:hAnsi="Calibri"/>
          <w:color w:val="333333"/>
          <w:sz w:val="22"/>
        </w:rPr>
        <w:t>We examined linear Pearson correlations between key numerical variables to validate behavioral relationships.</w:t>
      </w:r>
    </w:p>
    <w:p>
      <w:pPr>
        <w:keepNext/>
        <w:spacing w:before="120" w:after="40"/>
        <w:jc w:val="center"/>
      </w:pPr>
      <w:r>
        <w:drawing>
          <wp:inline xmlns:a="http://schemas.openxmlformats.org/drawingml/2006/main" xmlns:pic="http://schemas.openxmlformats.org/drawingml/2006/picture">
            <wp:extent cx="5669280" cy="4606290"/>
            <wp:docPr id="12" name="Picture 12"/>
            <wp:cNvGraphicFramePr>
              <a:graphicFrameLocks noChangeAspect="1"/>
            </wp:cNvGraphicFramePr>
            <a:graphic>
              <a:graphicData uri="http://schemas.openxmlformats.org/drawingml/2006/picture">
                <pic:pic>
                  <pic:nvPicPr>
                    <pic:cNvPr id="0" name="12_correlation_heatmap.png"/>
                    <pic:cNvPicPr/>
                  </pic:nvPicPr>
                  <pic:blipFill>
                    <a:blip r:embed="rId22"/>
                    <a:stretch>
                      <a:fillRect/>
                    </a:stretch>
                  </pic:blipFill>
                  <pic:spPr>
                    <a:xfrm>
                      <a:off x="0" y="0"/>
                      <a:ext cx="5669280" cy="4606290"/>
                    </a:xfrm>
                    <a:prstGeom prst="rect"/>
                  </pic:spPr>
                </pic:pic>
              </a:graphicData>
            </a:graphic>
          </wp:inline>
        </w:drawing>
      </w:r>
    </w:p>
    <w:p>
      <w:pPr>
        <w:spacing w:before="0" w:after="160"/>
        <w:jc w:val="center"/>
      </w:pPr>
      <w:r>
        <w:rPr>
          <w:rFonts w:ascii="Calibri" w:hAnsi="Calibri"/>
          <w:i/>
          <w:color w:val="646464"/>
          <w:sz w:val="19"/>
        </w:rPr>
        <w:t>Figure 12: Pearson Correlation Heatmap for Numerical Transaction Attributes</w:t>
      </w:r>
    </w:p>
    <w:p>
      <w:pPr>
        <w:spacing w:before="0" w:after="100" w:line="276" w:lineRule="auto"/>
      </w:pPr>
      <w:r>
        <w:rPr>
          <w:rFonts w:ascii="Calibri" w:hAnsi="Calibri"/>
          <w:color w:val="333333"/>
          <w:sz w:val="22"/>
        </w:rPr>
        <w:t>Key statistical observations include:</w:t>
        <w:br/>
        <w:t>1. Quantity and Revenue exhibit an overwhelming positive correlation (r = 0.908), confirming that bulk order volume is the overwhelming driver of sales value.</w:t>
        <w:br/>
        <w:t>2. UnitPrice displays an almost zero correlation with Quantity (r = -0.005), illustrating that wholesale buyers order large batch sizes regardless of unit price points.</w:t>
        <w:br/>
        <w:t>3. Temporal attributes (Hour, Day, Month) exhibit near-zero correlations with basket size, indicating that transaction values remain steady regardless of when the purchase is executed.</w:t>
      </w:r>
    </w:p>
    <w:p>
      <w:pPr>
        <w:keepNext/>
        <w:spacing w:before="280" w:after="120"/>
        <w:jc w:val="left"/>
      </w:pPr>
      <w:r>
        <w:rPr>
          <w:rFonts w:ascii="Calibri" w:hAnsi="Calibri"/>
          <w:b/>
          <w:color w:val="1F4E79"/>
          <w:sz w:val="36"/>
        </w:rPr>
        <w:t>14. Consolidated Key Findings</w:t>
      </w:r>
    </w:p>
    <w:p>
      <w:pPr>
        <w:spacing w:before="0" w:after="100" w:line="276" w:lineRule="auto"/>
      </w:pPr>
      <w:r>
        <w:rPr>
          <w:rFonts w:ascii="Calibri" w:hAnsi="Calibri"/>
          <w:color w:val="333333"/>
          <w:sz w:val="22"/>
        </w:rPr>
        <w:t>Synthesizing our empirical investigations yields the following verified analytical conclusions:</w:t>
      </w:r>
    </w:p>
    <w:p>
      <w:pPr>
        <w:pStyle w:val="ListBullet"/>
        <w:spacing w:before="20" w:after="60" w:line="276" w:lineRule="auto"/>
      </w:pPr>
      <w:r>
        <w:rPr>
          <w:rFonts w:ascii="Calibri" w:hAnsi="Calibri"/>
          <w:b/>
          <w:color w:val="333333"/>
          <w:sz w:val="22"/>
        </w:rPr>
        <w:t xml:space="preserve">1. Enterprise Scale: </w:t>
      </w:r>
      <w:r>
        <w:rPr>
          <w:rFonts w:ascii="Calibri" w:hAnsi="Calibri"/>
          <w:color w:val="333333"/>
          <w:sz w:val="22"/>
        </w:rPr>
        <w:t>The enterprise achieved £10,266,018.19 in net sales across 19,777 orders and 5,561,563 items.</w:t>
      </w:r>
    </w:p>
    <w:p>
      <w:pPr>
        <w:pStyle w:val="ListBullet"/>
        <w:spacing w:before="20" w:after="60" w:line="276" w:lineRule="auto"/>
      </w:pPr>
      <w:r>
        <w:rPr>
          <w:rFonts w:ascii="Calibri" w:hAnsi="Calibri"/>
          <w:b/>
          <w:color w:val="333333"/>
          <w:sz w:val="22"/>
        </w:rPr>
        <w:t xml:space="preserve">2. Q4 Seasonality Surge: </w:t>
      </w:r>
      <w:r>
        <w:rPr>
          <w:rFonts w:ascii="Calibri" w:hAnsi="Calibri"/>
          <w:color w:val="333333"/>
          <w:sz w:val="22"/>
        </w:rPr>
        <w:t>November 2011 was the peak month (£1,453,265.98), nearly tripling February 2011 (£508,081.54).</w:t>
      </w:r>
    </w:p>
    <w:p>
      <w:pPr>
        <w:pStyle w:val="ListBullet"/>
        <w:spacing w:before="20" w:after="60" w:line="276" w:lineRule="auto"/>
      </w:pPr>
      <w:r>
        <w:rPr>
          <w:rFonts w:ascii="Calibri" w:hAnsi="Calibri"/>
          <w:b/>
          <w:color w:val="333333"/>
          <w:sz w:val="22"/>
        </w:rPr>
        <w:t xml:space="preserve">3. Corporate Operating Hours: </w:t>
      </w:r>
      <w:r>
        <w:rPr>
          <w:rFonts w:ascii="Calibri" w:hAnsi="Calibri"/>
          <w:color w:val="333333"/>
          <w:sz w:val="22"/>
        </w:rPr>
        <w:t>Thursday is the top ordering day (4,209 orders), and 12:00 PM is the peak hour (3,205 orders). Saturdays record 0 orders.</w:t>
      </w:r>
    </w:p>
    <w:p>
      <w:pPr>
        <w:pStyle w:val="ListBullet"/>
        <w:spacing w:before="20" w:after="60" w:line="276" w:lineRule="auto"/>
      </w:pPr>
      <w:r>
        <w:rPr>
          <w:rFonts w:ascii="Calibri" w:hAnsi="Calibri"/>
          <w:b/>
          <w:color w:val="333333"/>
          <w:sz w:val="22"/>
        </w:rPr>
        <w:t xml:space="preserve">4. Hero Product Concentration: </w:t>
      </w:r>
      <w:r>
        <w:rPr>
          <w:rFonts w:ascii="Calibri" w:hAnsi="Calibri"/>
          <w:color w:val="333333"/>
          <w:sz w:val="22"/>
        </w:rPr>
        <w:t>Stock Code 22423 led revenue (£174,156.54), while Code 23843 led volume (80,995 units).</w:t>
      </w:r>
    </w:p>
    <w:p>
      <w:pPr>
        <w:pStyle w:val="ListBullet"/>
        <w:spacing w:before="20" w:after="60" w:line="276" w:lineRule="auto"/>
      </w:pPr>
      <w:r>
        <w:rPr>
          <w:rFonts w:ascii="Calibri" w:hAnsi="Calibri"/>
          <w:b/>
          <w:color w:val="333333"/>
          <w:sz w:val="22"/>
        </w:rPr>
        <w:t xml:space="preserve">5. High-Value International Markets: </w:t>
      </w:r>
      <w:r>
        <w:rPr>
          <w:rFonts w:ascii="Calibri" w:hAnsi="Calibri"/>
          <w:color w:val="333333"/>
          <w:sz w:val="22"/>
        </w:rPr>
        <w:t>The UK generates 85.11% of sales, but international markets exhibit 6x higher Average Order Values (£3,020 in Netherlands).</w:t>
      </w:r>
    </w:p>
    <w:p>
      <w:pPr>
        <w:pStyle w:val="ListBullet"/>
        <w:spacing w:before="20" w:after="60" w:line="276" w:lineRule="auto"/>
      </w:pPr>
      <w:r>
        <w:rPr>
          <w:rFonts w:ascii="Calibri" w:hAnsi="Calibri"/>
          <w:b/>
          <w:color w:val="333333"/>
          <w:sz w:val="22"/>
        </w:rPr>
        <w:t xml:space="preserve">6. Severe Pareto Concentration: </w:t>
      </w:r>
      <w:r>
        <w:rPr>
          <w:rFonts w:ascii="Calibri" w:hAnsi="Calibri"/>
          <w:color w:val="333333"/>
          <w:sz w:val="22"/>
        </w:rPr>
        <w:t>The top 20% of clients generate 74.59% of revenue, and top 1% generate 32.02%.</w:t>
      </w:r>
    </w:p>
    <w:p>
      <w:pPr>
        <w:pStyle w:val="ListBullet"/>
        <w:spacing w:before="20" w:after="60" w:line="276" w:lineRule="auto"/>
      </w:pPr>
      <w:r>
        <w:rPr>
          <w:rFonts w:ascii="Calibri" w:hAnsi="Calibri"/>
          <w:b/>
          <w:color w:val="333333"/>
          <w:sz w:val="22"/>
        </w:rPr>
        <w:t xml:space="preserve">7. Return Friction: </w:t>
      </w:r>
      <w:r>
        <w:rPr>
          <w:rFonts w:ascii="Calibri" w:hAnsi="Calibri"/>
          <w:color w:val="333333"/>
          <w:sz w:val="22"/>
        </w:rPr>
        <w:t>Cancellations impacted 3,836 invoices (16.25% rate), representing £893,979.73 in cancelled gross merchandise.</w:t>
      </w:r>
    </w:p>
    <w:p>
      <w:pPr>
        <w:keepNext/>
        <w:spacing w:before="280" w:after="120"/>
        <w:jc w:val="left"/>
      </w:pPr>
      <w:r>
        <w:rPr>
          <w:rFonts w:ascii="Calibri" w:hAnsi="Calibri"/>
          <w:b/>
          <w:color w:val="1F4E79"/>
          <w:sz w:val="36"/>
        </w:rPr>
        <w:t>15. Strategic Business Insights &amp; Recommendations</w:t>
      </w:r>
    </w:p>
    <w:p>
      <w:pPr>
        <w:spacing w:before="0" w:after="100" w:line="276" w:lineRule="auto"/>
      </w:pPr>
      <w:r>
        <w:rPr>
          <w:rFonts w:ascii="Calibri" w:hAnsi="Calibri"/>
          <w:color w:val="333333"/>
          <w:sz w:val="22"/>
        </w:rPr>
        <w:t>Based on these empirical findings, we present five strategic, high-ROI business recommendations for executive leadership:</w:t>
      </w:r>
    </w:p>
    <w:p>
      <w:pPr>
        <w:keepNext/>
        <w:spacing w:before="240" w:after="80"/>
      </w:pPr>
      <w:r>
        <w:rPr>
          <w:rFonts w:ascii="Calibri" w:hAnsi="Calibri"/>
          <w:b/>
          <w:color w:val="2E75B6"/>
          <w:sz w:val="28"/>
        </w:rPr>
        <w:t>Recommendation 1: Dedicated VIP Key Account Success Program</w:t>
      </w:r>
    </w:p>
    <w:p>
      <w:pPr>
        <w:spacing w:before="0" w:after="100" w:line="276" w:lineRule="auto"/>
      </w:pPr>
      <w:r>
        <w:rPr>
          <w:rFonts w:ascii="Calibri" w:hAnsi="Calibri"/>
          <w:color w:val="333333"/>
          <w:sz w:val="22"/>
        </w:rPr>
        <w:t>With the top 1% generating 32.02% of revenue, losing even 2–3 top wholesale accounts would devastate company cash flow. Leadership must establish a VIP Account Management team assigned to the top 100 corporate clients. Offer contractual SLAs, priority warehouse packing, custom bulk pallet pricing, and guaranteed stock reservation during peak Q4 months.</w:t>
      </w:r>
    </w:p>
    <w:p>
      <w:pPr>
        <w:keepNext/>
        <w:spacing w:before="240" w:after="80"/>
      </w:pPr>
      <w:r>
        <w:rPr>
          <w:rFonts w:ascii="Calibri" w:hAnsi="Calibri"/>
          <w:b/>
          <w:color w:val="2E75B6"/>
          <w:sz w:val="28"/>
        </w:rPr>
        <w:t>Recommendation 2: Predictive Q4 Inventory Buffering &amp; Procurement Staging</w:t>
      </w:r>
    </w:p>
    <w:p>
      <w:pPr>
        <w:spacing w:before="0" w:after="100" w:line="276" w:lineRule="auto"/>
      </w:pPr>
      <w:r>
        <w:rPr>
          <w:rFonts w:ascii="Calibri" w:hAnsi="Calibri"/>
          <w:color w:val="333333"/>
          <w:sz w:val="22"/>
        </w:rPr>
        <w:t>The 186% demand surge from February to November requires aggressive inventory staging. Procurement orders for the top 50 revenue-generating SKUs (such as Regency Cakestands and Ceramic Jars) must be submitted to manufacturers by June/July, with shipments arriving in UK warehouses by August. This mitigates stockouts, avoids express freight premiums, and captures maximum seasonal demand.</w:t>
      </w:r>
    </w:p>
    <w:p>
      <w:pPr>
        <w:keepNext/>
        <w:spacing w:before="240" w:after="80"/>
      </w:pPr>
      <w:r>
        <w:rPr>
          <w:rFonts w:ascii="Calibri" w:hAnsi="Calibri"/>
          <w:b/>
          <w:color w:val="2E75B6"/>
          <w:sz w:val="28"/>
        </w:rPr>
        <w:t>Recommendation 3: European Cross-Border Distribution Hub (Netherlands/Germany)</w:t>
      </w:r>
    </w:p>
    <w:p>
      <w:pPr>
        <w:spacing w:before="0" w:after="100" w:line="276" w:lineRule="auto"/>
      </w:pPr>
      <w:r>
        <w:rPr>
          <w:rFonts w:ascii="Calibri" w:hAnsi="Calibri"/>
          <w:color w:val="333333"/>
          <w:sz w:val="22"/>
        </w:rPr>
        <w:t>International markets represent £1,528,351.65 with massive AOVs (£3,020 in the Netherlands). Establishing a bonded cross-docking or 3PL fulfillment partnership in Rotterdam or Frankfurt will eliminate customs clearance delays, cut shipping tariffs, and reduce transit times from 5 days to 24–48 hours, unlocking substantial wholesale market share across Western Europe.</w:t>
      </w:r>
    </w:p>
    <w:p>
      <w:pPr>
        <w:keepNext/>
        <w:spacing w:before="240" w:after="80"/>
      </w:pPr>
      <w:r>
        <w:rPr>
          <w:rFonts w:ascii="Calibri" w:hAnsi="Calibri"/>
          <w:b/>
          <w:color w:val="2E75B6"/>
          <w:sz w:val="28"/>
        </w:rPr>
        <w:t>Recommendation 4: Cancellation Root-Cause Remediation Program</w:t>
      </w:r>
    </w:p>
    <w:p>
      <w:pPr>
        <w:spacing w:before="0" w:after="100" w:line="276" w:lineRule="auto"/>
      </w:pPr>
      <w:r>
        <w:rPr>
          <w:rFonts w:ascii="Calibri" w:hAnsi="Calibri"/>
          <w:color w:val="333333"/>
          <w:sz w:val="22"/>
        </w:rPr>
        <w:t>With £893,979.73 tied up in cancelled orders, management must conduct an immediate quality audit on the top cancelled stock codes. Inspect fragile ceramics and glassware for transit damage, improve protective inner packaging, and mandate order confirmation protocols for orders exceeding £1,000 to prevent accidental double-ordering.</w:t>
      </w:r>
    </w:p>
    <w:p>
      <w:pPr>
        <w:keepNext/>
        <w:spacing w:before="240" w:after="80"/>
      </w:pPr>
      <w:r>
        <w:rPr>
          <w:rFonts w:ascii="Calibri" w:hAnsi="Calibri"/>
          <w:b/>
          <w:color w:val="2E75B6"/>
          <w:sz w:val="28"/>
        </w:rPr>
        <w:t>Recommendation 5: Weekend Digital Pre-Order Automation &amp; Shift Smoothing</w:t>
      </w:r>
    </w:p>
    <w:p>
      <w:pPr>
        <w:spacing w:before="0" w:after="100" w:line="276" w:lineRule="auto"/>
      </w:pPr>
      <w:r>
        <w:rPr>
          <w:rFonts w:ascii="Calibri" w:hAnsi="Calibri"/>
          <w:color w:val="333333"/>
          <w:sz w:val="22"/>
        </w:rPr>
        <w:t>The zero-order anomaly on Saturday reveals an operational bottleneck: Sunday and Monday morning warehouse crews are overwhelmed by accumulated orders. Deploy automated order validation workflows, AI-assisted picking route optimization, and weekend dispatch shifts to balance workload evenly across the business week.</w:t>
      </w:r>
    </w:p>
    <w:p>
      <w:pPr>
        <w:keepNext/>
        <w:spacing w:before="280" w:after="120"/>
        <w:jc w:val="left"/>
      </w:pPr>
      <w:r>
        <w:rPr>
          <w:rFonts w:ascii="Calibri" w:hAnsi="Calibri"/>
          <w:b/>
          <w:color w:val="1F4E79"/>
          <w:sz w:val="36"/>
        </w:rPr>
        <w:t>16. Limitations &amp; Future Scope</w:t>
      </w:r>
    </w:p>
    <w:p>
      <w:pPr>
        <w:spacing w:before="0" w:after="100" w:line="276" w:lineRule="auto"/>
      </w:pPr>
      <w:r>
        <w:rPr>
          <w:rFonts w:ascii="Calibri" w:hAnsi="Calibri"/>
          <w:color w:val="333333"/>
          <w:sz w:val="22"/>
        </w:rPr>
        <w:t>While this study delivers deep empirical insights, several analytical limitations must be noted:</w:t>
        <w:br/>
        <w:t>1. Lack of Cost of Goods Sold (COGS): The dataset contains unit selling prices but lacks wholesale acquisition costs and shipping expenses. Consequently, metrics evaluate gross revenue rather than gross profit margins.</w:t>
        <w:br/>
        <w:t>2. Unregistered Guest Purchases: Exactly 24.93% of transactions lack a CustomerID, precluding complete lifetime value tracking for guest users.</w:t>
        <w:br/>
        <w:t>3. Truncated Observation Window: The dataset terminates on December 9, 2011, preventing full-month comparisons for December 2011.</w:t>
        <w:br/>
        <w:t>4. Absence of Marketing Attribution: Transaction records do not capture web traffic sources, advertising spend, or promotional discounts.</w:t>
      </w:r>
    </w:p>
    <w:p>
      <w:pPr>
        <w:keepNext/>
        <w:spacing w:before="280" w:after="120"/>
        <w:jc w:val="left"/>
      </w:pPr>
      <w:r>
        <w:rPr>
          <w:rFonts w:ascii="Calibri" w:hAnsi="Calibri"/>
          <w:b/>
          <w:color w:val="1F4E79"/>
          <w:sz w:val="36"/>
        </w:rPr>
        <w:t>17. Conclusion</w:t>
      </w:r>
    </w:p>
    <w:p>
      <w:pPr>
        <w:spacing w:before="0" w:after="100" w:line="276" w:lineRule="auto"/>
      </w:pPr>
      <w:r>
        <w:rPr>
          <w:rFonts w:ascii="Calibri" w:hAnsi="Calibri"/>
          <w:color w:val="333333"/>
          <w:sz w:val="22"/>
        </w:rPr>
        <w:t>This project successfully completed a rigorous, end-to-end data analysis of the transnational UCI Online Retail Dataset. By establishing clean transactional boundaries and executing comprehensive multi-dimensional evaluations, we uncovered the key commercial drivers of the enterprise. The operational roadmap delivered in this report equips executive decision-makers with the concrete tools needed to safeguard VIP wholesale accounts, optimize holiday inventory pipelines, expand European distribution, and curb costly order cancellations.</w:t>
      </w:r>
    </w:p>
    <w:p>
      <w:pPr>
        <w:keepNext/>
        <w:spacing w:before="280" w:after="120"/>
        <w:jc w:val="left"/>
      </w:pPr>
      <w:r>
        <w:rPr>
          <w:rFonts w:ascii="Calibri" w:hAnsi="Calibri"/>
          <w:b/>
          <w:color w:val="1F4E79"/>
          <w:sz w:val="36"/>
        </w:rPr>
        <w:t>18. References</w:t>
      </w:r>
    </w:p>
    <w:p>
      <w:pPr>
        <w:pStyle w:val="ListBullet"/>
        <w:spacing w:before="20" w:after="60" w:line="276" w:lineRule="auto"/>
      </w:pPr>
      <w:r>
        <w:rPr>
          <w:rFonts w:ascii="Calibri" w:hAnsi="Calibri"/>
          <w:color w:val="333333"/>
          <w:sz w:val="22"/>
        </w:rPr>
        <w:t>Chen, D., Sain, S. L., &amp; Guo, K. (2012). Data mining for the online retail industry: A case study of RFM model-based customer segmentation using data mining. Journal of Database Marketing &amp; Customer Strategy Management, 19(3), 197-208.</w:t>
      </w:r>
    </w:p>
    <w:p>
      <w:pPr>
        <w:pStyle w:val="ListBullet"/>
        <w:spacing w:before="20" w:after="60" w:line="276" w:lineRule="auto"/>
      </w:pPr>
      <w:r>
        <w:rPr>
          <w:rFonts w:ascii="Calibri" w:hAnsi="Calibri"/>
          <w:color w:val="333333"/>
          <w:sz w:val="22"/>
        </w:rPr>
        <w:t>UCI Machine Learning Repository. (2015). Online Retail Dataset. Accessible at: https://archive.ics.uci.edu/dataset/352/online+retail</w:t>
      </w:r>
    </w:p>
    <w:p>
      <w:pPr>
        <w:pStyle w:val="ListBullet"/>
        <w:spacing w:before="20" w:after="60" w:line="276" w:lineRule="auto"/>
      </w:pPr>
      <w:r>
        <w:rPr>
          <w:rFonts w:ascii="Calibri" w:hAnsi="Calibri"/>
          <w:color w:val="333333"/>
          <w:sz w:val="22"/>
        </w:rPr>
        <w:t>McKinney, W. (2010). Data Structures for Statistical Computing in Python. Proceedings of the 9th Python in Science Conference, 51-56.</w:t>
      </w:r>
    </w:p>
    <w:p>
      <w:pPr>
        <w:pStyle w:val="ListBullet"/>
        <w:spacing w:before="20" w:after="60" w:line="276" w:lineRule="auto"/>
      </w:pPr>
      <w:r>
        <w:rPr>
          <w:rFonts w:ascii="Calibri" w:hAnsi="Calibri"/>
          <w:color w:val="333333"/>
          <w:sz w:val="22"/>
        </w:rPr>
        <w:t>Hunter, J. D. (2007). Matplotlib: A 2D Graphics Environment. Computing in Science &amp; Engineering, 9(3), 90-95.</w:t>
      </w:r>
    </w:p>
    <w:p>
      <w:pPr>
        <w:pStyle w:val="ListBullet"/>
        <w:spacing w:before="20" w:after="60" w:line="276" w:lineRule="auto"/>
      </w:pPr>
      <w:r>
        <w:rPr>
          <w:rFonts w:ascii="Calibri" w:hAnsi="Calibri"/>
          <w:color w:val="333333"/>
          <w:sz w:val="22"/>
        </w:rPr>
        <w:t>Waskom, M. L. (2021). Seaborn: statistical data visualization. Journal of Open Source Software, 6(60), 3021.</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808080"/>
        <w:sz w:val="17"/>
      </w:rPr>
      <w:t>Author: Sneha Vinod Potanavar  |  UCI Online Retail Dataset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Online Retail Sales &amp; Customer Analysis | Data Analysis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