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xDPS-Office"/>
        <w:tblpPr w:leftFromText="180" w:rightFromText="180" w:vertAnchor="text" w:horzAnchor="page" w:tblpX="369" w:tblpY="5679"/>
        <w:tblW w:w="1017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5F4D11" w:rsidRPr="00D94839" w14:paraId="06F54107" w14:textId="77777777" w:rsidTr="479C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tcW w:w="10170" w:type="dxa"/>
            <w:shd w:val="clear" w:color="auto" w:fill="auto"/>
          </w:tcPr>
          <w:p w14:paraId="634270FB" w14:textId="77777777" w:rsidR="005F4D11" w:rsidRPr="003A6EAA" w:rsidRDefault="005F4D11" w:rsidP="005F4D11">
            <w:pPr>
              <w:spacing w:before="0" w:after="160" w:line="259" w:lineRule="auto"/>
              <w:rPr>
                <w:bCs/>
                <w:noProof/>
                <w:color w:val="FF0066"/>
                <w:lang w:eastAsia="en-AU"/>
              </w:rPr>
            </w:pPr>
            <w:r>
              <w:rPr>
                <w:bCs/>
                <w:noProof/>
                <w:color w:val="FF0066"/>
                <w:lang w:eastAsia="en-AU"/>
              </w:rPr>
              <w:br w:type="page"/>
            </w:r>
          </w:p>
        </w:tc>
      </w:tr>
    </w:tbl>
    <w:p w14:paraId="29EA4B36" w14:textId="0D34864E" w:rsidR="00EB0DE7" w:rsidRPr="00B75746" w:rsidRDefault="003C2BCE" w:rsidP="009030A8">
      <w:pPr>
        <w:spacing w:before="5160"/>
      </w:pPr>
      <w:bookmarkStart w:id="0" w:name="_Toc55911102"/>
      <w:r>
        <w:t>Optimize Azure Synapse SQL Pools</w:t>
      </w:r>
      <w:bookmarkEnd w:id="0"/>
    </w:p>
    <w:p w14:paraId="1CF71B97" w14:textId="47FE78C9" w:rsidR="009D43F8" w:rsidRPr="007315CE" w:rsidRDefault="007C68FA" w:rsidP="00992A20">
      <w:pPr>
        <w:pStyle w:val="Heading2"/>
      </w:pPr>
      <w:bookmarkStart w:id="1" w:name="_Toc55911103"/>
      <w:r w:rsidRPr="007315CE">
        <w:t xml:space="preserve">Engagement </w:t>
      </w:r>
      <w:r w:rsidR="007D3E2B">
        <w:t>Overview</w:t>
      </w:r>
      <w:bookmarkEnd w:id="1"/>
    </w:p>
    <w:p w14:paraId="06FB4409" w14:textId="16FCE0F7" w:rsidR="00A33A76" w:rsidRPr="007315CE" w:rsidRDefault="007D3E2B" w:rsidP="00385569">
      <w:pPr>
        <w:pStyle w:val="Heading3"/>
      </w:pPr>
      <w:bookmarkStart w:id="2" w:name="_Toc55911104"/>
      <w:r>
        <w:t>Introduction</w:t>
      </w:r>
      <w:bookmarkEnd w:id="2"/>
    </w:p>
    <w:p w14:paraId="7B14298B" w14:textId="7A588165" w:rsidR="00A141E9" w:rsidRPr="009E6790" w:rsidRDefault="009E6790" w:rsidP="009E6790">
      <w:pPr>
        <w:ind w:left="432"/>
        <w:rPr>
          <w:rFonts w:cs="Segoe UI"/>
          <w:sz w:val="22"/>
          <w:szCs w:val="22"/>
        </w:rPr>
      </w:pPr>
      <w:r w:rsidRPr="003C5FBF">
        <w:rPr>
          <w:rFonts w:cs="Segoe UI"/>
        </w:rPr>
        <w:t xml:space="preserve">The </w:t>
      </w:r>
      <w:r w:rsidR="00E877E3">
        <w:rPr>
          <w:rFonts w:cs="Segoe UI"/>
        </w:rPr>
        <w:t>Optimize Azure Synapse SQL Pools engagement</w:t>
      </w:r>
      <w:r w:rsidRPr="003C5FBF">
        <w:rPr>
          <w:rFonts w:cs="Segoe UI"/>
        </w:rPr>
        <w:t xml:space="preserve"> provides attendees with the knowledge and understanding of </w:t>
      </w:r>
      <w:r w:rsidR="00960B09">
        <w:rPr>
          <w:rFonts w:cs="Segoe UI"/>
        </w:rPr>
        <w:t xml:space="preserve">how queries are processed in SQL pools and how to optimize workloads for performance. </w:t>
      </w:r>
      <w:r w:rsidR="00971161">
        <w:rPr>
          <w:rFonts w:cs="Segoe UI"/>
        </w:rPr>
        <w:t xml:space="preserve">While we may address certain issues during the engagement, the goal is not to fix specific queries, rather the goal is to provide the attendees with knowledge needed to </w:t>
      </w:r>
      <w:r w:rsidR="005706E2">
        <w:rPr>
          <w:rFonts w:cs="Segoe UI"/>
        </w:rPr>
        <w:t xml:space="preserve">identify and optimize query and workload issues. </w:t>
      </w:r>
    </w:p>
    <w:p w14:paraId="065E99A8" w14:textId="7AD286E3" w:rsidR="009C2F5B" w:rsidRDefault="00827C2E" w:rsidP="003E4406">
      <w:pPr>
        <w:pStyle w:val="Heading3"/>
      </w:pPr>
      <w:bookmarkStart w:id="3" w:name="_Toc55911108"/>
      <w:r>
        <w:t>Pre-Requisite Configuration</w:t>
      </w:r>
      <w:bookmarkEnd w:id="3"/>
    </w:p>
    <w:p w14:paraId="255E4E6E" w14:textId="0A259338" w:rsidR="00827C2E" w:rsidRDefault="003E7571" w:rsidP="00827C2E">
      <w:pPr>
        <w:ind w:left="432" w:firstLine="3"/>
        <w:rPr>
          <w:rFonts w:cs="Segoe UI"/>
        </w:rPr>
      </w:pPr>
      <w:r>
        <w:rPr>
          <w:rFonts w:cs="Segoe UI"/>
        </w:rPr>
        <w:t xml:space="preserve">Using the customer environment </w:t>
      </w:r>
      <w:r w:rsidR="007F1816">
        <w:rPr>
          <w:rFonts w:cs="Segoe UI"/>
        </w:rPr>
        <w:t xml:space="preserve">for optimization </w:t>
      </w:r>
      <w:r>
        <w:rPr>
          <w:rFonts w:cs="Segoe UI"/>
        </w:rPr>
        <w:t xml:space="preserve">is ideal because we can </w:t>
      </w:r>
      <w:r w:rsidR="007F1816">
        <w:rPr>
          <w:rFonts w:cs="Segoe UI"/>
        </w:rPr>
        <w:t xml:space="preserve">teach using </w:t>
      </w:r>
      <w:r w:rsidR="000B1510">
        <w:rPr>
          <w:rFonts w:cs="Segoe UI"/>
        </w:rPr>
        <w:t xml:space="preserve">the customer’s data and experience as </w:t>
      </w:r>
      <w:r w:rsidR="009030A8">
        <w:rPr>
          <w:rFonts w:cs="Segoe UI"/>
        </w:rPr>
        <w:t>an</w:t>
      </w:r>
      <w:r w:rsidR="000B1510">
        <w:rPr>
          <w:rFonts w:cs="Segoe UI"/>
        </w:rPr>
        <w:t xml:space="preserve"> example</w:t>
      </w:r>
      <w:r>
        <w:rPr>
          <w:rFonts w:cs="Segoe UI"/>
        </w:rPr>
        <w:t xml:space="preserve">. </w:t>
      </w:r>
      <w:r w:rsidR="00827C2E" w:rsidRPr="00827C2E">
        <w:rPr>
          <w:rFonts w:cs="Segoe UI"/>
        </w:rPr>
        <w:t xml:space="preserve">In order to use the customer environment to identify and troubleshoot issues, we need to do some pre-requisite configuration. </w:t>
      </w:r>
    </w:p>
    <w:p w14:paraId="5FB7DCF4" w14:textId="2ED8D6A3" w:rsidR="003E7571" w:rsidRDefault="00EE7385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Create a Log Analytics Workspace</w:t>
      </w:r>
    </w:p>
    <w:p w14:paraId="21E75B89" w14:textId="77777777" w:rsidR="00536D75" w:rsidRDefault="003078CB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In the Azure Portal </w:t>
      </w:r>
      <w:r w:rsidR="00191B6F">
        <w:rPr>
          <w:rFonts w:cs="Segoe UI"/>
        </w:rPr>
        <w:t xml:space="preserve">go to the ‘create a resource’ </w:t>
      </w:r>
      <w:r w:rsidR="00536D75">
        <w:rPr>
          <w:rFonts w:cs="Segoe UI"/>
        </w:rPr>
        <w:t>window</w:t>
      </w:r>
    </w:p>
    <w:p w14:paraId="1F4028C2" w14:textId="0AD46019" w:rsidR="003078CB" w:rsidRDefault="00536D75" w:rsidP="00536D75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536D75">
        <w:rPr>
          <w:rFonts w:cs="Segoe UI"/>
          <w:noProof/>
        </w:rPr>
        <w:drawing>
          <wp:inline distT="0" distB="0" distL="0" distR="0" wp14:anchorId="10774ED1" wp14:editId="4C175016">
            <wp:extent cx="3171848" cy="1266834"/>
            <wp:effectExtent l="0" t="0" r="9525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B6F">
        <w:rPr>
          <w:rFonts w:cs="Segoe UI"/>
        </w:rPr>
        <w:t xml:space="preserve"> </w:t>
      </w:r>
    </w:p>
    <w:p w14:paraId="568C6CCA" w14:textId="468376AD" w:rsidR="00536D75" w:rsidRDefault="00536D75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Search for “log analytics workspace</w:t>
      </w:r>
      <w:r w:rsidR="00047742">
        <w:rPr>
          <w:rFonts w:cs="Segoe UI"/>
        </w:rPr>
        <w:t>” and click “create”</w:t>
      </w:r>
    </w:p>
    <w:p w14:paraId="2E670C14" w14:textId="77954ED7" w:rsidR="00047742" w:rsidRDefault="00047742" w:rsidP="00047742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047742">
        <w:rPr>
          <w:rFonts w:cs="Segoe UI"/>
          <w:noProof/>
        </w:rPr>
        <w:drawing>
          <wp:inline distT="0" distB="0" distL="0" distR="0" wp14:anchorId="35FE84B8" wp14:editId="00364F01">
            <wp:extent cx="3200423" cy="128588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30D" w14:textId="094889C3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subscription you want to keep monitoring in</w:t>
      </w:r>
    </w:p>
    <w:p w14:paraId="41C789D5" w14:textId="56260C15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resource group you want to keep monitoring components in or create a new one</w:t>
      </w:r>
    </w:p>
    <w:p w14:paraId="7DC0650E" w14:textId="27EF7336" w:rsidR="007333A0" w:rsidRDefault="007333A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Name the instance according to your naming </w:t>
      </w:r>
      <w:r w:rsidR="008126EC">
        <w:rPr>
          <w:rFonts w:cs="Segoe UI"/>
        </w:rPr>
        <w:t>conventions</w:t>
      </w:r>
    </w:p>
    <w:p w14:paraId="7A5D3538" w14:textId="5505035E" w:rsidR="008126EC" w:rsidRPr="00536D75" w:rsidRDefault="008126EC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the same region as your SQL Pool</w:t>
      </w:r>
    </w:p>
    <w:p w14:paraId="0400AE33" w14:textId="594AB79F" w:rsidR="00EE7385" w:rsidRDefault="00EE7385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Configure the SQL Pool to send data to log analytics</w:t>
      </w:r>
    </w:p>
    <w:p w14:paraId="59B7A3EE" w14:textId="7867CCCD" w:rsidR="00D465F2" w:rsidRDefault="00D465F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lastRenderedPageBreak/>
        <w:t>From the main pane of your Azure Synapse Instance, Select ‘Diagnostic Settings’</w:t>
      </w:r>
    </w:p>
    <w:p w14:paraId="00B77299" w14:textId="10D9FECA" w:rsidR="006D0F42" w:rsidRDefault="006D0F4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Select ‘</w:t>
      </w:r>
      <w:r w:rsidR="00784DC2">
        <w:rPr>
          <w:rFonts w:cs="Segoe UI"/>
        </w:rPr>
        <w:t>add diagnostic setting’</w:t>
      </w:r>
    </w:p>
    <w:p w14:paraId="072E9C45" w14:textId="0E09AE97" w:rsidR="00784DC2" w:rsidRDefault="00E4284A" w:rsidP="00784DC2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247B925A" wp14:editId="6C37D9A9">
            <wp:extent cx="2999881" cy="22631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57" cy="22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DC0E" w14:textId="03031B44" w:rsidR="00784DC2" w:rsidRDefault="008F1610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Configure the settings as seen below. We are intentionally </w:t>
      </w:r>
      <w:r w:rsidR="00446438">
        <w:rPr>
          <w:rFonts w:cs="Segoe UI"/>
        </w:rPr>
        <w:t>leaving</w:t>
      </w:r>
      <w:r>
        <w:rPr>
          <w:rFonts w:cs="Segoe UI"/>
        </w:rPr>
        <w:t xml:space="preserve"> D</w:t>
      </w:r>
      <w:r w:rsidR="005C264B">
        <w:rPr>
          <w:rFonts w:cs="Segoe UI"/>
        </w:rPr>
        <w:t>ms</w:t>
      </w:r>
      <w:r>
        <w:rPr>
          <w:rFonts w:cs="Segoe UI"/>
        </w:rPr>
        <w:t xml:space="preserve">Workers and SqlRequests </w:t>
      </w:r>
      <w:r w:rsidR="00446438">
        <w:rPr>
          <w:rFonts w:cs="Segoe UI"/>
        </w:rPr>
        <w:t xml:space="preserve">off </w:t>
      </w:r>
      <w:r>
        <w:rPr>
          <w:rFonts w:cs="Segoe UI"/>
        </w:rPr>
        <w:t xml:space="preserve">because these are very busy DMVs that would increase cost. We do not use these in our dashboards today. </w:t>
      </w:r>
    </w:p>
    <w:p w14:paraId="5E08E756" w14:textId="7C88C0F6" w:rsidR="00DB349E" w:rsidRDefault="007672C1" w:rsidP="00DB349E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7672C1">
        <w:rPr>
          <w:rFonts w:cs="Segoe UI"/>
        </w:rPr>
        <w:drawing>
          <wp:inline distT="0" distB="0" distL="0" distR="0" wp14:anchorId="255FA42A" wp14:editId="4398061E">
            <wp:extent cx="3800152" cy="37338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242" cy="37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4746" w14:textId="3FB9C49F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54B8E499" w14:textId="54269D71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6872EC6A" w14:textId="1BE47BB9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276B1A30" w14:textId="77777777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469FB678" w14:textId="77777777" w:rsidR="00446438" w:rsidRDefault="00446438" w:rsidP="00446438">
      <w:pPr>
        <w:pStyle w:val="ListParagraph"/>
        <w:numPr>
          <w:ilvl w:val="0"/>
          <w:numId w:val="0"/>
        </w:numPr>
        <w:ind w:left="1224"/>
        <w:rPr>
          <w:rFonts w:cs="Segoe UI"/>
        </w:rPr>
      </w:pPr>
    </w:p>
    <w:p w14:paraId="4C4A514E" w14:textId="0BC6044D" w:rsidR="00DB349E" w:rsidRDefault="00DB349E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lastRenderedPageBreak/>
        <w:t xml:space="preserve">Check that logs are enabled after ~4 hours. </w:t>
      </w:r>
      <w:r w:rsidR="00CC0DE6">
        <w:rPr>
          <w:rFonts w:cs="Segoe UI"/>
        </w:rPr>
        <w:t xml:space="preserve">You can ask the customer to run this the next day and report back to ensure logs are appearing. </w:t>
      </w:r>
    </w:p>
    <w:p w14:paraId="668FB65C" w14:textId="21A3078E" w:rsidR="00CC0DE6" w:rsidRDefault="00CC0DE6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>From the main synapse page of your synapse instance, select the ‘logs’ pane</w:t>
      </w:r>
    </w:p>
    <w:p w14:paraId="004AC030" w14:textId="1BB9D2DF" w:rsidR="00CC0DE6" w:rsidRDefault="00446438" w:rsidP="00CC0DE6">
      <w:pPr>
        <w:pStyle w:val="ListParagraph"/>
        <w:numPr>
          <w:ilvl w:val="0"/>
          <w:numId w:val="0"/>
        </w:numPr>
        <w:ind w:left="1944"/>
        <w:rPr>
          <w:rFonts w:cs="Segoe UI"/>
        </w:rPr>
      </w:pPr>
      <w:r w:rsidRPr="00446438">
        <w:rPr>
          <w:rFonts w:cs="Segoe UI"/>
        </w:rPr>
        <w:drawing>
          <wp:inline distT="0" distB="0" distL="0" distR="0" wp14:anchorId="42DB8423" wp14:editId="7A69055C">
            <wp:extent cx="2088061" cy="1691787"/>
            <wp:effectExtent l="0" t="0" r="762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8D85" w14:textId="0207643A" w:rsidR="00CC0DE6" w:rsidRDefault="00F459E2" w:rsidP="008D7716">
      <w:pPr>
        <w:pStyle w:val="ListParagraph"/>
        <w:numPr>
          <w:ilvl w:val="1"/>
          <w:numId w:val="21"/>
        </w:numPr>
        <w:rPr>
          <w:rFonts w:cs="Segoe UI"/>
        </w:rPr>
      </w:pPr>
      <w:r>
        <w:rPr>
          <w:rFonts w:cs="Segoe UI"/>
        </w:rPr>
        <w:t xml:space="preserve">Run the following query after replacing DB name with the proper DB name. If this returns </w:t>
      </w:r>
      <w:r w:rsidR="00FF2ACF">
        <w:rPr>
          <w:rFonts w:cs="Segoe UI"/>
        </w:rPr>
        <w:t>results,</w:t>
      </w:r>
      <w:r w:rsidR="00CE4EEF">
        <w:rPr>
          <w:rFonts w:cs="Segoe UI"/>
        </w:rPr>
        <w:t xml:space="preserve"> then the log configuration is working correctly. </w:t>
      </w:r>
    </w:p>
    <w:p w14:paraId="2E49A5A3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AzureDiagnostics </w:t>
      </w:r>
    </w:p>
    <w:p w14:paraId="5A643248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where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Resource == </w:t>
      </w:r>
      <w:r w:rsidRPr="001F4F56">
        <w:rPr>
          <w:rFonts w:ascii="Consolas" w:eastAsia="Times New Roman" w:hAnsi="Consolas" w:cs="Times New Roman"/>
          <w:color w:val="A31515"/>
          <w:sz w:val="21"/>
          <w:szCs w:val="21"/>
        </w:rPr>
        <w:t>'&lt;databasename&gt;'</w:t>
      </w:r>
    </w:p>
    <w:p w14:paraId="50E9ECB7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where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Category == </w:t>
      </w:r>
      <w:r w:rsidRPr="001F4F56">
        <w:rPr>
          <w:rFonts w:ascii="Consolas" w:eastAsia="Times New Roman" w:hAnsi="Consolas" w:cs="Times New Roman"/>
          <w:color w:val="A31515"/>
          <w:sz w:val="21"/>
          <w:szCs w:val="21"/>
        </w:rPr>
        <w:t>'ExecRequests'</w:t>
      </w:r>
    </w:p>
    <w:p w14:paraId="392B0C49" w14:textId="77777777" w:rsidR="001F4F56" w:rsidRPr="001F4F56" w:rsidRDefault="001F4F56" w:rsidP="001F4F56">
      <w:pPr>
        <w:shd w:val="clear" w:color="auto" w:fill="FFFFFE"/>
        <w:spacing w:before="0" w:after="0" w:line="240" w:lineRule="atLeast"/>
        <w:ind w:left="2484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| </w:t>
      </w:r>
      <w:r w:rsidRPr="001F4F56">
        <w:rPr>
          <w:rFonts w:ascii="Consolas" w:eastAsia="Times New Roman" w:hAnsi="Consolas" w:cs="Times New Roman"/>
          <w:color w:val="778899"/>
          <w:sz w:val="21"/>
          <w:szCs w:val="21"/>
        </w:rPr>
        <w:t>limit</w:t>
      </w:r>
      <w:r w:rsidRPr="001F4F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4F56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</w:p>
    <w:p w14:paraId="2C3D51B1" w14:textId="3B3E1267" w:rsidR="00CE4EEF" w:rsidRDefault="00FF2ACF" w:rsidP="008D7716">
      <w:pPr>
        <w:pStyle w:val="ListParagraph"/>
        <w:numPr>
          <w:ilvl w:val="0"/>
          <w:numId w:val="21"/>
        </w:numPr>
        <w:rPr>
          <w:rFonts w:cs="Segoe UI"/>
        </w:rPr>
      </w:pPr>
      <w:r>
        <w:rPr>
          <w:rFonts w:cs="Segoe UI"/>
        </w:rPr>
        <w:t>This needs to be configured for every instance we will be investigating during our session</w:t>
      </w:r>
      <w:r w:rsidR="00E57FC2">
        <w:rPr>
          <w:rFonts w:cs="Segoe UI"/>
        </w:rPr>
        <w:t xml:space="preserve"> or every instance you want to configure monitoring for</w:t>
      </w:r>
      <w:r>
        <w:rPr>
          <w:rFonts w:cs="Segoe UI"/>
        </w:rPr>
        <w:t>. You can configure them all to go to the same Log analytics workspace. The ‘Resource’ column is how you will identify the different databases</w:t>
      </w:r>
      <w:r w:rsidR="00E57FC2">
        <w:rPr>
          <w:rFonts w:cs="Segoe UI"/>
        </w:rPr>
        <w:t xml:space="preserve"> when querying. </w:t>
      </w:r>
    </w:p>
    <w:p w14:paraId="056E4EC7" w14:textId="77777777" w:rsidR="00566932" w:rsidRDefault="00566932" w:rsidP="00566932">
      <w:pPr>
        <w:rPr>
          <w:rFonts w:cs="Segoe UI"/>
        </w:rPr>
      </w:pPr>
    </w:p>
    <w:p w14:paraId="74EB5B88" w14:textId="77777777" w:rsidR="00566932" w:rsidRDefault="00566932" w:rsidP="00566932">
      <w:pPr>
        <w:rPr>
          <w:rFonts w:cs="Segoe UI"/>
        </w:rPr>
      </w:pPr>
    </w:p>
    <w:p w14:paraId="42D4CA58" w14:textId="77777777" w:rsidR="00566932" w:rsidRDefault="00566932" w:rsidP="00566932">
      <w:pPr>
        <w:rPr>
          <w:rFonts w:cs="Segoe UI"/>
        </w:rPr>
      </w:pPr>
    </w:p>
    <w:p w14:paraId="5F66E59C" w14:textId="77777777" w:rsidR="00566932" w:rsidRPr="00566932" w:rsidRDefault="00566932" w:rsidP="00566932">
      <w:pPr>
        <w:rPr>
          <w:rFonts w:cs="Segoe UI"/>
        </w:rPr>
      </w:pPr>
    </w:p>
    <w:sectPr w:rsidR="00566932" w:rsidRPr="00566932" w:rsidSect="00B52A1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671CB351" w:rsidR="00401BA9" w:rsidRPr="00CC3F68" w:rsidRDefault="00970D88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Accredited Engineers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2" w15:restartNumberingAfterBreak="0">
    <w:nsid w:val="273F5BDA"/>
    <w:multiLevelType w:val="multilevel"/>
    <w:tmpl w:val="9228A626"/>
    <w:numStyleLink w:val="Checklist"/>
  </w:abstractNum>
  <w:abstractNum w:abstractNumId="13" w15:restartNumberingAfterBreak="0">
    <w:nsid w:val="337E3395"/>
    <w:multiLevelType w:val="hybridMultilevel"/>
    <w:tmpl w:val="538A4688"/>
    <w:lvl w:ilvl="0" w:tplc="FFFFFFF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15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17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20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1"/>
  </w:num>
  <w:num w:numId="4">
    <w:abstractNumId w:val="16"/>
  </w:num>
  <w:num w:numId="5">
    <w:abstractNumId w:val="20"/>
  </w:num>
  <w:num w:numId="6">
    <w:abstractNumId w:val="14"/>
  </w:num>
  <w:num w:numId="7">
    <w:abstractNumId w:val="12"/>
  </w:num>
  <w:num w:numId="8">
    <w:abstractNumId w:val="8"/>
  </w:num>
  <w:num w:numId="9">
    <w:abstractNumId w:val="1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8"/>
  </w:num>
  <w:num w:numId="20">
    <w:abstractNumId w:val="10"/>
  </w:num>
  <w:num w:numId="21">
    <w:abstractNumId w:val="15"/>
  </w:num>
  <w:num w:numId="22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636C"/>
    <w:rsid w:val="000564D9"/>
    <w:rsid w:val="00056982"/>
    <w:rsid w:val="00056C12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07FAE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C17"/>
    <w:rsid w:val="00205150"/>
    <w:rsid w:val="00205379"/>
    <w:rsid w:val="002057F9"/>
    <w:rsid w:val="002065CD"/>
    <w:rsid w:val="00206610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438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969"/>
    <w:rsid w:val="00766D90"/>
    <w:rsid w:val="00766EB8"/>
    <w:rsid w:val="007672C1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2A9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67F22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D7716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30A8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530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284A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Props1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7D598A9-AC5B-49BC-AE59-C7616FDA4C36}">
  <ds:schemaRefs/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88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Accredited Engineers Guide</vt:lpstr>
    </vt:vector>
  </TitlesOfParts>
  <Manager>[Type Manager Name Here]</Manager>
  <Company>Optimize Azure Synapse SQL Pools Accredited Engineers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Accredited Engineers Guide</dc:title>
  <dc:subject>Microsoft Services Assessments</dc:subject>
  <dc:creator>Engineer Name</dc:creator>
  <cp:keywords/>
  <dc:description/>
  <cp:lastModifiedBy>John Deardurff</cp:lastModifiedBy>
  <cp:revision>6</cp:revision>
  <cp:lastPrinted>2020-03-28T17:41:00Z</cp:lastPrinted>
  <dcterms:created xsi:type="dcterms:W3CDTF">2022-02-11T06:23:00Z</dcterms:created>
  <dcterms:modified xsi:type="dcterms:W3CDTF">2022-02-11T13:04:00Z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