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0458" w14:textId="497309A8" w:rsidR="000E736F" w:rsidRDefault="000E736F" w:rsidP="004544B4">
      <w:pPr>
        <w:pStyle w:val="1"/>
        <w:numPr>
          <w:ilvl w:val="0"/>
          <w:numId w:val="4"/>
        </w:numPr>
        <w:ind w:leftChars="0"/>
      </w:pPr>
      <w:r>
        <w:rPr>
          <w:rFonts w:hint="eastAsia"/>
        </w:rPr>
        <w:t>Requirement</w:t>
      </w:r>
    </w:p>
    <w:p w14:paraId="6B7C4911" w14:textId="49FA5599"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Flesch Kincaid Reading Ease, (3) Flesch 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14:paraId="5D464F17" w14:textId="02289F84" w:rsidR="000E736F" w:rsidRDefault="004544B4" w:rsidP="004544B4">
      <w:pPr>
        <w:ind w:left="420"/>
      </w:pPr>
      <w:r w:rsidRPr="008D17BA">
        <w:rPr>
          <w:rFonts w:hint="eastAsia"/>
          <w:b/>
        </w:rPr>
        <w:t>1.1</w:t>
      </w:r>
      <w:r w:rsidRPr="008D17BA">
        <w:rPr>
          <w:b/>
        </w:rPr>
        <w:t xml:space="preserve"> </w:t>
      </w:r>
      <w:r>
        <w:t>Measuring design testability of a UML class diagram</w:t>
      </w:r>
    </w:p>
    <w:p w14:paraId="13B64D9F" w14:textId="6C3AE9E6"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14:paraId="2B2C0A67" w14:textId="239F8D61"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14:paraId="3AFF7856" w14:textId="5A3D9225" w:rsidR="00215762" w:rsidRDefault="008034A6" w:rsidP="004544B4">
      <w:pPr>
        <w:ind w:left="420"/>
        <w:rPr>
          <w:rFonts w:hint="eastAsia"/>
        </w:rPr>
      </w:pPr>
      <w:r>
        <w:rPr>
          <w:rFonts w:hint="eastAsia"/>
        </w:rPr>
        <w:t>为了指导测试任务，</w:t>
      </w:r>
      <w:r w:rsidR="00305FF9">
        <w:rPr>
          <w:rFonts w:hint="eastAsia"/>
        </w:rPr>
        <w:t>并且类图具有</w:t>
      </w:r>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0" w:name="_GoBack"/>
      <w:bookmarkEnd w:id="0"/>
      <w:r w:rsidR="009D45B6">
        <w:rPr>
          <w:rFonts w:hint="eastAsia"/>
        </w:rPr>
        <w:t>可</w:t>
      </w:r>
      <w:r w:rsidR="008E4EE4" w:rsidRPr="008E4EE4">
        <w:t>作为检测和掌握广泛的隐式控制依赖关系的良好基础。</w:t>
      </w:r>
    </w:p>
    <w:p w14:paraId="51065FDC" w14:textId="77777777" w:rsidR="00301D15" w:rsidRPr="00D331D1" w:rsidRDefault="00301D15" w:rsidP="004544B4">
      <w:pPr>
        <w:ind w:left="420"/>
        <w:rPr>
          <w:rFonts w:hint="eastAsia"/>
        </w:rPr>
      </w:pPr>
    </w:p>
    <w:p w14:paraId="4F963400" w14:textId="5055BE83" w:rsidR="00F207B1" w:rsidRDefault="00F207B1" w:rsidP="004544B4">
      <w:pPr>
        <w:ind w:left="420"/>
      </w:pPr>
    </w:p>
    <w:p w14:paraId="10FE551B" w14:textId="196A5F9E"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14:paraId="55709134" w14:textId="6D35A3BF"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r>
        <w:t>Ri定义为逻辑表达式Li：&lt;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r>
        <w:t>Ri的可测试性是Ri的一个属性，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14:paraId="3DD7C655" w14:textId="77777777" w:rsidR="00DB68CE" w:rsidRDefault="00DB68CE" w:rsidP="00C84450">
      <w:pPr>
        <w:ind w:left="420"/>
        <w:rPr>
          <w:rFonts w:hint="eastAsia"/>
        </w:rPr>
      </w:pPr>
    </w:p>
    <w:p w14:paraId="3BB2C6F4" w14:textId="4E3B6F4D" w:rsidR="00591CC5" w:rsidRDefault="007D64D0" w:rsidP="007D64D0">
      <w:pPr>
        <w:pStyle w:val="a3"/>
        <w:numPr>
          <w:ilvl w:val="1"/>
          <w:numId w:val="4"/>
        </w:numPr>
        <w:ind w:leftChars="0" w:firstLineChars="0"/>
      </w:pPr>
      <w:r w:rsidRPr="007D64D0">
        <w:t>Sizing Software with Testable Requirements</w:t>
      </w:r>
    </w:p>
    <w:p w14:paraId="1BB6C8A0" w14:textId="19A11893"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14:paraId="54388190" w14:textId="77777777" w:rsidR="00BE1B08" w:rsidRDefault="00BE1B08" w:rsidP="007D64D0">
      <w:pPr>
        <w:ind w:leftChars="0" w:left="420"/>
      </w:pPr>
    </w:p>
    <w:p w14:paraId="5F286B81" w14:textId="6E34C4F7" w:rsidR="00500064" w:rsidRDefault="00500064" w:rsidP="007D64D0">
      <w:pPr>
        <w:ind w:leftChars="0" w:left="420"/>
      </w:pPr>
      <w:r w:rsidRPr="00500064">
        <w:rPr>
          <w:rFonts w:hint="eastAsia"/>
          <w:b/>
        </w:rPr>
        <w:t>1.4</w:t>
      </w:r>
      <w:r>
        <w:t xml:space="preserve"> </w:t>
      </w:r>
      <w:r w:rsidRPr="00500064">
        <w:t>Testable Requirements for Offshore Outsourcing</w:t>
      </w:r>
    </w:p>
    <w:p w14:paraId="79752E7D" w14:textId="70FC345F"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14:paraId="16720525" w14:textId="2F3C0DD2" w:rsidR="00534933" w:rsidRDefault="00534933" w:rsidP="007D64D0">
      <w:pPr>
        <w:ind w:leftChars="0" w:left="420"/>
      </w:pPr>
    </w:p>
    <w:p w14:paraId="2DEAFFAA" w14:textId="2A156EA0" w:rsidR="00534933" w:rsidRDefault="00A80C26" w:rsidP="003630F5">
      <w:pPr>
        <w:pStyle w:val="a3"/>
        <w:numPr>
          <w:ilvl w:val="1"/>
          <w:numId w:val="5"/>
        </w:numPr>
        <w:ind w:leftChars="0" w:firstLineChars="0"/>
      </w:pPr>
      <w:r>
        <w:t>Testable Use Cases in the Abstract State Machine Language</w:t>
      </w:r>
    </w:p>
    <w:p w14:paraId="416F6922" w14:textId="1CDBB429"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14:paraId="339B58B2" w14:textId="69A6694C" w:rsidR="002C5668" w:rsidRDefault="002C5668" w:rsidP="00471ED2">
      <w:pPr>
        <w:ind w:leftChars="0" w:left="425"/>
      </w:pPr>
    </w:p>
    <w:p w14:paraId="30227123" w14:textId="2D14F317" w:rsidR="002C5668" w:rsidRDefault="002C5668" w:rsidP="00AF53D3">
      <w:pPr>
        <w:pStyle w:val="a3"/>
        <w:numPr>
          <w:ilvl w:val="1"/>
          <w:numId w:val="5"/>
        </w:numPr>
        <w:ind w:leftChars="0" w:firstLineChars="0"/>
      </w:pPr>
      <w:r>
        <w:t>Using the Testability Analysis Methodology for the Validation of AIRBUS Systems</w:t>
      </w:r>
    </w:p>
    <w:p w14:paraId="774F0237" w14:textId="4EAFEEA5" w:rsidR="00AF53D3" w:rsidRDefault="005A2612" w:rsidP="00AF53D3">
      <w:pPr>
        <w:ind w:leftChars="0" w:left="420"/>
      </w:pPr>
      <w:r w:rsidRPr="005A2612">
        <w:rPr>
          <w:rFonts w:hint="eastAsia"/>
        </w:rPr>
        <w:lastRenderedPageBreak/>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14:paraId="75215D82" w14:textId="77777777" w:rsidR="00534933" w:rsidRDefault="00534933" w:rsidP="007D64D0">
      <w:pPr>
        <w:ind w:leftChars="0" w:left="420"/>
      </w:pPr>
    </w:p>
    <w:p w14:paraId="1E5F4F54" w14:textId="44A78C45" w:rsidR="000E736F" w:rsidRDefault="000E736F" w:rsidP="003022D1">
      <w:pPr>
        <w:pStyle w:val="1"/>
        <w:numPr>
          <w:ilvl w:val="0"/>
          <w:numId w:val="4"/>
        </w:numPr>
        <w:ind w:leftChars="0"/>
      </w:pPr>
      <w:r>
        <w:rPr>
          <w:rFonts w:hint="eastAsia"/>
        </w:rPr>
        <w:t>Design</w:t>
      </w:r>
    </w:p>
    <w:p w14:paraId="79E345F3" w14:textId="7EB4C1AF"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14:paraId="5E692DC2" w14:textId="12838FDA"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14:paraId="531B23FF" w14:textId="06FF843B"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14:paraId="138079BE" w14:textId="24EAE1D4" w:rsidR="00C024E4" w:rsidRDefault="00C024E4" w:rsidP="004544B4">
      <w:pPr>
        <w:ind w:left="420"/>
        <w:rPr>
          <w:b/>
        </w:rPr>
      </w:pPr>
    </w:p>
    <w:p w14:paraId="61E63CE8" w14:textId="66BC7FD0"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14:paraId="70183D9E" w14:textId="1DBFE371"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w:t>
      </w:r>
      <w:proofErr w:type="gramEnd"/>
      <w:r w:rsidRPr="00475BC4">
        <w:rPr>
          <w:rFonts w:hint="eastAsia"/>
        </w:rPr>
        <w:t>式定义为“已知使测试变得困难和</w:t>
      </w:r>
      <w:r w:rsidRPr="00475BC4">
        <w:t>/或增加要执行的测试用例数量的设计方法”。</w:t>
      </w:r>
    </w:p>
    <w:p w14:paraId="65853A7E" w14:textId="4321E8D0" w:rsidR="005274E1" w:rsidRDefault="005274E1" w:rsidP="004544B4">
      <w:pPr>
        <w:ind w:left="420"/>
      </w:pPr>
    </w:p>
    <w:p w14:paraId="06ED42C4" w14:textId="19E5D875"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14:paraId="46643E2F" w14:textId="5BD7ACC3"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14:paraId="51D99691" w14:textId="77777777" w:rsidR="00FF5DF4" w:rsidRDefault="00FF5DF4" w:rsidP="004544B4">
      <w:pPr>
        <w:ind w:left="420"/>
        <w:rPr>
          <w:b/>
        </w:rPr>
      </w:pPr>
    </w:p>
    <w:p w14:paraId="13303DEE" w14:textId="41998015"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14:paraId="46B686FA" w14:textId="79D28BB0"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14:paraId="1D45DB8C" w14:textId="1C044009" w:rsidR="00CB3D54" w:rsidRDefault="00CB3D54" w:rsidP="004544B4">
      <w:pPr>
        <w:ind w:left="420"/>
      </w:pPr>
    </w:p>
    <w:p w14:paraId="6A195942" w14:textId="3B35F830" w:rsidR="00CB3D54" w:rsidRDefault="00CB3D54" w:rsidP="004544B4">
      <w:pPr>
        <w:ind w:left="420"/>
      </w:pPr>
      <w:r w:rsidRPr="006118E5">
        <w:rPr>
          <w:rFonts w:hint="eastAsia"/>
          <w:b/>
        </w:rPr>
        <w:t>2.5</w:t>
      </w:r>
      <w:r w:rsidRPr="006118E5">
        <w:rPr>
          <w:b/>
        </w:rPr>
        <w:t xml:space="preserve"> </w:t>
      </w:r>
      <w:r w:rsidR="002C502A" w:rsidRPr="002C502A">
        <w:t>Design for Testability</w:t>
      </w:r>
    </w:p>
    <w:p w14:paraId="746B10B0" w14:textId="10FE86CE"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14:paraId="0F8637C6" w14:textId="2B165D7B" w:rsidR="004018FE" w:rsidRDefault="004018FE" w:rsidP="004544B4">
      <w:pPr>
        <w:ind w:left="420"/>
      </w:pPr>
    </w:p>
    <w:p w14:paraId="140CF427" w14:textId="5F04EC89" w:rsidR="004018FE" w:rsidRDefault="004018FE" w:rsidP="004544B4">
      <w:pPr>
        <w:ind w:left="420"/>
      </w:pPr>
      <w:r w:rsidRPr="00F85354">
        <w:rPr>
          <w:rFonts w:hint="eastAsia"/>
          <w:b/>
        </w:rPr>
        <w:t>2</w:t>
      </w:r>
      <w:r w:rsidRPr="00F85354">
        <w:rPr>
          <w:b/>
        </w:rPr>
        <w:t>.6</w:t>
      </w:r>
      <w:r>
        <w:t xml:space="preserve"> </w:t>
      </w:r>
      <w:r w:rsidR="00B64C11">
        <w:t>Design for Testability in Object-Oriented Systems</w:t>
      </w:r>
    </w:p>
    <w:p w14:paraId="2A2E61C9" w14:textId="07C476F9" w:rsidR="004018FE" w:rsidRDefault="004018FE" w:rsidP="004544B4">
      <w:pPr>
        <w:ind w:left="420"/>
      </w:pPr>
      <w:r w:rsidRPr="004018FE">
        <w:rPr>
          <w:rFonts w:hint="eastAsia"/>
        </w:rPr>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14:paraId="1714D652" w14:textId="156ED38B" w:rsidR="00A309D6" w:rsidRDefault="00A309D6" w:rsidP="004544B4">
      <w:pPr>
        <w:ind w:left="420"/>
      </w:pPr>
    </w:p>
    <w:p w14:paraId="57B64779" w14:textId="103600C6"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14:paraId="3BEFAAD5" w14:textId="047AFE43" w:rsidR="00A309D6" w:rsidRPr="00A83D39" w:rsidRDefault="00A309D6" w:rsidP="004544B4">
      <w:pPr>
        <w:ind w:left="420"/>
      </w:pPr>
      <w:r w:rsidRPr="00A309D6">
        <w:rPr>
          <w:rFonts w:hint="eastAsia"/>
        </w:rPr>
        <w:lastRenderedPageBreak/>
        <w:t>它专注于构建可测试的软件组件，并引入了可测试（</w:t>
      </w:r>
      <w:r w:rsidRPr="00A309D6">
        <w:t>Java）“bean”的概念，并提出了一种基于可测试体系结构和良好定义的内置接口构建可测试bean的方法。</w:t>
      </w:r>
    </w:p>
    <w:p w14:paraId="486178EE" w14:textId="6ABD033D" w:rsidR="000E736F" w:rsidRDefault="000E736F" w:rsidP="003022D1">
      <w:pPr>
        <w:pStyle w:val="1"/>
        <w:numPr>
          <w:ilvl w:val="0"/>
          <w:numId w:val="4"/>
        </w:numPr>
        <w:ind w:leftChars="0"/>
      </w:pPr>
      <w:r>
        <w:rPr>
          <w:rFonts w:hint="eastAsia"/>
        </w:rPr>
        <w:t>Measurement</w:t>
      </w:r>
    </w:p>
    <w:p w14:paraId="0269AEF9" w14:textId="77777777" w:rsidR="000E736F" w:rsidRDefault="000E736F" w:rsidP="004544B4">
      <w:pPr>
        <w:ind w:left="420"/>
      </w:pPr>
    </w:p>
    <w:p w14:paraId="4FAEDD39" w14:textId="27F9CE7D" w:rsidR="000E736F" w:rsidRDefault="000E736F" w:rsidP="003022D1">
      <w:pPr>
        <w:pStyle w:val="1"/>
        <w:numPr>
          <w:ilvl w:val="0"/>
          <w:numId w:val="4"/>
        </w:numPr>
        <w:ind w:leftChars="0"/>
      </w:pPr>
      <w:r>
        <w:rPr>
          <w:rFonts w:hint="eastAsia"/>
        </w:rPr>
        <w:t>Improving</w:t>
      </w:r>
    </w:p>
    <w:p w14:paraId="24FAE98C" w14:textId="77777777" w:rsidR="000E736F" w:rsidRDefault="000E736F" w:rsidP="004544B4">
      <w:pPr>
        <w:ind w:left="420"/>
      </w:pPr>
    </w:p>
    <w:p w14:paraId="357357C5" w14:textId="735B648B" w:rsidR="000E736F" w:rsidRDefault="000E736F" w:rsidP="003022D1">
      <w:pPr>
        <w:pStyle w:val="1"/>
        <w:numPr>
          <w:ilvl w:val="0"/>
          <w:numId w:val="4"/>
        </w:numPr>
        <w:ind w:leftChars="0"/>
      </w:pPr>
      <w:r>
        <w:rPr>
          <w:rFonts w:hint="eastAsia"/>
        </w:rPr>
        <w:t>Other</w:t>
      </w:r>
    </w:p>
    <w:p w14:paraId="76CFDA69" w14:textId="77777777" w:rsidR="00C46199" w:rsidRDefault="00C46199" w:rsidP="00C46199">
      <w:pPr>
        <w:pStyle w:val="1"/>
        <w:ind w:leftChars="0" w:left="0"/>
        <w:rPr>
          <w:rFonts w:asciiTheme="minorHAnsi" w:eastAsiaTheme="minorEastAsia" w:hAnsiTheme="minorHAnsi" w:cstheme="minorBidi"/>
          <w:b w:val="0"/>
          <w:bCs w:val="0"/>
          <w:kern w:val="2"/>
          <w:sz w:val="21"/>
          <w:szCs w:val="22"/>
        </w:rPr>
      </w:pPr>
    </w:p>
    <w:p w14:paraId="142D1D76" w14:textId="49C2108C" w:rsidR="00C46199" w:rsidRDefault="00C46199" w:rsidP="00C46199">
      <w:pPr>
        <w:pStyle w:val="1"/>
        <w:ind w:leftChars="0" w:left="0"/>
      </w:pPr>
      <w:r>
        <w:rPr>
          <w:rFonts w:hint="eastAsia"/>
        </w:rPr>
        <w:t>R</w:t>
      </w:r>
      <w:r>
        <w:t>eferences</w:t>
      </w:r>
    </w:p>
    <w:p w14:paraId="430BA741" w14:textId="77777777" w:rsidR="00C46199" w:rsidRDefault="00C46199" w:rsidP="003051EE">
      <w:pPr>
        <w:ind w:leftChars="0" w:left="0"/>
      </w:pPr>
      <w:r w:rsidRPr="00B20D97">
        <w:rPr>
          <w:b/>
        </w:rPr>
        <w:t>[1]</w:t>
      </w:r>
      <w:r>
        <w:t xml:space="preserve"> IEEE, IEEE Recommended Practice for Software Requirements Specifications 830-1998, Accessed: 25 November 2017. Last </w:t>
      </w:r>
      <w:proofErr w:type="spellStart"/>
      <w:r>
        <w:t>Last</w:t>
      </w:r>
      <w:proofErr w:type="spellEnd"/>
      <w:r>
        <w:t xml:space="preserve"> </w:t>
      </w:r>
      <w:hyperlink r:id="rId5" w:history="1">
        <w:r w:rsidRPr="00390681">
          <w:rPr>
            <w:rStyle w:val="a4"/>
          </w:rPr>
          <w:t>http://standards.ieee.org/findstds/standard/830-1998.html</w:t>
        </w:r>
      </w:hyperlink>
      <w:r>
        <w:t>.</w:t>
      </w:r>
    </w:p>
    <w:p w14:paraId="311C5137" w14:textId="77777777" w:rsidR="00C46199" w:rsidRPr="00591CC5" w:rsidRDefault="00C46199" w:rsidP="003051EE">
      <w:pPr>
        <w:ind w:leftChars="0" w:left="0"/>
      </w:pPr>
      <w:r w:rsidRPr="00B20D97">
        <w:rPr>
          <w:b/>
        </w:rPr>
        <w:t>[</w:t>
      </w:r>
      <w:r w:rsidRPr="00B20D97">
        <w:rPr>
          <w:rFonts w:hint="eastAsia"/>
          <w:b/>
        </w:rPr>
        <w:t>2</w:t>
      </w:r>
      <w:r w:rsidRPr="00B20D97">
        <w:rPr>
          <w:b/>
        </w:rPr>
        <w:t>]</w:t>
      </w:r>
      <w:r>
        <w:t xml:space="preserve"> K. Kirk, Writing for Readability, American Society for Training and Development, 2010.</w:t>
      </w:r>
    </w:p>
    <w:p w14:paraId="2E7B161A" w14:textId="77777777" w:rsidR="00C46199" w:rsidRPr="00C46199" w:rsidRDefault="00C46199" w:rsidP="00C46199">
      <w:pPr>
        <w:pStyle w:val="1"/>
        <w:ind w:leftChars="0" w:left="720"/>
      </w:pPr>
    </w:p>
    <w:sectPr w:rsidR="00C46199" w:rsidRPr="00C46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8E"/>
    <w:rsid w:val="00033CD2"/>
    <w:rsid w:val="0008297C"/>
    <w:rsid w:val="000832A3"/>
    <w:rsid w:val="000A466F"/>
    <w:rsid w:val="000D60C6"/>
    <w:rsid w:val="000E4580"/>
    <w:rsid w:val="000E736F"/>
    <w:rsid w:val="00103B32"/>
    <w:rsid w:val="001066D9"/>
    <w:rsid w:val="0012703A"/>
    <w:rsid w:val="001434C7"/>
    <w:rsid w:val="001479B7"/>
    <w:rsid w:val="001760DE"/>
    <w:rsid w:val="00183491"/>
    <w:rsid w:val="00191A55"/>
    <w:rsid w:val="00194660"/>
    <w:rsid w:val="00194982"/>
    <w:rsid w:val="001A64F6"/>
    <w:rsid w:val="001B3F5B"/>
    <w:rsid w:val="001D2242"/>
    <w:rsid w:val="001E6AC6"/>
    <w:rsid w:val="00202365"/>
    <w:rsid w:val="00215762"/>
    <w:rsid w:val="00234FBF"/>
    <w:rsid w:val="00263B6D"/>
    <w:rsid w:val="00271BDC"/>
    <w:rsid w:val="002765C0"/>
    <w:rsid w:val="00287B19"/>
    <w:rsid w:val="002C502A"/>
    <w:rsid w:val="002C5668"/>
    <w:rsid w:val="002E768E"/>
    <w:rsid w:val="002F16A0"/>
    <w:rsid w:val="002F54E5"/>
    <w:rsid w:val="00301D15"/>
    <w:rsid w:val="003022D1"/>
    <w:rsid w:val="00305195"/>
    <w:rsid w:val="003051EE"/>
    <w:rsid w:val="00305FF9"/>
    <w:rsid w:val="003225EC"/>
    <w:rsid w:val="00337720"/>
    <w:rsid w:val="00351390"/>
    <w:rsid w:val="003630F5"/>
    <w:rsid w:val="00372971"/>
    <w:rsid w:val="00387839"/>
    <w:rsid w:val="003A2E18"/>
    <w:rsid w:val="003B42BD"/>
    <w:rsid w:val="003E60D7"/>
    <w:rsid w:val="003F1B63"/>
    <w:rsid w:val="004018FE"/>
    <w:rsid w:val="00405236"/>
    <w:rsid w:val="0041577B"/>
    <w:rsid w:val="004311FA"/>
    <w:rsid w:val="004352D3"/>
    <w:rsid w:val="00444D3E"/>
    <w:rsid w:val="004544B4"/>
    <w:rsid w:val="00471ED2"/>
    <w:rsid w:val="00475BC4"/>
    <w:rsid w:val="004C66FA"/>
    <w:rsid w:val="004E34C2"/>
    <w:rsid w:val="00500064"/>
    <w:rsid w:val="00501524"/>
    <w:rsid w:val="00526BC3"/>
    <w:rsid w:val="005274E1"/>
    <w:rsid w:val="00534933"/>
    <w:rsid w:val="00566EAC"/>
    <w:rsid w:val="00583E90"/>
    <w:rsid w:val="00586FFD"/>
    <w:rsid w:val="00590725"/>
    <w:rsid w:val="00591CC5"/>
    <w:rsid w:val="0059502B"/>
    <w:rsid w:val="005A1B79"/>
    <w:rsid w:val="005A2612"/>
    <w:rsid w:val="005B522B"/>
    <w:rsid w:val="005C06F3"/>
    <w:rsid w:val="005E75B0"/>
    <w:rsid w:val="00607861"/>
    <w:rsid w:val="006118E5"/>
    <w:rsid w:val="00622058"/>
    <w:rsid w:val="006262F4"/>
    <w:rsid w:val="00626B77"/>
    <w:rsid w:val="00642802"/>
    <w:rsid w:val="006439F2"/>
    <w:rsid w:val="00667DE2"/>
    <w:rsid w:val="006835CC"/>
    <w:rsid w:val="006B3BB2"/>
    <w:rsid w:val="006B7B2F"/>
    <w:rsid w:val="006E6763"/>
    <w:rsid w:val="006F0F41"/>
    <w:rsid w:val="00706A23"/>
    <w:rsid w:val="00711A19"/>
    <w:rsid w:val="00714D49"/>
    <w:rsid w:val="00715FF5"/>
    <w:rsid w:val="007413D6"/>
    <w:rsid w:val="00775E6B"/>
    <w:rsid w:val="00780BAE"/>
    <w:rsid w:val="00784018"/>
    <w:rsid w:val="007B0651"/>
    <w:rsid w:val="007D094C"/>
    <w:rsid w:val="007D62F1"/>
    <w:rsid w:val="007D64D0"/>
    <w:rsid w:val="007E7446"/>
    <w:rsid w:val="007F2298"/>
    <w:rsid w:val="007F274A"/>
    <w:rsid w:val="008034A6"/>
    <w:rsid w:val="00803896"/>
    <w:rsid w:val="00822363"/>
    <w:rsid w:val="00831015"/>
    <w:rsid w:val="0084625A"/>
    <w:rsid w:val="008514BB"/>
    <w:rsid w:val="00862036"/>
    <w:rsid w:val="00876937"/>
    <w:rsid w:val="008B69CF"/>
    <w:rsid w:val="008B7E5F"/>
    <w:rsid w:val="008C4CBE"/>
    <w:rsid w:val="008D17BA"/>
    <w:rsid w:val="008D7057"/>
    <w:rsid w:val="008E0F80"/>
    <w:rsid w:val="008E2A8A"/>
    <w:rsid w:val="008E4EE4"/>
    <w:rsid w:val="00920A6B"/>
    <w:rsid w:val="00944304"/>
    <w:rsid w:val="00960F0E"/>
    <w:rsid w:val="00982804"/>
    <w:rsid w:val="00990526"/>
    <w:rsid w:val="009A1C66"/>
    <w:rsid w:val="009B105E"/>
    <w:rsid w:val="009D45B6"/>
    <w:rsid w:val="009F22F9"/>
    <w:rsid w:val="00A17FFA"/>
    <w:rsid w:val="00A309D6"/>
    <w:rsid w:val="00A47C85"/>
    <w:rsid w:val="00A505EE"/>
    <w:rsid w:val="00A76987"/>
    <w:rsid w:val="00A80C26"/>
    <w:rsid w:val="00A81CF6"/>
    <w:rsid w:val="00A836FC"/>
    <w:rsid w:val="00A83D39"/>
    <w:rsid w:val="00AA13D7"/>
    <w:rsid w:val="00AA5CE4"/>
    <w:rsid w:val="00AB0505"/>
    <w:rsid w:val="00AB4FB2"/>
    <w:rsid w:val="00AD1CDF"/>
    <w:rsid w:val="00AE4746"/>
    <w:rsid w:val="00AF0BDE"/>
    <w:rsid w:val="00AF53D3"/>
    <w:rsid w:val="00B0227A"/>
    <w:rsid w:val="00B05A71"/>
    <w:rsid w:val="00B0632E"/>
    <w:rsid w:val="00B20D97"/>
    <w:rsid w:val="00B260C6"/>
    <w:rsid w:val="00B41C5F"/>
    <w:rsid w:val="00B46820"/>
    <w:rsid w:val="00B475A4"/>
    <w:rsid w:val="00B57410"/>
    <w:rsid w:val="00B64C11"/>
    <w:rsid w:val="00B872D2"/>
    <w:rsid w:val="00B87882"/>
    <w:rsid w:val="00BD5A5B"/>
    <w:rsid w:val="00BE1B08"/>
    <w:rsid w:val="00BF0B96"/>
    <w:rsid w:val="00C024E4"/>
    <w:rsid w:val="00C07FA4"/>
    <w:rsid w:val="00C17536"/>
    <w:rsid w:val="00C31078"/>
    <w:rsid w:val="00C31E6A"/>
    <w:rsid w:val="00C46199"/>
    <w:rsid w:val="00C55A0A"/>
    <w:rsid w:val="00C62FD3"/>
    <w:rsid w:val="00C77ED6"/>
    <w:rsid w:val="00C84450"/>
    <w:rsid w:val="00CB3D54"/>
    <w:rsid w:val="00CC0995"/>
    <w:rsid w:val="00CD13E2"/>
    <w:rsid w:val="00CE11E0"/>
    <w:rsid w:val="00CE1722"/>
    <w:rsid w:val="00CE2F2C"/>
    <w:rsid w:val="00D1097D"/>
    <w:rsid w:val="00D13CF4"/>
    <w:rsid w:val="00D20EC7"/>
    <w:rsid w:val="00D2335F"/>
    <w:rsid w:val="00D23841"/>
    <w:rsid w:val="00D30664"/>
    <w:rsid w:val="00D331D1"/>
    <w:rsid w:val="00DB68CE"/>
    <w:rsid w:val="00DC05CC"/>
    <w:rsid w:val="00DC55AA"/>
    <w:rsid w:val="00DE07EE"/>
    <w:rsid w:val="00DE0915"/>
    <w:rsid w:val="00DF101F"/>
    <w:rsid w:val="00E44715"/>
    <w:rsid w:val="00E44B2A"/>
    <w:rsid w:val="00E50C88"/>
    <w:rsid w:val="00E5430F"/>
    <w:rsid w:val="00E61067"/>
    <w:rsid w:val="00E617E2"/>
    <w:rsid w:val="00E703D6"/>
    <w:rsid w:val="00E87E07"/>
    <w:rsid w:val="00EE07BF"/>
    <w:rsid w:val="00EF5367"/>
    <w:rsid w:val="00F04A63"/>
    <w:rsid w:val="00F12E86"/>
    <w:rsid w:val="00F20154"/>
    <w:rsid w:val="00F207B1"/>
    <w:rsid w:val="00F235C8"/>
    <w:rsid w:val="00F23FD1"/>
    <w:rsid w:val="00F348DD"/>
    <w:rsid w:val="00F5057F"/>
    <w:rsid w:val="00F557C0"/>
    <w:rsid w:val="00F74E24"/>
    <w:rsid w:val="00F82D9C"/>
    <w:rsid w:val="00F8350B"/>
    <w:rsid w:val="00F85354"/>
    <w:rsid w:val="00F87B48"/>
    <w:rsid w:val="00FB5237"/>
    <w:rsid w:val="00FD2CB8"/>
    <w:rsid w:val="00FF5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3F57"/>
  <w15:chartTrackingRefBased/>
  <w15:docId w15:val="{3D4072CF-252B-4B53-9617-DE9382CB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4B4"/>
    <w:pPr>
      <w:widowControl w:val="0"/>
      <w:ind w:leftChars="200" w:left="200"/>
      <w:jc w:val="both"/>
    </w:pPr>
  </w:style>
  <w:style w:type="paragraph" w:styleId="1">
    <w:name w:val="heading 1"/>
    <w:basedOn w:val="a"/>
    <w:link w:val="10"/>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0">
    <w:name w:val="标题 2 字符"/>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styleId="a5">
    <w:name w:val="Unresolved Mention"/>
    <w:basedOn w:val="a0"/>
    <w:uiPriority w:val="99"/>
    <w:semiHidden/>
    <w:unhideWhenUsed/>
    <w:rsid w:val="00501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ndards.ieee.org/findstds/standard/830-199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sqslab</cp:lastModifiedBy>
  <cp:revision>321</cp:revision>
  <dcterms:created xsi:type="dcterms:W3CDTF">2019-06-28T07:58:00Z</dcterms:created>
  <dcterms:modified xsi:type="dcterms:W3CDTF">2019-07-02T03:19:00Z</dcterms:modified>
</cp:coreProperties>
</file>