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–  SCENARIO BASED ASSESSMENT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CO2 – Manipulation (BL1, BL2, BL3)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2 – Scenario Based Assessment</w:t>
            </w:r>
          </w:p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CO2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Apply Brute Force technique to solve sorting, searching, Closest-Pair and Convex-Hull problems (BL1, BL2, BL3)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• Answer BOTH scenario-based questions. Each question carries 50 Marks. Total: 100 Marks.</w:t>
              <w:br w:type="textWrapping"/>
              <w:t xml:space="preserve">• Carefully analyze the given scenario and identify the computational problem involved.</w:t>
              <w:br w:type="textWrapping"/>
              <w:t xml:space="preserve">• Apply appropriate Brute Force techniques for sorting, searching, Closest-Pair, and Convex-Hull problems wherever applicable.</w:t>
              <w:br w:type="textWrapping"/>
              <w:t xml:space="preserve">• Clearly justify the chosen solution approach with proper reasoning and analytical interpretation.</w:t>
              <w:br w:type="textWrapping"/>
              <w:t xml:space="preserve">• Demonstrate decision-making skills by comparing possible solutions and selecting the most suitable approach.</w:t>
              <w:br w:type="textWrapping"/>
              <w:t xml:space="preserve">• Use diagrams, stepwise illustrations, or algorithmic representations wherever necessary.</w:t>
              <w:br w:type="textWrapping"/>
              <w:t xml:space="preserve">• Maintain clarity, logical organization, and proper technical presentation throughout the answers.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395"/>
        <w:gridCol w:w="1255"/>
        <w:gridCol w:w="1600"/>
        <w:tblGridChange w:id="0">
          <w:tblGrid>
            <w:gridCol w:w="2830"/>
            <w:gridCol w:w="4395"/>
            <w:gridCol w:w="1255"/>
            <w:gridCol w:w="160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9"/>
                <w:szCs w:val="19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Scenario Based Assessment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ee000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real-world scenarios and apply Brute Force techniques for sorting, searching, Closest-Pair, and Convex-Hull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Q1 - 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(2 × 50)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SCENARIO BASED ASSESSMENT </w:t>
      </w:r>
    </w:p>
    <w:p w:rsidR="00000000" w:rsidDel="00000000" w:rsidP="00000000" w:rsidRDefault="00000000" w:rsidRPr="00000000" w14:paraId="0000002F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color w:val="000000"/>
        </w:rPr>
      </w:pPr>
      <w:bookmarkStart w:colFirst="0" w:colLast="0" w:name="_heading=h.ch65c98w85d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6"/>
        <w:gridCol w:w="709"/>
        <w:gridCol w:w="2295"/>
        <w:gridCol w:w="1800"/>
        <w:gridCol w:w="1717"/>
        <w:gridCol w:w="1863"/>
        <w:tblGridChange w:id="0">
          <w:tblGrid>
            <w:gridCol w:w="1696"/>
            <w:gridCol w:w="709"/>
            <w:gridCol w:w="2295"/>
            <w:gridCol w:w="1800"/>
            <w:gridCol w:w="1717"/>
            <w:gridCol w:w="18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2 – Developing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1 – Beginning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Problem Understanding &amp; Context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Thoroughly understands the scenario with accurate interpretation of all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Clearly understands the scenario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Basic understanding; some aspects of the scenario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Poor understanding or misinterpretation of the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Applies appropriate concepts effectively to solve complex real-world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Applies relevant concepts correctly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Applies basic concepts but with limited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Fails to apply appropriate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Analytical &amp; Decision-Making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Demonstrates strong analysis and selects optimal solutions with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Good analysis with reasonable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analysis; solutions lack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Poor or no analysis; incorrect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Solution Design &amp;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Well-structured, innovative, and feasible solution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Logical and structured solution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Basic solution with limited structure or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Unclear or incorrect solution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Clarity, Justification &amp;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Clear, well-justified explanation with strong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explanation with some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clarity and weak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Poorly explained with no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W w:w="10198.000000000002" w:type="dxa"/>
        <w:jc w:val="left"/>
        <w:tblInd w:w="-5.0" w:type="dxa"/>
        <w:tblLayout w:type="fixed"/>
        <w:tblLook w:val="0400"/>
      </w:tblPr>
      <w:tblGrid>
        <w:gridCol w:w="1134"/>
        <w:gridCol w:w="1902"/>
        <w:gridCol w:w="1410"/>
        <w:gridCol w:w="1566"/>
        <w:gridCol w:w="1202"/>
        <w:gridCol w:w="1717"/>
        <w:gridCol w:w="1267"/>
        <w:tblGridChange w:id="0">
          <w:tblGrid>
            <w:gridCol w:w="1134"/>
            <w:gridCol w:w="1902"/>
            <w:gridCol w:w="1410"/>
            <w:gridCol w:w="1566"/>
            <w:gridCol w:w="1202"/>
            <w:gridCol w:w="1717"/>
            <w:gridCol w:w="1267"/>
          </w:tblGrid>
        </w:tblGridChange>
      </w:tblGrid>
      <w:tr>
        <w:trPr>
          <w:cantSplit w:val="0"/>
          <w:trHeight w:val="1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Understanding &amp; Context Analysis 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of Concepts (30%)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&amp; Decision-Making Skills (20%)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Design &amp; Approach (15%)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Clarity, Justification &amp; Presentation (10%)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 (Each –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Q1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2060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Q2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2060"/>
                <w:sz w:val="22"/>
                <w:szCs w:val="22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86</w:t>
            </w:r>
          </w:p>
        </w:tc>
      </w:tr>
    </w:tbl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00800" cy="361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7mfKTenK1V19QycdQ1PYUHqcBQ==">CgMxLjAyDmguY2g2NWM5OHc4NWR2OAByITFCVHFOYnlTUDNXZGY5QUlrdzlzNTVDQWdvSWlaM3lwMg==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