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C01_AT2 — DATA INTERPRETATION EXERCISE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6A5B8B6" w:rsidR="00804D6A" w:rsidRDefault="00ED3B0E" w:rsidP="008F62AF">
            <w:r>
              <w:rPr>
                <w:sz w:val="18"/>
                <w:szCs w:val="18"/>
              </w:rPr>
              <w:t>CO1 –</w:t>
            </w:r>
            <w:r w:rsidR="008F62AF">
              <w:rPr>
                <w:sz w:val="18"/>
                <w:szCs w:val="18"/>
              </w:rPr>
              <w:t>Apply</w:t>
            </w:r>
            <w:r>
              <w:rPr>
                <w:sz w:val="18"/>
                <w:szCs w:val="18"/>
              </w:rPr>
              <w:t xml:space="preserve"> (BL</w:t>
            </w:r>
            <w:r w:rsidR="008F62A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 xml:space="preserve">Assessment Tool </w:t>
            </w:r>
            <w:r w:rsidR="00676CED"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 xml:space="preserve"> – </w:t>
            </w:r>
            <w:r w:rsidR="00676CED">
              <w:rPr>
                <w:sz w:val="18"/>
                <w:szCs w:val="18"/>
              </w:rPr>
              <w:t>Data Interpretation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67B8EFEE" w:rsidR="00804D6A" w:rsidRDefault="008F62AF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 Questions × 2</w:t>
            </w:r>
            <w:r w:rsidR="00127DDD">
              <w:rPr>
                <w:sz w:val="18"/>
                <w:szCs w:val="18"/>
              </w:rPr>
              <w:t xml:space="preserve">0 </w:t>
            </w:r>
            <w:r w:rsidR="00ED3B0E">
              <w:rPr>
                <w:sz w:val="18"/>
                <w:szCs w:val="18"/>
              </w:rPr>
              <w:t>Mark</w:t>
            </w:r>
            <w:r w:rsidR="00127DDD">
              <w:rPr>
                <w:sz w:val="18"/>
                <w:szCs w:val="18"/>
              </w:rPr>
              <w:t>s</w:t>
            </w:r>
            <w:r w:rsidR="00ED3B0E">
              <w:rPr>
                <w:sz w:val="18"/>
                <w:szCs w:val="18"/>
              </w:rPr>
              <w:t>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Understand the fundamental concepts, principles, and techniques of data visualization.(BL2)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77777777" w:rsidR="00804D6A" w:rsidRDefault="00804D6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77777777" w:rsidR="00804D6A" w:rsidRDefault="00804D6A"/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77777777" w:rsidR="00804D6A" w:rsidRDefault="00804D6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77777777" w:rsidR="00804D6A" w:rsidRDefault="00804D6A"/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25A760AD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6742B3">
              <w:rPr>
                <w:i/>
                <w:iCs/>
                <w:sz w:val="18"/>
                <w:szCs w:val="18"/>
              </w:rPr>
              <w:t>192424393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499906DA" w:rsidR="00804D6A" w:rsidRDefault="00ED3B0E">
            <w:r>
              <w:rPr>
                <w:sz w:val="18"/>
                <w:szCs w:val="18"/>
              </w:rPr>
              <w:t xml:space="preserve">Signature of the Student: </w:t>
            </w:r>
            <w:r w:rsidR="006742B3">
              <w:rPr>
                <w:sz w:val="18"/>
                <w:szCs w:val="18"/>
              </w:rPr>
              <w:t>A M RAKESH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64E5A15E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8F62AF">
              <w:rPr>
                <w:color w:val="000000"/>
                <w:sz w:val="18"/>
                <w:szCs w:val="18"/>
              </w:rPr>
              <w:t>2</w:t>
            </w:r>
            <w:r w:rsidR="00CE6018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CE6018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CE6018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8F62AF">
              <w:rPr>
                <w:color w:val="000000"/>
                <w:sz w:val="18"/>
                <w:szCs w:val="18"/>
              </w:rPr>
              <w:t>2</w:t>
            </w:r>
            <w:r w:rsidR="00CE6018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36CD22BA" w14:textId="586C7ED2" w:rsidR="00804D6A" w:rsidRDefault="00804D6A" w:rsidP="008F6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36CD22BC" w14:textId="77777777" w:rsidR="00804D6A" w:rsidRDefault="00804D6A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</w:t>
      </w:r>
      <w:r w:rsidR="00B80822">
        <w:rPr>
          <w:b/>
          <w:bCs/>
          <w:color w:val="C00000"/>
          <w:sz w:val="22"/>
          <w:szCs w:val="22"/>
        </w:rPr>
        <w:t xml:space="preserve"> </w:t>
      </w:r>
      <w:r w:rsidR="00676CED" w:rsidRPr="00676CED">
        <w:rPr>
          <w:b/>
          <w:bCs/>
          <w:color w:val="C00000"/>
          <w:sz w:val="22"/>
          <w:szCs w:val="22"/>
        </w:rPr>
        <w:t>DATA INTERPRETATION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AT2 — Data Interpretation Exercise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CO1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 xml:space="preserve">This rubric is used to assess student responses to the AT2 Data Interpretation Exercise problems, in which students interpret a described data visualization (data types, aesthetic mappings, scales, coordinate systems, and </w:t>
      </w:r>
      <w:proofErr w:type="spellStart"/>
      <w:r>
        <w:rPr>
          <w:sz w:val="21"/>
          <w:szCs w:val="21"/>
        </w:rPr>
        <w:t>color</w:t>
      </w:r>
      <w:proofErr w:type="spellEnd"/>
      <w:r>
        <w:rPr>
          <w:sz w:val="21"/>
          <w:szCs w:val="21"/>
        </w:rPr>
        <w:t xml:space="preserve"> scales) and answer accompanying sub-questions.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Demonstrates thorough, accurate understanding of data types (nominal, ordinal, numerical), aesthetic mappings, scales, coordinate systems, and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 as they apply to the given visualization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visualization concepts, with only minor gaps in identifying data types, aesthetic mappings, or scale choices.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Basic understanding of visualization concepts, but with some misconceptions about data types, aesthetics, coordinate systems, or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Poor understanding of core visualization concepts; major misconceptions about data types, aesthetics, coordinate systems, or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explanations for each sub-question, using specific details from the scenario and correct visualization terminology.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explanations with adequate justification, referencing the scenario appropriately for most sub-questions.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Explanations are limited or superficial; lacks depth or fails to consistently connect reasoning to the given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Explanations are poor, unclear, or missing; answers are unsupported assertions with no reasoning shown.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visualization concepts to interpret the specific scenario, drawing accurate, well-reasoned conclusions from the described chart or data pattern.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concepts to interpret the scenario correctly, with only minor errors in reasoning or in the conclusions drawn.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concepts to the scenario; conclusions are weakly supported or only partially 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concepts to the scenario, or the conclusions drawn are incorrect or irrelevant to the data shown.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Answers are well-</w:t>
            </w:r>
            <w:r>
              <w:rPr>
                <w:color w:val="222222"/>
                <w:sz w:val="19"/>
                <w:szCs w:val="19"/>
              </w:rPr>
              <w:lastRenderedPageBreak/>
              <w:t>structured, addressing each sub-question (a, b, c) in a clear, logical sequence with coherent flow throughout.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Answers are </w:t>
            </w:r>
            <w:r>
              <w:rPr>
                <w:color w:val="222222"/>
                <w:sz w:val="19"/>
                <w:szCs w:val="19"/>
              </w:rPr>
              <w:lastRenderedPageBreak/>
              <w:t>organized and address each sub-question,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Basic structure; </w:t>
            </w:r>
            <w:r>
              <w:rPr>
                <w:color w:val="222222"/>
                <w:sz w:val="19"/>
                <w:szCs w:val="19"/>
              </w:rPr>
              <w:lastRenderedPageBreak/>
              <w:t>sub-questions are addressed but answers lack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Poorly organized; </w:t>
            </w:r>
            <w:r>
              <w:rPr>
                <w:color w:val="222222"/>
                <w:sz w:val="19"/>
                <w:szCs w:val="19"/>
              </w:rPr>
              <w:lastRenderedPageBreak/>
              <w:t>answers are incoherent, and sub-questions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parts of the answer — data type identification, aesthetic/scale justification, and final interpretation — are completely accurate.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part of the answer.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key points (e.g., data type, aesthetic justification, or interpretation)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Answers are largely incorrect, with major gaps in identifying data types, aesthetics, scales, or drawing conclusions.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BEED49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3B300B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007B45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63D0FE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0CA9CA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D960E1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EFDCAE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B437DC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344EEB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90161A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FB0CD2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17814E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0AD9E9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199B77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C7D79B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054AC9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CE8762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0A8554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E5F832" w14:textId="77777777" w:rsidR="006742B3" w:rsidRDefault="006742B3" w:rsidP="006742B3">
      <w:pPr>
        <w:spacing w:after="40"/>
      </w:pPr>
      <w:r>
        <w:rPr>
          <w:rFonts w:ascii="Calibri" w:hAnsi="Calibri"/>
          <w:b/>
          <w:color w:val="1F3A60"/>
          <w:sz w:val="48"/>
        </w:rPr>
        <w:lastRenderedPageBreak/>
        <w:t>Data Visualization &amp; Analytics</w:t>
      </w:r>
    </w:p>
    <w:p w14:paraId="796F45E4" w14:textId="77777777" w:rsidR="006742B3" w:rsidRDefault="006742B3" w:rsidP="006742B3">
      <w:pPr>
        <w:pBdr>
          <w:bottom w:val="single" w:sz="18" w:space="8" w:color="1F3A60"/>
        </w:pBdr>
        <w:spacing w:after="280"/>
      </w:pPr>
      <w:r>
        <w:rPr>
          <w:rFonts w:ascii="Calibri" w:hAnsi="Calibri"/>
          <w:i/>
          <w:color w:val="4A5568"/>
          <w:sz w:val="26"/>
        </w:rPr>
        <w:t>Solutions &amp; Analysis for Problem 5 (10 Marks) and Problem 15 (10 Marks)</w:t>
      </w:r>
    </w:p>
    <w:p w14:paraId="3CD930B7" w14:textId="77777777" w:rsidR="006742B3" w:rsidRDefault="006742B3" w:rsidP="006742B3">
      <w:pPr>
        <w:keepNext/>
        <w:spacing w:before="360" w:after="120"/>
      </w:pPr>
      <w:r>
        <w:rPr>
          <w:rFonts w:ascii="Calibri" w:hAnsi="Calibri"/>
          <w:b/>
          <w:color w:val="1F3A60"/>
          <w:sz w:val="32"/>
        </w:rPr>
        <w:t>Problem 5 (10 Marks)</w:t>
      </w:r>
    </w:p>
    <w:p w14:paraId="732EC41A" w14:textId="77777777" w:rsidR="006742B3" w:rsidRDefault="006742B3" w:rsidP="006742B3">
      <w:pPr>
        <w:spacing w:before="80"/>
      </w:pPr>
      <w:r>
        <w:rPr>
          <w:b/>
          <w:color w:val="2B6CB0"/>
        </w:rPr>
        <w:t xml:space="preserve">Scenario: </w:t>
      </w:r>
      <w:r>
        <w:rPr>
          <w:i/>
        </w:rPr>
        <w:t xml:space="preserve">A university tracks student grades as letter grades (A, B, C, D, F) and plots the count of students receiving each grade as an ordered bar chart, bars arranged from F to A left to right, using a </w:t>
      </w:r>
      <w:proofErr w:type="spellStart"/>
      <w:r>
        <w:rPr>
          <w:i/>
        </w:rPr>
        <w:t>color</w:t>
      </w:r>
      <w:proofErr w:type="spellEnd"/>
      <w:r>
        <w:rPr>
          <w:i/>
        </w:rPr>
        <w:t xml:space="preserve"> gradient from red (F) to green (A).</w:t>
      </w:r>
    </w:p>
    <w:p w14:paraId="642621AA" w14:textId="77777777" w:rsidR="006742B3" w:rsidRDefault="006742B3" w:rsidP="006742B3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>Part (a): Data Type of “Letter Grade” &amp; Importance of Order</w:t>
      </w:r>
    </w:p>
    <w:p w14:paraId="25E6594A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Data Type Classification: </w:t>
      </w:r>
      <w:r>
        <w:rPr>
          <w:color w:val="2D3748"/>
        </w:rPr>
        <w:t>Letter grade is classified as Ordinal Categorical Data (an ordinal variable).</w:t>
      </w:r>
    </w:p>
    <w:p w14:paraId="10FC4041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Categorical Nature: </w:t>
      </w:r>
      <w:r>
        <w:rPr>
          <w:color w:val="2D3748"/>
        </w:rPr>
        <w:t>Letter grades represent distinct, qualitative categories (A, B, C, D, F) rather than continuous numeric values.</w:t>
      </w:r>
    </w:p>
    <w:p w14:paraId="3839C552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Ordinal Hierarchy: </w:t>
      </w:r>
      <w:r>
        <w:rPr>
          <w:color w:val="2D3748"/>
        </w:rPr>
        <w:t>Unlike nominal categories (e.g., major, gender), letter grades possess an inherent, universally recognized rank order (A &gt; B &gt; C &gt; D &gt; F). However, the mathematical intervals between consecutive grades are not fixed or quantitatively measurable.</w:t>
      </w:r>
    </w:p>
    <w:p w14:paraId="1B53AE1D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Why Order Matters for Visualization: </w:t>
      </w:r>
      <w:r>
        <w:rPr>
          <w:color w:val="2D3748"/>
        </w:rPr>
        <w:t>The order of categories is critical to the visualization for three key reasons:</w:t>
      </w:r>
    </w:p>
    <w:p w14:paraId="744B4169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Alignment with Human Mental Models: </w:t>
      </w:r>
      <w:r>
        <w:rPr>
          <w:color w:val="2D3748"/>
        </w:rPr>
        <w:t>Viewers expect ordered data to be displayed sequentially. Arranging bars out of order (e.g., alphabetically as A, B, C, D, F vs. non-sequential like B, F, A, C, D) disrupts logical flow and increases cognitive processing time.</w:t>
      </w:r>
    </w:p>
    <w:p w14:paraId="06193FCD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Facilitating Frequency Distribution Analysis: </w:t>
      </w:r>
      <w:r>
        <w:rPr>
          <w:color w:val="2D3748"/>
        </w:rPr>
        <w:t>Placing bars in a logical sequence (F to A) transforms the chart into an empirical distribution plot. This enables stakeholders to immediately evaluate central tendency (median/mode grade block), dispersion, and skewness.</w:t>
      </w:r>
    </w:p>
    <w:p w14:paraId="11B14942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Spatial and </w:t>
      </w:r>
      <w:proofErr w:type="spellStart"/>
      <w:r>
        <w:rPr>
          <w:b/>
          <w:color w:val="1F3A60"/>
        </w:rPr>
        <w:t>Color</w:t>
      </w:r>
      <w:proofErr w:type="spellEnd"/>
      <w:r>
        <w:rPr>
          <w:b/>
          <w:color w:val="1F3A60"/>
        </w:rPr>
        <w:t xml:space="preserve"> Encoding Synergy: </w:t>
      </w:r>
      <w:r>
        <w:rPr>
          <w:color w:val="2D3748"/>
        </w:rPr>
        <w:t xml:space="preserve">Because the visualization uses a horizontal spatial arrangement (F on the far left to A on the far right) alongside a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gradient (red to green), maintaining strict ordinal sequence aligns spatial axis progression with conceptual academic achievement.</w:t>
      </w:r>
    </w:p>
    <w:p w14:paraId="59541BC7" w14:textId="77777777" w:rsidR="006742B3" w:rsidRDefault="006742B3" w:rsidP="006742B3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>Part (b): Evaluation of Red-to-Green Gradient Aesthetics and Accessibility</w:t>
      </w:r>
    </w:p>
    <w:p w14:paraId="0ABA80FB" w14:textId="77777777" w:rsidR="006742B3" w:rsidRDefault="006742B3" w:rsidP="006742B3">
      <w:pPr>
        <w:spacing w:before="40" w:after="120"/>
      </w:pPr>
      <w:r>
        <w:rPr>
          <w:color w:val="2D3748"/>
        </w:rPr>
        <w:t>While a red-to-green gradient leverages intuitive cultural metaphors (red = danger/fail, green = pass/success), it presents severe design and accessibility limitations:</w:t>
      </w:r>
    </w:p>
    <w:p w14:paraId="2FF2CEF0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proofErr w:type="spellStart"/>
      <w:r>
        <w:rPr>
          <w:b/>
          <w:color w:val="1F3A60"/>
        </w:rPr>
        <w:t>Color</w:t>
      </w:r>
      <w:proofErr w:type="spellEnd"/>
      <w:r>
        <w:rPr>
          <w:b/>
          <w:color w:val="1F3A60"/>
        </w:rPr>
        <w:t xml:space="preserve"> Vision Deficiency (CVD) Inaccessibility: </w:t>
      </w:r>
      <w:r>
        <w:rPr>
          <w:color w:val="2D3748"/>
        </w:rPr>
        <w:t xml:space="preserve">Red-green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blindness (Deuteranopia and Protanopia) affects roughly 8% of men and 0.5% of women worldwide. Viewers with red-green CVD perceive red and green as similar desaturated brownish-yellow tones, making the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coding completely indistinguishable.</w:t>
      </w:r>
    </w:p>
    <w:p w14:paraId="10F9980B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Redundant &amp; Misleading Visual Encoding: </w:t>
      </w:r>
      <w:r>
        <w:rPr>
          <w:color w:val="2D3748"/>
        </w:rPr>
        <w:t xml:space="preserve">The bar chart already uses horizontal position on the X-axis and bar height on the Y-axis to encode category identity and frequency. Adding a continuous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gradient introduces redundant encoding without providing additional data dimension. Moreover, continuous gradients suggest continuous numeric data, which can falsely imply smooth transitions between discrete grade steps.</w:t>
      </w:r>
    </w:p>
    <w:p w14:paraId="524AA314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Monochrome &amp; Print Degradation: </w:t>
      </w:r>
      <w:r>
        <w:rPr>
          <w:color w:val="2D3748"/>
        </w:rPr>
        <w:t xml:space="preserve">When printed in black-and-white or viewed on grayscale devices, red and green collapse into nearly identical mid-tone </w:t>
      </w:r>
      <w:proofErr w:type="spellStart"/>
      <w:r>
        <w:rPr>
          <w:color w:val="2D3748"/>
        </w:rPr>
        <w:t>grays</w:t>
      </w:r>
      <w:proofErr w:type="spellEnd"/>
      <w:r>
        <w:rPr>
          <w:color w:val="2D3748"/>
        </w:rPr>
        <w:t>, losing contrast.</w:t>
      </w:r>
    </w:p>
    <w:p w14:paraId="145F223E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Recommended Design Alternatives: </w:t>
      </w:r>
      <w:r>
        <w:rPr>
          <w:color w:val="2D3748"/>
        </w:rPr>
        <w:t>To improve accessibility and clarity, the chart should adopt one of the following alternatives:</w:t>
      </w:r>
    </w:p>
    <w:p w14:paraId="20B14E30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Single-Hue Sequential Palette: </w:t>
      </w:r>
      <w:r>
        <w:rPr>
          <w:color w:val="2D3748"/>
        </w:rPr>
        <w:t xml:space="preserve">Use varying shades of a single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(e.g., light blue for F up to dark blue for A). Shading naturally communicates magnitude without </w:t>
      </w:r>
      <w:proofErr w:type="spellStart"/>
      <w:r>
        <w:rPr>
          <w:color w:val="2D3748"/>
        </w:rPr>
        <w:t>color-blindness</w:t>
      </w:r>
      <w:proofErr w:type="spellEnd"/>
      <w:r>
        <w:rPr>
          <w:color w:val="2D3748"/>
        </w:rPr>
        <w:t xml:space="preserve"> barriers.</w:t>
      </w:r>
    </w:p>
    <w:p w14:paraId="4D113A9D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proofErr w:type="spellStart"/>
      <w:r>
        <w:rPr>
          <w:b/>
          <w:color w:val="1F3A60"/>
        </w:rPr>
        <w:t>Colorblind</w:t>
      </w:r>
      <w:proofErr w:type="spellEnd"/>
      <w:r>
        <w:rPr>
          <w:b/>
          <w:color w:val="1F3A60"/>
        </w:rPr>
        <w:t xml:space="preserve">-Safe Diverging/Sequential Scales: </w:t>
      </w:r>
      <w:r>
        <w:rPr>
          <w:color w:val="2D3748"/>
        </w:rPr>
        <w:t xml:space="preserve">Use accessible palettes such as </w:t>
      </w:r>
      <w:proofErr w:type="spellStart"/>
      <w:r>
        <w:rPr>
          <w:color w:val="2D3748"/>
        </w:rPr>
        <w:t>Viridis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Cividis</w:t>
      </w:r>
      <w:proofErr w:type="spellEnd"/>
      <w:r>
        <w:rPr>
          <w:color w:val="2D3748"/>
        </w:rPr>
        <w:t>, or a Blue-to-</w:t>
      </w:r>
      <w:proofErr w:type="gramStart"/>
      <w:r>
        <w:rPr>
          <w:color w:val="2D3748"/>
        </w:rPr>
        <w:t>Orange</w:t>
      </w:r>
      <w:proofErr w:type="gramEnd"/>
      <w:r>
        <w:rPr>
          <w:color w:val="2D3748"/>
        </w:rPr>
        <w:t xml:space="preserve"> gradient.</w:t>
      </w:r>
    </w:p>
    <w:p w14:paraId="29027533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Direct Data Labels: </w:t>
      </w:r>
      <w:r>
        <w:rPr>
          <w:color w:val="2D3748"/>
        </w:rPr>
        <w:t xml:space="preserve">Ensure axis labels and numeric values are clear, making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supplementary rather than essential.</w:t>
      </w:r>
    </w:p>
    <w:p w14:paraId="5E56E909" w14:textId="77777777" w:rsidR="006742B3" w:rsidRDefault="006742B3" w:rsidP="006742B3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lastRenderedPageBreak/>
        <w:t>Part (c): Interpretation of Distribution Shape (Clustering around B and C)</w:t>
      </w:r>
    </w:p>
    <w:p w14:paraId="4736F15C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Distribution Shape &amp; Statistical Meaning: </w:t>
      </w:r>
      <w:r>
        <w:rPr>
          <w:color w:val="2D3748"/>
        </w:rPr>
        <w:t xml:space="preserve">If student counts cluster heavily around B and C with lower counts at F, D, and A, it indicates a Unimodal, Approximately Symmetric (Bell-Shaped) Grade Distribution </w:t>
      </w:r>
      <w:proofErr w:type="spellStart"/>
      <w:r>
        <w:rPr>
          <w:color w:val="2D3748"/>
        </w:rPr>
        <w:t>centered</w:t>
      </w:r>
      <w:proofErr w:type="spellEnd"/>
      <w:r>
        <w:rPr>
          <w:color w:val="2D3748"/>
        </w:rPr>
        <w:t xml:space="preserve"> near the upper-middle performance band.</w:t>
      </w:r>
    </w:p>
    <w:p w14:paraId="21D63043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Central Tendency: </w:t>
      </w:r>
      <w:r>
        <w:rPr>
          <w:color w:val="2D3748"/>
        </w:rPr>
        <w:t>The median and mode (most frequent grades) lie in the B and C range, showing that the majority of students met typical course learning objectives.</w:t>
      </w:r>
    </w:p>
    <w:p w14:paraId="31064C03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Tapered Extremes (Thin Tails): </w:t>
      </w:r>
      <w:r>
        <w:rPr>
          <w:color w:val="2D3748"/>
        </w:rPr>
        <w:t>The lower frequency at the extreme ends (F/D on the left tail and A on the right tail) indicates low variance at the extremes—very few students completely failed or achieved top perfection.</w:t>
      </w:r>
    </w:p>
    <w:p w14:paraId="599EE87A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Academic &amp; Normative Context: </w:t>
      </w:r>
      <w:r>
        <w:rPr>
          <w:color w:val="2D3748"/>
        </w:rPr>
        <w:t xml:space="preserve">This pattern reflects a classical Gaussian distribution curve common in standardized higher education assessment, where grades follow a bell curve </w:t>
      </w:r>
      <w:proofErr w:type="spellStart"/>
      <w:r>
        <w:rPr>
          <w:color w:val="2D3748"/>
        </w:rPr>
        <w:t>centered</w:t>
      </w:r>
      <w:proofErr w:type="spellEnd"/>
      <w:r>
        <w:rPr>
          <w:color w:val="2D3748"/>
        </w:rPr>
        <w:t xml:space="preserve"> around an average grade of B or C.</w:t>
      </w:r>
    </w:p>
    <w:p w14:paraId="404984E9" w14:textId="77777777" w:rsidR="006742B3" w:rsidRDefault="006742B3" w:rsidP="006742B3">
      <w:pPr>
        <w:spacing w:after="40"/>
      </w:pPr>
    </w:p>
    <w:p w14:paraId="5F7CAA65" w14:textId="77777777" w:rsidR="006742B3" w:rsidRDefault="006742B3" w:rsidP="006742B3">
      <w:pPr>
        <w:keepNext/>
        <w:spacing w:after="80"/>
      </w:pPr>
      <w:r>
        <w:rPr>
          <w:b/>
          <w:color w:val="1F3A60"/>
          <w:sz w:val="21"/>
        </w:rPr>
        <w:t>Table 5.1: Summary Evaluation of Problem 5 Visualization Choices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6742B3" w14:paraId="52C2A68F" w14:textId="77777777" w:rsidTr="00F2631E">
        <w:trPr>
          <w:jc w:val="center"/>
        </w:trPr>
        <w:tc>
          <w:tcPr>
            <w:tcW w:w="2160" w:type="dxa"/>
            <w:shd w:val="clear" w:color="auto" w:fill="1F3A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1D708" w14:textId="77777777" w:rsidR="006742B3" w:rsidRDefault="006742B3" w:rsidP="00F2631E">
            <w:r>
              <w:rPr>
                <w:b/>
                <w:color w:val="FFFFFF"/>
              </w:rPr>
              <w:t>Dimension</w:t>
            </w:r>
          </w:p>
        </w:tc>
        <w:tc>
          <w:tcPr>
            <w:tcW w:w="2880" w:type="dxa"/>
            <w:shd w:val="clear" w:color="auto" w:fill="1F3A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32EC9" w14:textId="77777777" w:rsidR="006742B3" w:rsidRDefault="006742B3" w:rsidP="00F2631E">
            <w:r>
              <w:rPr>
                <w:b/>
                <w:color w:val="FFFFFF"/>
              </w:rPr>
              <w:t>Current Design Choice</w:t>
            </w:r>
          </w:p>
        </w:tc>
        <w:tc>
          <w:tcPr>
            <w:tcW w:w="4320" w:type="dxa"/>
            <w:shd w:val="clear" w:color="auto" w:fill="1F3A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6CFE8" w14:textId="77777777" w:rsidR="006742B3" w:rsidRDefault="006742B3" w:rsidP="00F2631E">
            <w:r>
              <w:rPr>
                <w:b/>
                <w:color w:val="FFFFFF"/>
              </w:rPr>
              <w:t>Evaluation &amp; Impact</w:t>
            </w:r>
          </w:p>
        </w:tc>
      </w:tr>
      <w:tr w:rsidR="006742B3" w14:paraId="7A06A86A" w14:textId="77777777" w:rsidTr="00F2631E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AD65" w14:textId="77777777" w:rsidR="006742B3" w:rsidRDefault="006742B3" w:rsidP="00F2631E">
            <w:r>
              <w:rPr>
                <w:color w:val="2D3748"/>
                <w:sz w:val="19"/>
              </w:rPr>
              <w:t>Data Mapping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AF52" w14:textId="77777777" w:rsidR="006742B3" w:rsidRDefault="006742B3" w:rsidP="00F2631E">
            <w:r>
              <w:rPr>
                <w:color w:val="2D3748"/>
                <w:sz w:val="19"/>
              </w:rPr>
              <w:t>Ordinal Categories (F → A)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9609" w14:textId="77777777" w:rsidR="006742B3" w:rsidRDefault="006742B3" w:rsidP="00F2631E">
            <w:r>
              <w:rPr>
                <w:color w:val="2D3748"/>
                <w:sz w:val="19"/>
              </w:rPr>
              <w:t>Correct arrangement preserves ranking and enables immediate shape recognition.</w:t>
            </w:r>
          </w:p>
        </w:tc>
      </w:tr>
      <w:tr w:rsidR="006742B3" w14:paraId="1E3B4768" w14:textId="77777777" w:rsidTr="00F2631E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DFD8" w14:textId="77777777" w:rsidR="006742B3" w:rsidRDefault="006742B3" w:rsidP="00F2631E">
            <w:proofErr w:type="spellStart"/>
            <w:r>
              <w:rPr>
                <w:color w:val="2D3748"/>
                <w:sz w:val="19"/>
              </w:rPr>
              <w:t>Color</w:t>
            </w:r>
            <w:proofErr w:type="spellEnd"/>
            <w:r>
              <w:rPr>
                <w:color w:val="2D3748"/>
                <w:sz w:val="19"/>
              </w:rPr>
              <w:t xml:space="preserve"> Aesthetic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4CB1" w14:textId="77777777" w:rsidR="006742B3" w:rsidRDefault="006742B3" w:rsidP="00F2631E">
            <w:r>
              <w:rPr>
                <w:color w:val="2D3748"/>
                <w:sz w:val="19"/>
              </w:rPr>
              <w:t>Red-to-Green Gradient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F971" w14:textId="77777777" w:rsidR="006742B3" w:rsidRDefault="006742B3" w:rsidP="00F2631E">
            <w:r>
              <w:rPr>
                <w:color w:val="2D3748"/>
                <w:sz w:val="19"/>
              </w:rPr>
              <w:t xml:space="preserve">Inaccessible to ~8% of males (red-green </w:t>
            </w:r>
            <w:proofErr w:type="spellStart"/>
            <w:r>
              <w:rPr>
                <w:color w:val="2D3748"/>
                <w:sz w:val="19"/>
              </w:rPr>
              <w:t>color</w:t>
            </w:r>
            <w:proofErr w:type="spellEnd"/>
            <w:r>
              <w:rPr>
                <w:color w:val="2D3748"/>
                <w:sz w:val="19"/>
              </w:rPr>
              <w:t xml:space="preserve"> blindness); redundant </w:t>
            </w:r>
            <w:proofErr w:type="spellStart"/>
            <w:r>
              <w:rPr>
                <w:color w:val="2D3748"/>
                <w:sz w:val="19"/>
              </w:rPr>
              <w:t>color</w:t>
            </w:r>
            <w:proofErr w:type="spellEnd"/>
            <w:r>
              <w:rPr>
                <w:color w:val="2D3748"/>
                <w:sz w:val="19"/>
              </w:rPr>
              <w:t xml:space="preserve"> encoding.</w:t>
            </w:r>
          </w:p>
        </w:tc>
      </w:tr>
      <w:tr w:rsidR="006742B3" w14:paraId="7CE369B3" w14:textId="77777777" w:rsidTr="00F2631E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513" w14:textId="77777777" w:rsidR="006742B3" w:rsidRDefault="006742B3" w:rsidP="00F2631E">
            <w:r>
              <w:rPr>
                <w:color w:val="2D3748"/>
                <w:sz w:val="19"/>
              </w:rPr>
              <w:t>Distribution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0101" w14:textId="77777777" w:rsidR="006742B3" w:rsidRDefault="006742B3" w:rsidP="00F2631E">
            <w:r>
              <w:rPr>
                <w:color w:val="2D3748"/>
                <w:sz w:val="19"/>
              </w:rPr>
              <w:t>Clustering at B and C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5ACF" w14:textId="77777777" w:rsidR="006742B3" w:rsidRDefault="006742B3" w:rsidP="00F2631E">
            <w:r>
              <w:rPr>
                <w:color w:val="2D3748"/>
                <w:sz w:val="19"/>
              </w:rPr>
              <w:t xml:space="preserve">Unimodal bell-shaped curve representing standard academic performance </w:t>
            </w:r>
            <w:proofErr w:type="spellStart"/>
            <w:r>
              <w:rPr>
                <w:color w:val="2D3748"/>
                <w:sz w:val="19"/>
              </w:rPr>
              <w:t>centered</w:t>
            </w:r>
            <w:proofErr w:type="spellEnd"/>
            <w:r>
              <w:rPr>
                <w:color w:val="2D3748"/>
                <w:sz w:val="19"/>
              </w:rPr>
              <w:t xml:space="preserve"> around average.</w:t>
            </w:r>
          </w:p>
        </w:tc>
      </w:tr>
    </w:tbl>
    <w:p w14:paraId="3B5AE234" w14:textId="77777777" w:rsidR="006742B3" w:rsidRDefault="006742B3" w:rsidP="006742B3">
      <w:pPr>
        <w:spacing w:after="160"/>
      </w:pPr>
    </w:p>
    <w:p w14:paraId="4A9DCB81" w14:textId="77777777" w:rsidR="006742B3" w:rsidRDefault="006742B3" w:rsidP="006742B3">
      <w:pPr>
        <w:spacing w:after="120"/>
      </w:pPr>
    </w:p>
    <w:p w14:paraId="2294E803" w14:textId="77777777" w:rsidR="006742B3" w:rsidRDefault="006742B3" w:rsidP="006742B3">
      <w:pPr>
        <w:keepNext/>
        <w:spacing w:before="360" w:after="120"/>
      </w:pPr>
      <w:r>
        <w:rPr>
          <w:rFonts w:ascii="Calibri" w:hAnsi="Calibri"/>
          <w:b/>
          <w:color w:val="1F3A60"/>
          <w:sz w:val="32"/>
        </w:rPr>
        <w:t>Problem 15 (10 Marks)</w:t>
      </w:r>
    </w:p>
    <w:p w14:paraId="45956DE4" w14:textId="77777777" w:rsidR="006742B3" w:rsidRDefault="006742B3" w:rsidP="006742B3">
      <w:pPr>
        <w:spacing w:before="80"/>
      </w:pPr>
      <w:r>
        <w:rPr>
          <w:b/>
          <w:color w:val="2B6CB0"/>
        </w:rPr>
        <w:t xml:space="preserve">Scenario: </w:t>
      </w:r>
      <w:r>
        <w:rPr>
          <w:i/>
        </w:rPr>
        <w:t xml:space="preserve">A company profit/loss dashboard uses a red-white-blue diverging </w:t>
      </w:r>
      <w:proofErr w:type="spellStart"/>
      <w:r>
        <w:rPr>
          <w:i/>
        </w:rPr>
        <w:t>color</w:t>
      </w:r>
      <w:proofErr w:type="spellEnd"/>
      <w:r>
        <w:rPr>
          <w:i/>
        </w:rPr>
        <w:t xml:space="preserve"> scale, where red represents losses, white represents breakeven, and blue represents profits.</w:t>
      </w:r>
    </w:p>
    <w:p w14:paraId="10A5A384" w14:textId="77777777" w:rsidR="006742B3" w:rsidRDefault="006742B3" w:rsidP="006742B3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 xml:space="preserve">Part (a): Why a Diverging </w:t>
      </w:r>
      <w:proofErr w:type="spellStart"/>
      <w:r>
        <w:rPr>
          <w:rFonts w:ascii="Calibri" w:hAnsi="Calibri"/>
          <w:b/>
          <w:color w:val="2B6CB0"/>
          <w:sz w:val="24"/>
        </w:rPr>
        <w:t>Color</w:t>
      </w:r>
      <w:proofErr w:type="spellEnd"/>
      <w:r>
        <w:rPr>
          <w:rFonts w:ascii="Calibri" w:hAnsi="Calibri"/>
          <w:b/>
          <w:color w:val="2B6CB0"/>
          <w:sz w:val="24"/>
        </w:rPr>
        <w:t xml:space="preserve"> Scale is Appropriate for Profit/Loss Data</w:t>
      </w:r>
    </w:p>
    <w:p w14:paraId="3D7EB0B5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Nature of Financial Performance: </w:t>
      </w:r>
      <w:r>
        <w:rPr>
          <w:color w:val="2D3748"/>
        </w:rPr>
        <w:t xml:space="preserve">Financial profit and loss is a Bipolar Quantitative Variable </w:t>
      </w:r>
      <w:proofErr w:type="spellStart"/>
      <w:r>
        <w:rPr>
          <w:color w:val="2D3748"/>
        </w:rPr>
        <w:t>centered</w:t>
      </w:r>
      <w:proofErr w:type="spellEnd"/>
      <w:r>
        <w:rPr>
          <w:color w:val="2D3748"/>
        </w:rPr>
        <w:t xml:space="preserve"> around a critical neutral reference point: $0 Net Income (Breakeven). The data extends in two distinct conceptual directions—positive earnings (profits) and negative deficits (losses).</w:t>
      </w:r>
    </w:p>
    <w:p w14:paraId="404DDA9C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Diverging vs. Sequential Analysis: </w:t>
      </w:r>
      <w:r>
        <w:rPr>
          <w:color w:val="2D3748"/>
        </w:rPr>
        <w:t xml:space="preserve">A diverging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scale is uniquely suited for this data structure, whereas a sequential scale is inappropriate for the following reasons:</w:t>
      </w:r>
    </w:p>
    <w:p w14:paraId="05C857C2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Limitations of Sequential Scales: </w:t>
      </w:r>
      <w:r>
        <w:rPr>
          <w:color w:val="2D3748"/>
        </w:rPr>
        <w:t xml:space="preserve">A sequential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scale varies monotonically in lightness/saturation along a single hue (e.g., light blue to dark blue). If applied to profit/loss data, negative values (losses) and positive values (profits) are forced onto a single scale. Viewers cannot visually distinguish where loss ends and profit begins without constantly reading numeric values.</w:t>
      </w:r>
    </w:p>
    <w:p w14:paraId="71DB7315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Strengths of Diverging Scales: </w:t>
      </w:r>
      <w:r>
        <w:rPr>
          <w:color w:val="2D3748"/>
        </w:rPr>
        <w:t xml:space="preserve">A diverging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scale places a light/neutral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(white) at the critical midpoint ($0 / Breakeven) and branches out into two contrasting hues (red for losses, blue for profits). The two distinct hues immediately divide negative from positive values, while saturation/darkness communicates magnitude in either direction.</w:t>
      </w:r>
    </w:p>
    <w:p w14:paraId="0ADAE305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Leveraging Pre-Attentive Visual Processing: </w:t>
      </w:r>
      <w:r>
        <w:rPr>
          <w:color w:val="2D3748"/>
        </w:rPr>
        <w:t>Executives scanning a dashboard can instantaneously categorize operational performance into 'loss' (red) vs. 'profit' (blue) without cognitive overhead.</w:t>
      </w:r>
    </w:p>
    <w:p w14:paraId="0A43E9FF" w14:textId="77777777" w:rsidR="006742B3" w:rsidRDefault="006742B3" w:rsidP="006742B3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lastRenderedPageBreak/>
        <w:t>Part (b): Interpretation of a Very Dark Blue Cell</w:t>
      </w:r>
    </w:p>
    <w:p w14:paraId="6A74916F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Financial Performance Interpretation: </w:t>
      </w:r>
      <w:r>
        <w:rPr>
          <w:color w:val="2D3748"/>
        </w:rPr>
        <w:t>If a month's cell appears in Very Dark Blue, it signifies Exceptionally High Financial Profitability / Outstanding Net Income for that month.</w:t>
      </w:r>
    </w:p>
    <w:p w14:paraId="14FC3933" w14:textId="77777777" w:rsidR="006742B3" w:rsidRDefault="006742B3" w:rsidP="006742B3">
      <w:pPr>
        <w:spacing w:before="40" w:after="120"/>
      </w:pPr>
      <w:proofErr w:type="spellStart"/>
      <w:r>
        <w:rPr>
          <w:b/>
          <w:color w:val="1F3A60"/>
        </w:rPr>
        <w:t>Color</w:t>
      </w:r>
      <w:proofErr w:type="spellEnd"/>
      <w:r>
        <w:rPr>
          <w:b/>
          <w:color w:val="1F3A60"/>
        </w:rPr>
        <w:t xml:space="preserve"> Theory &amp; Mapping Breakdown: </w:t>
      </w:r>
      <w:r>
        <w:rPr>
          <w:color w:val="2D3748"/>
        </w:rPr>
        <w:t xml:space="preserve">This interpretation is grounded in the two dimensions of the diverging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scale:</w:t>
      </w:r>
    </w:p>
    <w:p w14:paraId="2B2B2641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Hue Direction (Blue = Profit): </w:t>
      </w:r>
      <w:r>
        <w:rPr>
          <w:color w:val="2D3748"/>
        </w:rPr>
        <w:t>The blue hue establishes that the financial value is in positive territory ($Net Income &gt; $0$).</w:t>
      </w:r>
    </w:p>
    <w:p w14:paraId="31676574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Luminance &amp; Saturation (Darkness = High Magnitude): </w:t>
      </w:r>
      <w:r>
        <w:rPr>
          <w:color w:val="2D3748"/>
        </w:rPr>
        <w:t xml:space="preserve">In a diverging scale, saturation and darkness increase as data values move further away from the neutral </w:t>
      </w:r>
      <w:proofErr w:type="spellStart"/>
      <w:r>
        <w:rPr>
          <w:color w:val="2D3748"/>
        </w:rPr>
        <w:t>center</w:t>
      </w:r>
      <w:proofErr w:type="spellEnd"/>
      <w:r>
        <w:rPr>
          <w:color w:val="2D3748"/>
        </w:rPr>
        <w:t xml:space="preserve"> (white = $0). A light blue cell indicates modest profit, while a dark, saturated blue cell represents a profit value near the upper maximum of the dashboard's scale.</w:t>
      </w:r>
    </w:p>
    <w:p w14:paraId="66ABE4CF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Executive Context: </w:t>
      </w:r>
      <w:r>
        <w:rPr>
          <w:color w:val="2D3748"/>
        </w:rPr>
        <w:t>That month experienced strong revenue generation significantly exceeding total operating expenses, representing a key financial milestone.</w:t>
      </w:r>
    </w:p>
    <w:p w14:paraId="6B75D8F3" w14:textId="77777777" w:rsidR="006742B3" w:rsidRDefault="006742B3" w:rsidP="006742B3">
      <w:pPr>
        <w:keepNext/>
        <w:spacing w:before="280" w:after="80"/>
      </w:pPr>
      <w:r>
        <w:rPr>
          <w:rFonts w:ascii="Calibri" w:hAnsi="Calibri"/>
          <w:b/>
          <w:color w:val="2B6CB0"/>
          <w:sz w:val="24"/>
        </w:rPr>
        <w:t>Part (c): Data Value Represented by White &amp; Its Financial Meaningfulness</w:t>
      </w:r>
    </w:p>
    <w:p w14:paraId="2310D6DE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Exact Data Value: </w:t>
      </w:r>
      <w:r>
        <w:rPr>
          <w:color w:val="2D3748"/>
        </w:rPr>
        <w:t xml:space="preserve">The white </w:t>
      </w:r>
      <w:proofErr w:type="spellStart"/>
      <w:r>
        <w:rPr>
          <w:color w:val="2D3748"/>
        </w:rPr>
        <w:t>color</w:t>
      </w:r>
      <w:proofErr w:type="spellEnd"/>
      <w:r>
        <w:rPr>
          <w:color w:val="2D3748"/>
        </w:rPr>
        <w:t xml:space="preserve"> represents a net financial value of exactly $0.00 (Zero dollars), which corresponds to the Breakeven Point ($Total Revenue = Total Expenses$).</w:t>
      </w:r>
    </w:p>
    <w:p w14:paraId="580FCE66" w14:textId="77777777" w:rsidR="006742B3" w:rsidRDefault="006742B3" w:rsidP="006742B3">
      <w:pPr>
        <w:spacing w:before="40" w:after="120"/>
      </w:pPr>
      <w:r>
        <w:rPr>
          <w:b/>
          <w:color w:val="1F3A60"/>
        </w:rPr>
        <w:t xml:space="preserve">Why Breakeven ($0) is Meaningful: </w:t>
      </w:r>
      <w:r>
        <w:rPr>
          <w:color w:val="2D3748"/>
        </w:rPr>
        <w:t>Assigning white to breakeven is highly meaningful for three reasons:</w:t>
      </w:r>
    </w:p>
    <w:p w14:paraId="716E1164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Fundamental Business Threshold: </w:t>
      </w:r>
      <w:r>
        <w:rPr>
          <w:color w:val="2D3748"/>
        </w:rPr>
        <w:t>Breakeven is the pivotal operational boundary separating financial loss (insolvency/deficit) from profit (sustainability/gain). It is the most critical reference point in business performance evaluation.</w:t>
      </w:r>
    </w:p>
    <w:p w14:paraId="269E3093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Visual Anchor &amp; Reduced Cognitive Noise: </w:t>
      </w:r>
      <w:r>
        <w:rPr>
          <w:color w:val="2D3748"/>
        </w:rPr>
        <w:t>Using white (a completely neutral, desaturated tone) at $0 allows breakeven cells to blend cleanly into the background. This ensures that non-zero values naturally 'pop' visually in either red or blue, reducing dashboard clutter.</w:t>
      </w:r>
    </w:p>
    <w:p w14:paraId="1DBA4C00" w14:textId="77777777" w:rsidR="006742B3" w:rsidRDefault="006742B3" w:rsidP="006742B3">
      <w:pPr>
        <w:spacing w:before="40" w:after="80"/>
        <w:ind w:left="360"/>
      </w:pPr>
      <w:r>
        <w:rPr>
          <w:color w:val="2B6CB0"/>
        </w:rPr>
        <w:t xml:space="preserve">▪ </w:t>
      </w:r>
      <w:r>
        <w:rPr>
          <w:b/>
          <w:color w:val="1F3A60"/>
        </w:rPr>
        <w:t xml:space="preserve">Rapid Decision Support: </w:t>
      </w:r>
      <w:r>
        <w:rPr>
          <w:color w:val="2D3748"/>
        </w:rPr>
        <w:t>Decision-makers can ignore white cells (breakeven) and immediately direct focus to deep red cells (operational threats requiring urgent attention) or deep blue cells (top drivers of business growth).</w:t>
      </w:r>
    </w:p>
    <w:p w14:paraId="0F025240" w14:textId="77777777" w:rsidR="006742B3" w:rsidRDefault="006742B3" w:rsidP="006742B3">
      <w:pPr>
        <w:spacing w:after="40"/>
      </w:pPr>
    </w:p>
    <w:p w14:paraId="671A2834" w14:textId="77777777" w:rsidR="006742B3" w:rsidRDefault="006742B3" w:rsidP="006742B3">
      <w:pPr>
        <w:keepNext/>
        <w:spacing w:after="80"/>
      </w:pPr>
      <w:r>
        <w:rPr>
          <w:b/>
          <w:color w:val="1F3A60"/>
          <w:sz w:val="21"/>
        </w:rPr>
        <w:t xml:space="preserve">Table 15.1: Mapping of Red-White-Blue Diverging </w:t>
      </w:r>
      <w:proofErr w:type="spellStart"/>
      <w:r>
        <w:rPr>
          <w:b/>
          <w:color w:val="1F3A60"/>
          <w:sz w:val="21"/>
        </w:rPr>
        <w:t>Color</w:t>
      </w:r>
      <w:proofErr w:type="spellEnd"/>
      <w:r>
        <w:rPr>
          <w:b/>
          <w:color w:val="1F3A60"/>
          <w:sz w:val="21"/>
        </w:rPr>
        <w:t xml:space="preserve"> Scale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2160"/>
        <w:gridCol w:w="3312"/>
      </w:tblGrid>
      <w:tr w:rsidR="006742B3" w14:paraId="3E481AC4" w14:textId="77777777" w:rsidTr="00F2631E">
        <w:trPr>
          <w:jc w:val="center"/>
        </w:trPr>
        <w:tc>
          <w:tcPr>
            <w:tcW w:w="1872" w:type="dxa"/>
            <w:shd w:val="clear" w:color="auto" w:fill="1F3A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539D" w14:textId="77777777" w:rsidR="006742B3" w:rsidRDefault="006742B3" w:rsidP="00F2631E">
            <w:proofErr w:type="spellStart"/>
            <w:r>
              <w:rPr>
                <w:b/>
                <w:color w:val="FFFFFF"/>
              </w:rPr>
              <w:t>Color</w:t>
            </w:r>
            <w:proofErr w:type="spellEnd"/>
            <w:r>
              <w:rPr>
                <w:b/>
                <w:color w:val="FFFFFF"/>
              </w:rPr>
              <w:t xml:space="preserve"> Shade</w:t>
            </w:r>
          </w:p>
        </w:tc>
        <w:tc>
          <w:tcPr>
            <w:tcW w:w="2016" w:type="dxa"/>
            <w:shd w:val="clear" w:color="auto" w:fill="1F3A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B07D" w14:textId="77777777" w:rsidR="006742B3" w:rsidRDefault="006742B3" w:rsidP="00F2631E">
            <w:r>
              <w:rPr>
                <w:b/>
                <w:color w:val="FFFFFF"/>
              </w:rPr>
              <w:t>Financial Domain</w:t>
            </w:r>
          </w:p>
        </w:tc>
        <w:tc>
          <w:tcPr>
            <w:tcW w:w="2160" w:type="dxa"/>
            <w:shd w:val="clear" w:color="auto" w:fill="1F3A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6807" w14:textId="77777777" w:rsidR="006742B3" w:rsidRDefault="006742B3" w:rsidP="00F2631E">
            <w:r>
              <w:rPr>
                <w:b/>
                <w:color w:val="FFFFFF"/>
              </w:rPr>
              <w:t>Data Value Range</w:t>
            </w:r>
          </w:p>
        </w:tc>
        <w:tc>
          <w:tcPr>
            <w:tcW w:w="3312" w:type="dxa"/>
            <w:shd w:val="clear" w:color="auto" w:fill="1F3A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AC5B" w14:textId="77777777" w:rsidR="006742B3" w:rsidRDefault="006742B3" w:rsidP="00F2631E">
            <w:r>
              <w:rPr>
                <w:b/>
                <w:color w:val="FFFFFF"/>
              </w:rPr>
              <w:t>Managerial Meaning</w:t>
            </w:r>
          </w:p>
        </w:tc>
      </w:tr>
      <w:tr w:rsidR="006742B3" w14:paraId="35EED58A" w14:textId="77777777" w:rsidTr="00F2631E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7A6C5" w14:textId="77777777" w:rsidR="006742B3" w:rsidRDefault="006742B3" w:rsidP="00F2631E">
            <w:r>
              <w:rPr>
                <w:color w:val="2D3748"/>
                <w:sz w:val="19"/>
              </w:rPr>
              <w:t>Red (Dark Red)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5BE0A" w14:textId="77777777" w:rsidR="006742B3" w:rsidRDefault="006742B3" w:rsidP="00F2631E">
            <w:r>
              <w:rPr>
                <w:color w:val="2D3748"/>
                <w:sz w:val="19"/>
              </w:rPr>
              <w:t>Net Loss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863D2" w14:textId="77777777" w:rsidR="006742B3" w:rsidRDefault="006742B3" w:rsidP="00F2631E">
            <w:r>
              <w:rPr>
                <w:color w:val="2D3748"/>
                <w:sz w:val="19"/>
              </w:rPr>
              <w:t>&lt; $0 (Negative)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A2F21" w14:textId="77777777" w:rsidR="006742B3" w:rsidRDefault="006742B3" w:rsidP="00F2631E">
            <w:r>
              <w:rPr>
                <w:color w:val="2D3748"/>
                <w:sz w:val="19"/>
              </w:rPr>
              <w:t>Financial deficit / cost overrun requiring corrective action.</w:t>
            </w:r>
          </w:p>
        </w:tc>
      </w:tr>
      <w:tr w:rsidR="006742B3" w14:paraId="6DB39DDE" w14:textId="77777777" w:rsidTr="00F2631E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2CCBA" w14:textId="77777777" w:rsidR="006742B3" w:rsidRDefault="006742B3" w:rsidP="00F2631E">
            <w:r>
              <w:rPr>
                <w:color w:val="2D3748"/>
                <w:sz w:val="19"/>
              </w:rPr>
              <w:t>White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BAE4" w14:textId="77777777" w:rsidR="006742B3" w:rsidRDefault="006742B3" w:rsidP="00F2631E">
            <w:r>
              <w:rPr>
                <w:color w:val="2D3748"/>
                <w:sz w:val="19"/>
              </w:rPr>
              <w:t>Breakeven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25C9A" w14:textId="77777777" w:rsidR="006742B3" w:rsidRDefault="006742B3" w:rsidP="00F2631E">
            <w:r>
              <w:rPr>
                <w:color w:val="2D3748"/>
                <w:sz w:val="19"/>
              </w:rPr>
              <w:t>= $0 (Zero)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73406" w14:textId="77777777" w:rsidR="006742B3" w:rsidRDefault="006742B3" w:rsidP="00F2631E">
            <w:r>
              <w:rPr>
                <w:color w:val="2D3748"/>
                <w:sz w:val="19"/>
              </w:rPr>
              <w:t>Neutral operational baseline; total revenues equal total costs.</w:t>
            </w:r>
          </w:p>
        </w:tc>
      </w:tr>
      <w:tr w:rsidR="006742B3" w14:paraId="09971F27" w14:textId="77777777" w:rsidTr="00F2631E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C4217" w14:textId="77777777" w:rsidR="006742B3" w:rsidRDefault="006742B3" w:rsidP="00F2631E">
            <w:r>
              <w:rPr>
                <w:color w:val="2D3748"/>
                <w:sz w:val="19"/>
              </w:rPr>
              <w:t>Blue (Dark Blue)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02A52" w14:textId="77777777" w:rsidR="006742B3" w:rsidRDefault="006742B3" w:rsidP="00F2631E">
            <w:r>
              <w:rPr>
                <w:color w:val="2D3748"/>
                <w:sz w:val="19"/>
              </w:rPr>
              <w:t>Net Profit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46DF2" w14:textId="77777777" w:rsidR="006742B3" w:rsidRDefault="006742B3" w:rsidP="00F2631E">
            <w:r>
              <w:rPr>
                <w:color w:val="2D3748"/>
                <w:sz w:val="19"/>
              </w:rPr>
              <w:t>&gt; $0 (Positive)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AB4CE" w14:textId="77777777" w:rsidR="006742B3" w:rsidRDefault="006742B3" w:rsidP="00F2631E">
            <w:r>
              <w:rPr>
                <w:color w:val="2D3748"/>
                <w:sz w:val="19"/>
              </w:rPr>
              <w:t>High profitability / revenue surplus significantly above expenses.</w:t>
            </w:r>
          </w:p>
        </w:tc>
      </w:tr>
    </w:tbl>
    <w:p w14:paraId="0592C641" w14:textId="77777777" w:rsidR="006742B3" w:rsidRDefault="006742B3" w:rsidP="006742B3">
      <w:pPr>
        <w:spacing w:after="160"/>
      </w:pPr>
    </w:p>
    <w:p w14:paraId="01008557" w14:textId="77777777" w:rsidR="006742B3" w:rsidRDefault="006742B3" w:rsidP="006742B3">
      <w:pPr>
        <w:spacing w:after="120"/>
      </w:pPr>
    </w:p>
    <w:p w14:paraId="4CCD4D55" w14:textId="77777777" w:rsidR="006742B3" w:rsidRDefault="00674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742B3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F41D21-47B9-4DA0-AB04-A85C536C12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5E5F56-D846-4C3E-AEAF-D3818C6107B0}"/>
    <w:embedBold r:id="rId3" w:fontKey="{FF001ADC-E095-4867-92DD-6F35917AF57A}"/>
    <w:embedItalic r:id="rId4" w:fontKey="{11FBCC12-0187-42F0-81C4-DFEF765F1F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55DE57-0A32-4695-9B60-3928C86C7B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71177969">
    <w:abstractNumId w:val="1"/>
  </w:num>
  <w:num w:numId="2" w16cid:durableId="154575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6A"/>
    <w:rsid w:val="000D1A89"/>
    <w:rsid w:val="00127DDD"/>
    <w:rsid w:val="001E7691"/>
    <w:rsid w:val="003C4779"/>
    <w:rsid w:val="003E65D0"/>
    <w:rsid w:val="00431DAB"/>
    <w:rsid w:val="00444377"/>
    <w:rsid w:val="00481CC9"/>
    <w:rsid w:val="005040E2"/>
    <w:rsid w:val="00520F99"/>
    <w:rsid w:val="00583A55"/>
    <w:rsid w:val="00587EE0"/>
    <w:rsid w:val="005B140C"/>
    <w:rsid w:val="006742B3"/>
    <w:rsid w:val="00676CED"/>
    <w:rsid w:val="006D4ACA"/>
    <w:rsid w:val="00711301"/>
    <w:rsid w:val="0073199B"/>
    <w:rsid w:val="00804D6A"/>
    <w:rsid w:val="00824CB6"/>
    <w:rsid w:val="008C0625"/>
    <w:rsid w:val="008F62AF"/>
    <w:rsid w:val="008F666C"/>
    <w:rsid w:val="0093681E"/>
    <w:rsid w:val="00946BFF"/>
    <w:rsid w:val="00965175"/>
    <w:rsid w:val="009827AF"/>
    <w:rsid w:val="00A06ACD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413A79D5-33EE-4FF4-B206-A61FA91D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2073</Words>
  <Characters>11821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MANJUNATHA TRADERS</cp:lastModifiedBy>
  <cp:revision>2</cp:revision>
  <dcterms:created xsi:type="dcterms:W3CDTF">2026-07-29T17:28:00Z</dcterms:created>
  <dcterms:modified xsi:type="dcterms:W3CDTF">2026-07-29T17:28:00Z</dcterms:modified>
</cp:coreProperties>
</file>