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003" w:rsidRDefault="008B2166" w:rsidP="006E5A52">
      <w:pPr>
        <w:pStyle w:val="a7"/>
        <w:rPr>
          <w:rFonts w:ascii="宋体" w:eastAsia="宋体" w:hAnsi="宋体"/>
          <w:sz w:val="52"/>
          <w:szCs w:val="52"/>
        </w:rPr>
      </w:pPr>
      <w:r w:rsidRPr="006E5A52">
        <w:rPr>
          <w:rFonts w:ascii="宋体" w:eastAsia="宋体" w:hAnsi="宋体" w:hint="eastAsia"/>
          <w:sz w:val="52"/>
          <w:szCs w:val="52"/>
        </w:rPr>
        <w:t>项目管理子计划</w:t>
      </w:r>
    </w:p>
    <w:p w:rsidR="006E5A52" w:rsidRPr="006E5A52" w:rsidRDefault="006E5A52" w:rsidP="006E5A52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  <w:r w:rsidRPr="006E5A52">
        <w:rPr>
          <w:rFonts w:hint="eastAsia"/>
          <w:sz w:val="36"/>
          <w:szCs w:val="36"/>
        </w:rPr>
        <w:t>进度管理计划</w:t>
      </w:r>
    </w:p>
    <w:p w:rsidR="006E5A52" w:rsidRDefault="006E5A52" w:rsidP="006E5A52">
      <w:pPr>
        <w:ind w:left="420" w:firstLine="420"/>
        <w:rPr>
          <w:sz w:val="36"/>
          <w:szCs w:val="36"/>
        </w:rPr>
      </w:pPr>
      <w:r w:rsidRPr="006E5A52">
        <w:rPr>
          <w:rFonts w:hint="eastAsia"/>
          <w:sz w:val="36"/>
          <w:szCs w:val="36"/>
        </w:rPr>
        <w:t>使用</w:t>
      </w:r>
      <w:r w:rsidRPr="006E5A52">
        <w:rPr>
          <w:sz w:val="36"/>
          <w:szCs w:val="36"/>
        </w:rPr>
        <w:t>P</w:t>
      </w:r>
      <w:r w:rsidRPr="006E5A52">
        <w:rPr>
          <w:rFonts w:hint="eastAsia"/>
          <w:sz w:val="36"/>
          <w:szCs w:val="36"/>
        </w:rPr>
        <w:t>roject来管理项目进度，进行后续活动定义、活动排序、活动资源估算等活动，根据项目里程碑来制定项目进度表，确定人员任务分工。</w:t>
      </w:r>
    </w:p>
    <w:p w:rsidR="006E5A52" w:rsidRDefault="006E5A52" w:rsidP="006E5A52">
      <w:pPr>
        <w:rPr>
          <w:sz w:val="36"/>
          <w:szCs w:val="36"/>
        </w:rPr>
      </w:pPr>
    </w:p>
    <w:p w:rsidR="006E5A52" w:rsidRPr="006E5A52" w:rsidRDefault="006E5A52" w:rsidP="006E5A52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  <w:r w:rsidRPr="006E5A52">
        <w:rPr>
          <w:rFonts w:hint="eastAsia"/>
          <w:sz w:val="36"/>
          <w:szCs w:val="36"/>
        </w:rPr>
        <w:t>费用管理计划</w:t>
      </w:r>
    </w:p>
    <w:p w:rsidR="006E5A52" w:rsidRDefault="006E5A52" w:rsidP="006E5A52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质量管理计划</w:t>
      </w:r>
    </w:p>
    <w:p w:rsidR="008B5D5D" w:rsidRDefault="008B5D5D" w:rsidP="008B5D5D">
      <w:pPr>
        <w:pStyle w:val="a9"/>
        <w:ind w:left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对于已做好的项目，我们会进行代码走查，并且根据用户的需求来迭代我们的项目，保证项目的质量以及在后期会继续对代码进行维护和升级。</w:t>
      </w:r>
    </w:p>
    <w:p w:rsidR="006E5A52" w:rsidRDefault="006E5A52" w:rsidP="006E5A52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人力资源配备管理计划</w:t>
      </w:r>
    </w:p>
    <w:p w:rsidR="008B5D5D" w:rsidRDefault="008B5D5D" w:rsidP="008B5D5D">
      <w:pPr>
        <w:pStyle w:val="a9"/>
        <w:ind w:left="8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由G</w:t>
      </w:r>
      <w:r>
        <w:rPr>
          <w:sz w:val="36"/>
          <w:szCs w:val="36"/>
        </w:rPr>
        <w:t>25</w:t>
      </w:r>
      <w:r>
        <w:rPr>
          <w:rFonts w:hint="eastAsia"/>
          <w:sz w:val="36"/>
          <w:szCs w:val="36"/>
        </w:rPr>
        <w:t>小组完成，包括潘仲菁、施芳</w:t>
      </w:r>
      <w:proofErr w:type="gramStart"/>
      <w:r>
        <w:rPr>
          <w:rFonts w:hint="eastAsia"/>
          <w:sz w:val="36"/>
          <w:szCs w:val="36"/>
        </w:rPr>
        <w:t>怡</w:t>
      </w:r>
      <w:proofErr w:type="gramEnd"/>
      <w:r>
        <w:rPr>
          <w:rFonts w:hint="eastAsia"/>
          <w:sz w:val="36"/>
          <w:szCs w:val="36"/>
        </w:rPr>
        <w:t>、余张龙、杨庆贤、周文涛，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856"/>
        <w:gridCol w:w="1701"/>
        <w:gridCol w:w="2694"/>
        <w:gridCol w:w="1842"/>
      </w:tblGrid>
      <w:tr w:rsidR="000301CC" w:rsidTr="000301CC">
        <w:trPr>
          <w:trHeight w:val="611"/>
        </w:trPr>
        <w:tc>
          <w:tcPr>
            <w:tcW w:w="856" w:type="dxa"/>
            <w:vMerge w:val="restart"/>
            <w:textDirection w:val="tbRlV"/>
          </w:tcPr>
          <w:p w:rsidR="000301CC" w:rsidRDefault="000301CC" w:rsidP="000301CC">
            <w:pPr>
              <w:pStyle w:val="a9"/>
              <w:ind w:left="113" w:right="113" w:firstLineChars="0" w:firstLine="0"/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G</w:t>
            </w:r>
            <w:r>
              <w:rPr>
                <w:sz w:val="36"/>
                <w:szCs w:val="36"/>
              </w:rPr>
              <w:t>25</w:t>
            </w:r>
            <w:r>
              <w:rPr>
                <w:rFonts w:hint="eastAsia"/>
                <w:sz w:val="36"/>
                <w:szCs w:val="36"/>
              </w:rPr>
              <w:t>小组</w:t>
            </w:r>
          </w:p>
        </w:tc>
        <w:tc>
          <w:tcPr>
            <w:tcW w:w="1701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2694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职责</w:t>
            </w:r>
          </w:p>
        </w:tc>
        <w:tc>
          <w:tcPr>
            <w:tcW w:w="1842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备注</w:t>
            </w:r>
          </w:p>
        </w:tc>
      </w:tr>
      <w:tr w:rsidR="000301CC" w:rsidTr="000301CC">
        <w:trPr>
          <w:trHeight w:val="641"/>
        </w:trPr>
        <w:tc>
          <w:tcPr>
            <w:tcW w:w="856" w:type="dxa"/>
            <w:vMerge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潘仲菁</w:t>
            </w:r>
          </w:p>
        </w:tc>
        <w:tc>
          <w:tcPr>
            <w:tcW w:w="2694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</w:tr>
      <w:tr w:rsidR="000301CC" w:rsidTr="000301CC">
        <w:trPr>
          <w:trHeight w:val="626"/>
        </w:trPr>
        <w:tc>
          <w:tcPr>
            <w:tcW w:w="856" w:type="dxa"/>
            <w:vMerge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施芳</w:t>
            </w:r>
            <w:proofErr w:type="gramStart"/>
            <w:r>
              <w:rPr>
                <w:rFonts w:hint="eastAsia"/>
                <w:sz w:val="36"/>
                <w:szCs w:val="36"/>
              </w:rPr>
              <w:t>怡</w:t>
            </w:r>
            <w:proofErr w:type="gramEnd"/>
          </w:p>
        </w:tc>
        <w:tc>
          <w:tcPr>
            <w:tcW w:w="2694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</w:tr>
      <w:tr w:rsidR="000301CC" w:rsidTr="000301CC">
        <w:trPr>
          <w:trHeight w:val="626"/>
        </w:trPr>
        <w:tc>
          <w:tcPr>
            <w:tcW w:w="856" w:type="dxa"/>
            <w:vMerge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余张龙</w:t>
            </w:r>
          </w:p>
        </w:tc>
        <w:tc>
          <w:tcPr>
            <w:tcW w:w="2694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</w:tr>
      <w:tr w:rsidR="000301CC" w:rsidTr="000301CC">
        <w:trPr>
          <w:trHeight w:val="626"/>
        </w:trPr>
        <w:tc>
          <w:tcPr>
            <w:tcW w:w="856" w:type="dxa"/>
            <w:vMerge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杨庆贤</w:t>
            </w:r>
          </w:p>
        </w:tc>
        <w:tc>
          <w:tcPr>
            <w:tcW w:w="2694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</w:tr>
      <w:tr w:rsidR="000301CC" w:rsidTr="000301CC">
        <w:trPr>
          <w:trHeight w:val="626"/>
        </w:trPr>
        <w:tc>
          <w:tcPr>
            <w:tcW w:w="856" w:type="dxa"/>
            <w:vMerge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701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周文涛</w:t>
            </w:r>
          </w:p>
        </w:tc>
        <w:tc>
          <w:tcPr>
            <w:tcW w:w="2694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暂无</w:t>
            </w:r>
          </w:p>
        </w:tc>
        <w:tc>
          <w:tcPr>
            <w:tcW w:w="1842" w:type="dxa"/>
          </w:tcPr>
          <w:p w:rsidR="000301CC" w:rsidRDefault="000301CC" w:rsidP="008B5D5D">
            <w:pPr>
              <w:pStyle w:val="a9"/>
              <w:ind w:firstLineChars="0" w:firstLine="0"/>
              <w:rPr>
                <w:rFonts w:hint="eastAsia"/>
                <w:sz w:val="36"/>
                <w:szCs w:val="36"/>
              </w:rPr>
            </w:pPr>
          </w:p>
        </w:tc>
      </w:tr>
    </w:tbl>
    <w:p w:rsidR="000301CC" w:rsidRDefault="000301CC" w:rsidP="008B5D5D">
      <w:pPr>
        <w:pStyle w:val="a9"/>
        <w:ind w:left="84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务必保证各尽其职，不会造成人力资源的浪费</w:t>
      </w:r>
    </w:p>
    <w:p w:rsidR="006E5A52" w:rsidRDefault="000301CC" w:rsidP="000301CC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沟通</w:t>
      </w:r>
      <w:r w:rsidR="006E5A52">
        <w:rPr>
          <w:rFonts w:hint="eastAsia"/>
          <w:sz w:val="36"/>
          <w:szCs w:val="36"/>
        </w:rPr>
        <w:t>管理计划</w:t>
      </w:r>
    </w:p>
    <w:p w:rsidR="000301CC" w:rsidRDefault="000301CC" w:rsidP="000301CC">
      <w:pPr>
        <w:pStyle w:val="a9"/>
        <w:ind w:left="84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每周两</w:t>
      </w:r>
      <w:proofErr w:type="gramStart"/>
      <w:r>
        <w:rPr>
          <w:rFonts w:hint="eastAsia"/>
          <w:sz w:val="36"/>
          <w:szCs w:val="36"/>
        </w:rPr>
        <w:t>次固定</w:t>
      </w:r>
      <w:proofErr w:type="gramEnd"/>
      <w:r>
        <w:rPr>
          <w:rFonts w:hint="eastAsia"/>
          <w:sz w:val="36"/>
          <w:szCs w:val="36"/>
        </w:rPr>
        <w:t>的小组会议，交流心得，对于工作的安排以及对上次的工作总结，对于小组成员内交接的事项进行讨论</w:t>
      </w:r>
    </w:p>
    <w:p w:rsidR="000301CC" w:rsidRDefault="000301CC" w:rsidP="000301CC">
      <w:pPr>
        <w:pStyle w:val="a9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风险管理计划</w:t>
      </w:r>
    </w:p>
    <w:p w:rsidR="00A5247C" w:rsidRDefault="00A5247C" w:rsidP="00A5247C">
      <w:pPr>
        <w:pStyle w:val="a9"/>
        <w:ind w:left="126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风险识别过程应包括：</w:t>
      </w:r>
    </w:p>
    <w:p w:rsidR="00A5247C" w:rsidRPr="00A5247C" w:rsidRDefault="00A5247C" w:rsidP="00A5247C">
      <w:pPr>
        <w:pStyle w:val="a9"/>
        <w:numPr>
          <w:ilvl w:val="0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对产品和服务使用的法律法规以及客户需求变更造成的风险</w:t>
      </w:r>
    </w:p>
    <w:p w:rsidR="00A5247C" w:rsidRDefault="00A5247C" w:rsidP="00A5247C">
      <w:pPr>
        <w:pStyle w:val="a9"/>
        <w:ind w:left="126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ab/>
        <w:t>b.</w:t>
      </w:r>
      <w:r>
        <w:rPr>
          <w:rFonts w:hint="eastAsia"/>
          <w:sz w:val="36"/>
          <w:szCs w:val="36"/>
        </w:rPr>
        <w:t>生产、服务过程中的风险</w:t>
      </w:r>
    </w:p>
    <w:p w:rsidR="00A5247C" w:rsidRDefault="00A5247C" w:rsidP="00A5247C">
      <w:pPr>
        <w:pStyle w:val="a9"/>
        <w:ind w:left="1260" w:firstLineChars="0" w:firstLine="0"/>
        <w:rPr>
          <w:sz w:val="36"/>
          <w:szCs w:val="36"/>
        </w:rPr>
      </w:pPr>
      <w:r>
        <w:rPr>
          <w:sz w:val="36"/>
          <w:szCs w:val="36"/>
        </w:rPr>
        <w:tab/>
        <w:t>c.</w:t>
      </w:r>
      <w:r>
        <w:rPr>
          <w:rFonts w:hint="eastAsia"/>
          <w:sz w:val="36"/>
          <w:szCs w:val="36"/>
        </w:rPr>
        <w:t>产品质量造成的风险</w:t>
      </w:r>
    </w:p>
    <w:p w:rsidR="00A5247C" w:rsidRDefault="00A5247C" w:rsidP="00A5247C">
      <w:pPr>
        <w:pStyle w:val="a9"/>
        <w:ind w:left="1260" w:firstLineChars="0" w:firstLine="0"/>
        <w:rPr>
          <w:sz w:val="36"/>
          <w:szCs w:val="36"/>
        </w:rPr>
      </w:pPr>
      <w:r>
        <w:rPr>
          <w:sz w:val="36"/>
          <w:szCs w:val="36"/>
        </w:rPr>
        <w:tab/>
        <w:t>d.</w:t>
      </w:r>
      <w:r>
        <w:rPr>
          <w:rFonts w:hint="eastAsia"/>
          <w:sz w:val="36"/>
          <w:szCs w:val="36"/>
        </w:rPr>
        <w:t>产品售后的风险</w:t>
      </w:r>
    </w:p>
    <w:p w:rsidR="00A5247C" w:rsidRDefault="00A5247C" w:rsidP="00A5247C">
      <w:pPr>
        <w:pStyle w:val="a9"/>
        <w:ind w:left="1260" w:firstLineChars="0" w:firstLine="0"/>
        <w:rPr>
          <w:sz w:val="36"/>
          <w:szCs w:val="36"/>
        </w:rPr>
      </w:pPr>
      <w:r>
        <w:rPr>
          <w:sz w:val="36"/>
          <w:szCs w:val="36"/>
        </w:rPr>
        <w:tab/>
        <w:t>e.</w:t>
      </w:r>
      <w:r>
        <w:rPr>
          <w:rFonts w:hint="eastAsia"/>
          <w:sz w:val="36"/>
          <w:szCs w:val="36"/>
        </w:rPr>
        <w:t>产品失效的风险</w:t>
      </w:r>
    </w:p>
    <w:p w:rsidR="001D007E" w:rsidRDefault="001D007E" w:rsidP="001D007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我们将风险划分为3个等级，分别为高风险、中风险、低风险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007E" w:rsidTr="001D007E">
        <w:tc>
          <w:tcPr>
            <w:tcW w:w="4148" w:type="dxa"/>
          </w:tcPr>
          <w:p w:rsidR="001D007E" w:rsidRDefault="001D007E" w:rsidP="001D007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风险等级</w:t>
            </w:r>
          </w:p>
        </w:tc>
        <w:tc>
          <w:tcPr>
            <w:tcW w:w="4148" w:type="dxa"/>
          </w:tcPr>
          <w:p w:rsidR="001D007E" w:rsidRDefault="001D007E" w:rsidP="001D007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应对措施</w:t>
            </w:r>
          </w:p>
        </w:tc>
      </w:tr>
      <w:tr w:rsidR="001D007E" w:rsidTr="001D007E">
        <w:tc>
          <w:tcPr>
            <w:tcW w:w="4148" w:type="dxa"/>
          </w:tcPr>
          <w:p w:rsidR="001D007E" w:rsidRDefault="001D007E" w:rsidP="001D007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高风险</w:t>
            </w:r>
          </w:p>
        </w:tc>
        <w:tc>
          <w:tcPr>
            <w:tcW w:w="4148" w:type="dxa"/>
          </w:tcPr>
          <w:p w:rsidR="001D007E" w:rsidRDefault="001D007E" w:rsidP="001D007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应立即采取措施降低风险以及规避风险，避免造成太大的损失</w:t>
            </w:r>
          </w:p>
        </w:tc>
      </w:tr>
      <w:tr w:rsidR="001D007E" w:rsidTr="001D007E">
        <w:tc>
          <w:tcPr>
            <w:tcW w:w="4148" w:type="dxa"/>
          </w:tcPr>
          <w:p w:rsidR="001D007E" w:rsidRDefault="001D007E" w:rsidP="001D007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中风险</w:t>
            </w:r>
          </w:p>
        </w:tc>
        <w:tc>
          <w:tcPr>
            <w:tcW w:w="4148" w:type="dxa"/>
          </w:tcPr>
          <w:p w:rsidR="001D007E" w:rsidRDefault="001D007E" w:rsidP="001D007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需要采取一定的措施来规避和降低风险</w:t>
            </w:r>
          </w:p>
        </w:tc>
      </w:tr>
      <w:tr w:rsidR="001D007E" w:rsidTr="001D007E">
        <w:tc>
          <w:tcPr>
            <w:tcW w:w="4148" w:type="dxa"/>
          </w:tcPr>
          <w:p w:rsidR="001D007E" w:rsidRDefault="001D007E" w:rsidP="001D007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低风险</w:t>
            </w:r>
          </w:p>
        </w:tc>
        <w:tc>
          <w:tcPr>
            <w:tcW w:w="4148" w:type="dxa"/>
          </w:tcPr>
          <w:p w:rsidR="001D007E" w:rsidRDefault="001D007E" w:rsidP="001D007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造成的损失没有成本高可以接受</w:t>
            </w:r>
            <w:bookmarkStart w:id="0" w:name="_GoBack"/>
            <w:bookmarkEnd w:id="0"/>
          </w:p>
        </w:tc>
      </w:tr>
    </w:tbl>
    <w:p w:rsidR="001D007E" w:rsidRPr="001D007E" w:rsidRDefault="001D007E" w:rsidP="001D007E">
      <w:pPr>
        <w:rPr>
          <w:rFonts w:hint="eastAsia"/>
          <w:sz w:val="36"/>
          <w:szCs w:val="36"/>
        </w:rPr>
      </w:pPr>
    </w:p>
    <w:p w:rsidR="000301CC" w:rsidRPr="000301CC" w:rsidRDefault="000301CC" w:rsidP="000301CC">
      <w:pPr>
        <w:rPr>
          <w:rFonts w:hint="eastAsia"/>
          <w:sz w:val="36"/>
          <w:szCs w:val="36"/>
        </w:rPr>
      </w:pPr>
    </w:p>
    <w:sectPr w:rsidR="000301CC" w:rsidRPr="00030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2A2" w:rsidRDefault="00A012A2" w:rsidP="008B2166">
      <w:r>
        <w:separator/>
      </w:r>
    </w:p>
  </w:endnote>
  <w:endnote w:type="continuationSeparator" w:id="0">
    <w:p w:rsidR="00A012A2" w:rsidRDefault="00A012A2" w:rsidP="008B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2A2" w:rsidRDefault="00A012A2" w:rsidP="008B2166">
      <w:r>
        <w:separator/>
      </w:r>
    </w:p>
  </w:footnote>
  <w:footnote w:type="continuationSeparator" w:id="0">
    <w:p w:rsidR="00A012A2" w:rsidRDefault="00A012A2" w:rsidP="008B2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475"/>
    <w:multiLevelType w:val="hybridMultilevel"/>
    <w:tmpl w:val="89D055E4"/>
    <w:lvl w:ilvl="0" w:tplc="20EC61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AB669C"/>
    <w:multiLevelType w:val="hybridMultilevel"/>
    <w:tmpl w:val="B2201302"/>
    <w:lvl w:ilvl="0" w:tplc="D6A076C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6"/>
    <w:rsid w:val="000301CC"/>
    <w:rsid w:val="001D007E"/>
    <w:rsid w:val="0042381B"/>
    <w:rsid w:val="006E5A52"/>
    <w:rsid w:val="008B2166"/>
    <w:rsid w:val="008B5D5D"/>
    <w:rsid w:val="00A012A2"/>
    <w:rsid w:val="00A5247C"/>
    <w:rsid w:val="00ED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D226"/>
  <w15:chartTrackingRefBased/>
  <w15:docId w15:val="{F0A44663-8B5D-4F7E-A5B5-2032EBF1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2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21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1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21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21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6E5A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E5A52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6E5A52"/>
    <w:pPr>
      <w:ind w:firstLineChars="200" w:firstLine="420"/>
    </w:pPr>
  </w:style>
  <w:style w:type="table" w:styleId="aa">
    <w:name w:val="Table Grid"/>
    <w:basedOn w:val="a1"/>
    <w:uiPriority w:val="39"/>
    <w:rsid w:val="00030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D3355-8B76-446E-8D37-87A94382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2022-02-24T06:41:00Z</dcterms:created>
  <dcterms:modified xsi:type="dcterms:W3CDTF">2022-02-24T07:44:00Z</dcterms:modified>
</cp:coreProperties>
</file>