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0" w:firstLineChars="0"/>
        <w:rPr>
          <w:rFonts w:ascii="等线 Light" w:eastAsia="等线 Light"/>
          <w:sz w:val="32"/>
          <w:szCs w:val="32"/>
        </w:rPr>
      </w:pPr>
      <w:bookmarkStart w:id="3" w:name="_GoBack"/>
      <w:bookmarkEnd w:id="3"/>
      <w:bookmarkStart w:id="0" w:name="_Toc68119158"/>
      <w:r>
        <w:rPr>
          <w:rFonts w:hint="eastAsia" w:ascii="等线 Light" w:eastAsia="等线 Light"/>
          <w:sz w:val="32"/>
          <w:szCs w:val="32"/>
        </w:rPr>
        <w:t>5.3成本管理计划</w:t>
      </w:r>
      <w:bookmarkEnd w:id="0"/>
    </w:p>
    <w:p>
      <w:pPr>
        <w:pStyle w:val="4"/>
        <w:ind w:firstLine="560"/>
        <w:rPr>
          <w:rFonts w:ascii="等线 Light" w:eastAsia="等线 Light"/>
          <w:sz w:val="28"/>
          <w:szCs w:val="28"/>
        </w:rPr>
      </w:pPr>
      <w:bookmarkStart w:id="1" w:name="_Toc68119159"/>
      <w:r>
        <w:rPr>
          <w:rFonts w:hint="eastAsia" w:ascii="等线 Light" w:eastAsia="等线 Light"/>
          <w:sz w:val="28"/>
          <w:szCs w:val="28"/>
        </w:rPr>
        <w:t>5.3.1目的</w:t>
      </w:r>
      <w:bookmarkEnd w:id="1"/>
    </w:p>
    <w:p>
      <w:pPr>
        <w:pStyle w:val="5"/>
        <w:spacing w:before="255" w:beforeAutospacing="0" w:after="255" w:afterAutospacing="0" w:line="420" w:lineRule="atLeast"/>
        <w:ind w:firstLine="420"/>
        <w:rPr>
          <w:rFonts w:ascii="PingFang SC" w:hAnsi="PingFang SC" w:eastAsia="PingFang SC"/>
          <w:color w:val="333333"/>
        </w:rPr>
      </w:pPr>
      <w:bookmarkStart w:id="2" w:name="_Toc68119160"/>
      <w:r>
        <w:rPr>
          <w:rFonts w:hint="eastAsia" w:ascii="PingFang SC" w:hAnsi="PingFang SC" w:eastAsia="PingFang SC"/>
          <w:color w:val="333333"/>
        </w:rPr>
        <w:t>成本管理是企业管理的一个重要组成部分，它要求系统而全面、科学和合理，它对于促进增产节支、加强经济核算，改进企业管理，提高企业整体管理水平具有重大意义。成本管理是由成本规划、成本计算、成本控制和业绩评价四项内容组成：</w:t>
      </w:r>
    </w:p>
    <w:p>
      <w:pPr>
        <w:pStyle w:val="5"/>
        <w:spacing w:before="255" w:beforeAutospacing="0" w:after="255" w:afterAutospacing="0" w:line="420" w:lineRule="atLeast"/>
        <w:ind w:firstLine="420"/>
        <w:rPr>
          <w:rFonts w:hint="eastAsia" w:ascii="PingFang SC" w:hAnsi="PingFang SC" w:eastAsia="PingFang SC"/>
          <w:color w:val="333333"/>
        </w:rPr>
      </w:pPr>
      <w:r>
        <w:rPr>
          <w:rFonts w:hint="eastAsia" w:ascii="PingFang SC" w:hAnsi="PingFang SC" w:eastAsia="PingFang SC"/>
          <w:color w:val="333333"/>
        </w:rPr>
        <w:t>1、成本规划是根据企业的竞争战略和所处的经济环境制定的，也是对成本管理做出的规划，为具体的成本管理提供思路和总体要求。</w:t>
      </w:r>
    </w:p>
    <w:p>
      <w:pPr>
        <w:pStyle w:val="5"/>
        <w:spacing w:before="255" w:beforeAutospacing="0" w:after="255" w:afterAutospacing="0" w:line="420" w:lineRule="atLeast"/>
        <w:ind w:firstLine="420"/>
        <w:rPr>
          <w:rFonts w:hint="eastAsia" w:ascii="PingFang SC" w:hAnsi="PingFang SC" w:eastAsia="PingFang SC"/>
          <w:color w:val="333333"/>
        </w:rPr>
      </w:pPr>
      <w:r>
        <w:rPr>
          <w:rFonts w:hint="eastAsia" w:ascii="PingFang SC" w:hAnsi="PingFang SC" w:eastAsia="PingFang SC"/>
          <w:color w:val="333333"/>
        </w:rPr>
        <w:t>2、成本计算是成本管理系统的信息基础。</w:t>
      </w:r>
    </w:p>
    <w:p>
      <w:pPr>
        <w:pStyle w:val="5"/>
        <w:spacing w:before="255" w:beforeAutospacing="0" w:after="255" w:afterAutospacing="0" w:line="420" w:lineRule="atLeast"/>
        <w:ind w:firstLine="420"/>
        <w:rPr>
          <w:rFonts w:hint="eastAsia" w:ascii="PingFang SC" w:hAnsi="PingFang SC" w:eastAsia="PingFang SC"/>
          <w:color w:val="333333"/>
        </w:rPr>
      </w:pPr>
      <w:r>
        <w:rPr>
          <w:rFonts w:hint="eastAsia" w:ascii="PingFang SC" w:hAnsi="PingFang SC" w:eastAsia="PingFang SC"/>
          <w:color w:val="333333"/>
        </w:rPr>
        <w:t>3、成本控制是利用成本计算提供的信息，采取经济、技术和组织等手段实现降低成本或成本改善目的的一系列活动。</w:t>
      </w:r>
    </w:p>
    <w:p>
      <w:pPr>
        <w:pStyle w:val="5"/>
        <w:spacing w:before="255" w:beforeAutospacing="0" w:after="255" w:afterAutospacing="0" w:line="420" w:lineRule="atLeast"/>
        <w:ind w:firstLine="420"/>
        <w:rPr>
          <w:rFonts w:hint="eastAsia" w:ascii="PingFang SC" w:hAnsi="PingFang SC" w:eastAsia="PingFang SC"/>
          <w:color w:val="333333"/>
        </w:rPr>
      </w:pPr>
      <w:r>
        <w:rPr>
          <w:rFonts w:hint="eastAsia" w:ascii="PingFang SC" w:hAnsi="PingFang SC" w:eastAsia="PingFang SC"/>
          <w:color w:val="333333"/>
        </w:rPr>
        <w:t>4、业绩评价是对成本控制效果的评估，目的在于改进原有的成本控制活动和激励约束员工和团体的成本行为。</w:t>
      </w:r>
    </w:p>
    <w:p>
      <w:pPr>
        <w:pStyle w:val="4"/>
        <w:ind w:firstLine="560"/>
        <w:rPr>
          <w:rFonts w:ascii="等线 Light" w:eastAsia="等线 Light"/>
          <w:sz w:val="28"/>
          <w:szCs w:val="28"/>
        </w:rPr>
      </w:pPr>
      <w:r>
        <w:rPr>
          <w:rFonts w:hint="eastAsia" w:ascii="等线 Light" w:eastAsia="等线 Light"/>
          <w:sz w:val="28"/>
          <w:szCs w:val="28"/>
        </w:rPr>
        <w:t>5.3.2成本估算</w:t>
      </w:r>
      <w:bookmarkEnd w:id="2"/>
    </w:p>
    <w:p>
      <w:pPr>
        <w:pStyle w:val="10"/>
        <w:spacing w:line="412" w:lineRule="auto"/>
        <w:ind w:firstLine="0" w:firstLineChars="0"/>
        <w:rPr>
          <w:rFonts w:ascii="等线 Light" w:eastAsia="等线 Light"/>
          <w:sz w:val="24"/>
          <w:szCs w:val="24"/>
        </w:rPr>
      </w:pPr>
      <w:r>
        <w:rPr>
          <w:rFonts w:hint="eastAsia" w:ascii="等线 Light" w:hAnsi="等线 Light" w:eastAsia="等线 Light"/>
          <w:sz w:val="24"/>
          <w:szCs w:val="24"/>
        </w:rPr>
        <w:t>项目参与人数：</w:t>
      </w:r>
      <w:r>
        <w:rPr>
          <w:rFonts w:hint="eastAsia" w:ascii="等线 Light" w:eastAsia="等线 Light"/>
          <w:sz w:val="24"/>
          <w:szCs w:val="24"/>
        </w:rPr>
        <w:t>5人</w:t>
      </w:r>
    </w:p>
    <w:p>
      <w:pPr>
        <w:pStyle w:val="10"/>
        <w:spacing w:line="412" w:lineRule="auto"/>
        <w:ind w:firstLine="0" w:firstLineChars="0"/>
        <w:rPr>
          <w:rFonts w:ascii="等线 Light" w:eastAsia="等线 Light"/>
          <w:sz w:val="24"/>
          <w:szCs w:val="24"/>
        </w:rPr>
      </w:pPr>
      <w:r>
        <w:rPr>
          <w:rFonts w:hint="eastAsia" w:ascii="等线 Light" w:hAnsi="等线 Light" w:eastAsia="等线 Light"/>
          <w:sz w:val="24"/>
          <w:szCs w:val="24"/>
        </w:rPr>
        <w:t>项目持续时长：</w:t>
      </w:r>
      <w:r>
        <w:rPr>
          <w:rFonts w:ascii="等线 Light" w:eastAsia="等线 Light"/>
          <w:sz w:val="24"/>
          <w:szCs w:val="24"/>
        </w:rPr>
        <w:t>5</w:t>
      </w:r>
      <w:r>
        <w:rPr>
          <w:rFonts w:hint="eastAsia" w:ascii="等线 Light" w:eastAsia="等线 Light"/>
          <w:sz w:val="24"/>
          <w:szCs w:val="24"/>
        </w:rPr>
        <w:t>个月</w:t>
      </w:r>
    </w:p>
    <w:tbl>
      <w:tblPr>
        <w:tblStyle w:val="6"/>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559"/>
        <w:gridCol w:w="992"/>
        <w:gridCol w:w="1418"/>
        <w:gridCol w:w="3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ind w:firstLine="480"/>
              <w:rPr>
                <w:rFonts w:ascii="等线 Light" w:hAnsi="Calibri" w:eastAsia="等线 Light"/>
                <w:sz w:val="24"/>
                <w:szCs w:val="24"/>
              </w:rPr>
            </w:pPr>
            <w:r>
              <w:rPr>
                <w:rFonts w:hint="eastAsia" w:ascii="等线 Light" w:hAnsi="Calibri" w:eastAsia="等线 Light"/>
                <w:sz w:val="24"/>
                <w:szCs w:val="24"/>
              </w:rPr>
              <w:t>条目</w:t>
            </w:r>
          </w:p>
        </w:tc>
        <w:tc>
          <w:tcPr>
            <w:tcW w:w="1559" w:type="dxa"/>
            <w:tcBorders>
              <w:top w:val="single" w:color="auto" w:sz="4" w:space="0"/>
              <w:left w:val="nil"/>
              <w:bottom w:val="single" w:color="auto" w:sz="4" w:space="0"/>
              <w:right w:val="single" w:color="auto" w:sz="4" w:space="0"/>
            </w:tcBorders>
          </w:tcPr>
          <w:p>
            <w:pPr>
              <w:ind w:firstLine="480"/>
              <w:rPr>
                <w:rFonts w:ascii="等线 Light" w:hAnsi="Calibri" w:eastAsia="等线 Light"/>
                <w:sz w:val="24"/>
                <w:szCs w:val="24"/>
              </w:rPr>
            </w:pPr>
            <w:r>
              <w:rPr>
                <w:rFonts w:hint="eastAsia" w:ascii="等线 Light" w:hAnsi="Calibri" w:eastAsia="等线 Light"/>
                <w:sz w:val="24"/>
                <w:szCs w:val="24"/>
              </w:rPr>
              <w:t>单位</w:t>
            </w:r>
          </w:p>
        </w:tc>
        <w:tc>
          <w:tcPr>
            <w:tcW w:w="992" w:type="dxa"/>
            <w:tcBorders>
              <w:top w:val="single" w:color="auto" w:sz="4" w:space="0"/>
              <w:left w:val="nil"/>
              <w:bottom w:val="single" w:color="auto" w:sz="4" w:space="0"/>
              <w:right w:val="single" w:color="auto" w:sz="4" w:space="0"/>
            </w:tcBorders>
          </w:tcPr>
          <w:p>
            <w:pPr>
              <w:ind w:firstLine="480"/>
              <w:rPr>
                <w:rFonts w:ascii="等线 Light" w:hAnsi="Calibri" w:eastAsia="等线 Light"/>
                <w:sz w:val="24"/>
                <w:szCs w:val="24"/>
              </w:rPr>
            </w:pPr>
            <w:r>
              <w:rPr>
                <w:rFonts w:hint="eastAsia" w:ascii="等线 Light" w:hAnsi="Calibri" w:eastAsia="等线 Light"/>
                <w:sz w:val="24"/>
                <w:szCs w:val="24"/>
              </w:rPr>
              <w:t>数量</w:t>
            </w:r>
          </w:p>
        </w:tc>
        <w:tc>
          <w:tcPr>
            <w:tcW w:w="1418" w:type="dxa"/>
            <w:tcBorders>
              <w:top w:val="single" w:color="auto" w:sz="4" w:space="0"/>
              <w:left w:val="nil"/>
              <w:bottom w:val="single" w:color="auto" w:sz="4" w:space="0"/>
              <w:right w:val="single" w:color="auto" w:sz="4" w:space="0"/>
            </w:tcBorders>
          </w:tcPr>
          <w:p>
            <w:pPr>
              <w:ind w:firstLine="480"/>
              <w:rPr>
                <w:rFonts w:ascii="等线 Light" w:hAnsi="Calibri" w:eastAsia="等线 Light"/>
                <w:sz w:val="24"/>
                <w:szCs w:val="24"/>
              </w:rPr>
            </w:pPr>
            <w:r>
              <w:rPr>
                <w:rFonts w:hint="eastAsia" w:ascii="等线 Light" w:hAnsi="Calibri" w:eastAsia="等线 Light"/>
                <w:sz w:val="24"/>
                <w:szCs w:val="24"/>
              </w:rPr>
              <w:t>总预期经费</w:t>
            </w:r>
          </w:p>
        </w:tc>
        <w:tc>
          <w:tcPr>
            <w:tcW w:w="3453" w:type="dxa"/>
            <w:tcBorders>
              <w:top w:val="single" w:color="auto" w:sz="4" w:space="0"/>
              <w:left w:val="nil"/>
              <w:bottom w:val="single" w:color="auto" w:sz="4" w:space="0"/>
              <w:right w:val="single" w:color="auto" w:sz="4" w:space="0"/>
            </w:tcBorders>
          </w:tcPr>
          <w:p>
            <w:pPr>
              <w:ind w:firstLine="480"/>
              <w:rPr>
                <w:rFonts w:ascii="等线 Light" w:hAnsi="Calibri" w:eastAsia="等线 Light"/>
                <w:sz w:val="24"/>
                <w:szCs w:val="24"/>
              </w:rPr>
            </w:pPr>
            <w:r>
              <w:rPr>
                <w:rFonts w:hint="eastAsia" w:ascii="等线 Light" w:hAnsi="Calibri" w:eastAsia="等线 Light"/>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ind w:firstLine="480"/>
              <w:rPr>
                <w:rFonts w:ascii="等线 Light" w:hAnsi="Calibri" w:eastAsia="等线 Light"/>
                <w:sz w:val="24"/>
                <w:szCs w:val="24"/>
              </w:rPr>
            </w:pPr>
            <w:r>
              <w:rPr>
                <w:rFonts w:hint="eastAsia" w:ascii="等线 Light" w:hAnsi="Calibri" w:eastAsia="等线 Light"/>
                <w:sz w:val="24"/>
                <w:szCs w:val="24"/>
              </w:rPr>
              <w:t>人力成本</w:t>
            </w:r>
          </w:p>
        </w:tc>
        <w:tc>
          <w:tcPr>
            <w:tcW w:w="1559" w:type="dxa"/>
            <w:tcBorders>
              <w:top w:val="single" w:color="auto" w:sz="4" w:space="0"/>
              <w:left w:val="nil"/>
              <w:bottom w:val="single" w:color="auto" w:sz="4" w:space="0"/>
              <w:right w:val="single" w:color="auto" w:sz="4" w:space="0"/>
            </w:tcBorders>
          </w:tcPr>
          <w:p>
            <w:pPr>
              <w:ind w:firstLine="480"/>
              <w:rPr>
                <w:rFonts w:ascii="等线 Light" w:hAnsi="Calibri" w:eastAsia="等线 Light"/>
                <w:sz w:val="24"/>
                <w:szCs w:val="24"/>
              </w:rPr>
            </w:pPr>
            <w:r>
              <w:rPr>
                <w:rFonts w:hint="eastAsia" w:ascii="等线 Light" w:hAnsi="Calibri" w:eastAsia="等线 Light"/>
                <w:sz w:val="24"/>
                <w:szCs w:val="24"/>
              </w:rPr>
              <w:t>68元/小时</w:t>
            </w:r>
          </w:p>
        </w:tc>
        <w:tc>
          <w:tcPr>
            <w:tcW w:w="992" w:type="dxa"/>
            <w:tcBorders>
              <w:top w:val="single" w:color="auto" w:sz="4" w:space="0"/>
              <w:left w:val="nil"/>
              <w:bottom w:val="single" w:color="auto" w:sz="4" w:space="0"/>
              <w:right w:val="single" w:color="auto" w:sz="4" w:space="0"/>
            </w:tcBorders>
          </w:tcPr>
          <w:p>
            <w:pPr>
              <w:ind w:firstLine="0" w:firstLineChars="0"/>
              <w:rPr>
                <w:rFonts w:ascii="等线 Light" w:hAnsi="Calibri" w:eastAsia="等线 Light"/>
                <w:sz w:val="24"/>
                <w:szCs w:val="24"/>
              </w:rPr>
            </w:pPr>
            <w:r>
              <w:rPr>
                <w:rFonts w:hint="eastAsia" w:ascii="等线 Light" w:hAnsi="Calibri" w:eastAsia="等线 Light"/>
                <w:sz w:val="24"/>
                <w:szCs w:val="24"/>
              </w:rPr>
              <w:t>见甘特图</w:t>
            </w:r>
          </w:p>
        </w:tc>
        <w:tc>
          <w:tcPr>
            <w:tcW w:w="1418" w:type="dxa"/>
            <w:tcBorders>
              <w:top w:val="single" w:color="auto" w:sz="4" w:space="0"/>
              <w:left w:val="nil"/>
              <w:bottom w:val="single" w:color="auto" w:sz="4" w:space="0"/>
              <w:right w:val="single" w:color="auto" w:sz="4" w:space="0"/>
            </w:tcBorders>
          </w:tcPr>
          <w:p>
            <w:pPr>
              <w:ind w:firstLine="480"/>
              <w:rPr>
                <w:rFonts w:ascii="等线 Light" w:hAnsi="Calibri" w:eastAsia="等线 Light"/>
                <w:sz w:val="24"/>
                <w:szCs w:val="24"/>
              </w:rPr>
            </w:pPr>
            <w:r>
              <w:rPr>
                <w:rFonts w:hint="eastAsia" w:ascii="等线 Light" w:hAnsi="Calibri" w:eastAsia="等线 Light"/>
                <w:sz w:val="24"/>
                <w:szCs w:val="24"/>
              </w:rPr>
              <w:t>2</w:t>
            </w:r>
            <w:r>
              <w:rPr>
                <w:rFonts w:ascii="等线 Light" w:hAnsi="Calibri" w:eastAsia="等线 Light"/>
                <w:sz w:val="24"/>
                <w:szCs w:val="24"/>
              </w:rPr>
              <w:t>0000</w:t>
            </w:r>
            <w:r>
              <w:rPr>
                <w:rFonts w:hint="eastAsia" w:ascii="等线 Light" w:hAnsi="Calibri" w:eastAsia="等线 Light"/>
                <w:sz w:val="24"/>
                <w:szCs w:val="24"/>
              </w:rPr>
              <w:t>元</w:t>
            </w:r>
          </w:p>
        </w:tc>
        <w:tc>
          <w:tcPr>
            <w:tcW w:w="3453" w:type="dxa"/>
            <w:tcBorders>
              <w:top w:val="single" w:color="auto" w:sz="4" w:space="0"/>
              <w:left w:val="nil"/>
              <w:bottom w:val="single" w:color="auto" w:sz="4" w:space="0"/>
              <w:right w:val="single" w:color="auto" w:sz="4" w:space="0"/>
            </w:tcBorders>
          </w:tcPr>
          <w:p>
            <w:pPr>
              <w:widowControl/>
              <w:spacing w:line="240" w:lineRule="auto"/>
              <w:ind w:firstLine="0" w:firstLineChars="0"/>
              <w:jc w:val="left"/>
              <w:rPr>
                <w:rFonts w:ascii="楷体-简" w:hAnsi="楷体-简" w:eastAsia="楷体-简"/>
              </w:rPr>
            </w:pPr>
            <w:r>
              <w:rPr>
                <w:rFonts w:ascii="等线 Light" w:hAnsi="等线 Light" w:eastAsia="等线 Light"/>
                <w:color w:val="121212"/>
                <w:sz w:val="24"/>
                <w:szCs w:val="24"/>
                <w:shd w:val="clear" w:color="auto" w:fill="FFFFFF"/>
              </w:rPr>
              <w:t>2021年3月采集数据124176条，2021年3月全国程序员平均工资15189元，工资中位数12500元，其中95%的人的工资介于5250元到37500元</w:t>
            </w:r>
            <w:r>
              <w:rPr>
                <w:rFonts w:hint="eastAsia" w:ascii="等线 Light" w:hAnsi="等线 Light" w:eastAsia="等线 Light"/>
                <w:color w:val="121212"/>
                <w:sz w:val="24"/>
                <w:szCs w:val="24"/>
                <w:shd w:val="clear" w:color="auto" w:fill="FFFFFF"/>
              </w:rPr>
              <w:t>，计算可得人均每小时工资</w:t>
            </w:r>
            <w:r>
              <w:rPr>
                <w:rFonts w:ascii="等线 Light" w:hAnsi="等线 Light" w:eastAsia="等线 Light"/>
                <w:color w:val="121212"/>
                <w:sz w:val="24"/>
                <w:szCs w:val="24"/>
                <w:shd w:val="clear" w:color="auto" w:fill="FFFFFF"/>
              </w:rPr>
              <w:t>85.22</w:t>
            </w:r>
            <w:r>
              <w:rPr>
                <w:rFonts w:hint="eastAsia" w:ascii="等线 Light" w:hAnsi="等线 Light" w:eastAsia="等线 Light"/>
                <w:color w:val="121212"/>
                <w:sz w:val="24"/>
                <w:szCs w:val="24"/>
                <w:shd w:val="clear" w:color="auto" w:fill="FFFFFF"/>
              </w:rPr>
              <w:t>元，</w:t>
            </w:r>
            <w:r>
              <w:rPr>
                <w:rFonts w:hint="eastAsia" w:ascii="等线 Light" w:hAnsi="等线 Light" w:eastAsia="等线 Light"/>
                <w:sz w:val="24"/>
                <w:szCs w:val="24"/>
              </w:rPr>
              <w:t>按照每人每天（非周末）工作一个半小时，周末两天每天工作二个小时，一周工作七天，一共十六周。大致计算得总薪酬：</w:t>
            </w:r>
            <w:r>
              <w:rPr>
                <w:rFonts w:ascii="等线 Light" w:hAnsi="等线 Light" w:eastAsia="等线 Light"/>
                <w:sz w:val="24"/>
                <w:szCs w:val="24"/>
              </w:rPr>
              <w:t>15640</w:t>
            </w:r>
            <w:r>
              <w:rPr>
                <w:rFonts w:hint="eastAsia" w:ascii="等线 Light" w:hAnsi="等线 Light" w:eastAsia="等线 Light"/>
                <w:sz w:val="24"/>
                <w:szCs w:val="24"/>
              </w:rPr>
              <w:t>元。包含节假日</w:t>
            </w:r>
            <w:r>
              <w:rPr>
                <w:rFonts w:hint="eastAsia" w:ascii="楷体-简" w:hAnsi="楷体-简" w:eastAsia="楷体-简"/>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文本印刷</w:t>
            </w:r>
          </w:p>
        </w:tc>
        <w:tc>
          <w:tcPr>
            <w:tcW w:w="1559"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ascii="等线 Light" w:eastAsia="等线 Light"/>
                <w:sz w:val="24"/>
                <w:szCs w:val="24"/>
              </w:rPr>
              <w:t>0.1</w:t>
            </w:r>
            <w:r>
              <w:rPr>
                <w:rFonts w:hint="eastAsia" w:ascii="等线 Light" w:eastAsia="等线 Light"/>
                <w:sz w:val="24"/>
                <w:szCs w:val="24"/>
              </w:rPr>
              <w:t>元/A</w:t>
            </w:r>
            <w:r>
              <w:rPr>
                <w:rFonts w:ascii="等线 Light" w:eastAsia="等线 Light"/>
                <w:sz w:val="24"/>
                <w:szCs w:val="24"/>
              </w:rPr>
              <w:t>4</w:t>
            </w:r>
            <w:r>
              <w:rPr>
                <w:rFonts w:hint="eastAsia" w:ascii="等线 Light" w:eastAsia="等线 Light"/>
                <w:sz w:val="24"/>
                <w:szCs w:val="24"/>
              </w:rPr>
              <w:t>打印面</w:t>
            </w:r>
          </w:p>
        </w:tc>
        <w:tc>
          <w:tcPr>
            <w:tcW w:w="992"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w:t>
            </w:r>
          </w:p>
        </w:tc>
        <w:tc>
          <w:tcPr>
            <w:tcW w:w="1418"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ascii="等线 Light" w:eastAsia="等线 Light"/>
                <w:sz w:val="24"/>
                <w:szCs w:val="24"/>
              </w:rPr>
              <w:t>500</w:t>
            </w:r>
            <w:r>
              <w:rPr>
                <w:rFonts w:hint="eastAsia" w:ascii="等线 Light" w:eastAsia="等线 Light"/>
                <w:sz w:val="24"/>
                <w:szCs w:val="24"/>
              </w:rPr>
              <w:t>元</w:t>
            </w:r>
          </w:p>
        </w:tc>
        <w:tc>
          <w:tcPr>
            <w:tcW w:w="3453"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打印资料和报告等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场地成本</w:t>
            </w:r>
          </w:p>
        </w:tc>
        <w:tc>
          <w:tcPr>
            <w:tcW w:w="1559"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w:t>
            </w:r>
          </w:p>
        </w:tc>
        <w:tc>
          <w:tcPr>
            <w:tcW w:w="992"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w:t>
            </w:r>
          </w:p>
        </w:tc>
        <w:tc>
          <w:tcPr>
            <w:tcW w:w="1418"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w:t>
            </w:r>
          </w:p>
        </w:tc>
        <w:tc>
          <w:tcPr>
            <w:tcW w:w="3453"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活动场地通常为寝室、图书馆、教室，不需要为此支出经费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学习成本</w:t>
            </w:r>
          </w:p>
        </w:tc>
        <w:tc>
          <w:tcPr>
            <w:tcW w:w="1559"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w:t>
            </w:r>
          </w:p>
        </w:tc>
        <w:tc>
          <w:tcPr>
            <w:tcW w:w="992"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w:t>
            </w:r>
          </w:p>
        </w:tc>
        <w:tc>
          <w:tcPr>
            <w:tcW w:w="1418"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w:t>
            </w:r>
          </w:p>
        </w:tc>
        <w:tc>
          <w:tcPr>
            <w:tcW w:w="3453"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项目中需要的知识准备可以在课本和网上等地方找到免费资源。课本费用不在本项目成本计算中。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阿里云服务器</w:t>
            </w:r>
          </w:p>
        </w:tc>
        <w:tc>
          <w:tcPr>
            <w:tcW w:w="1559"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ascii="等线 Light" w:eastAsia="等线 Light"/>
                <w:sz w:val="24"/>
                <w:szCs w:val="24"/>
              </w:rPr>
              <w:t>79</w:t>
            </w:r>
            <w:r>
              <w:rPr>
                <w:rFonts w:hint="eastAsia" w:ascii="等线 Light" w:eastAsia="等线 Light"/>
                <w:sz w:val="24"/>
                <w:szCs w:val="24"/>
              </w:rPr>
              <w:t>元/年</w:t>
            </w:r>
          </w:p>
        </w:tc>
        <w:tc>
          <w:tcPr>
            <w:tcW w:w="992"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一年</w:t>
            </w:r>
          </w:p>
        </w:tc>
        <w:tc>
          <w:tcPr>
            <w:tcW w:w="1418"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ascii="等线 Light" w:eastAsia="等线 Light"/>
                <w:sz w:val="24"/>
                <w:szCs w:val="24"/>
              </w:rPr>
              <w:t>79</w:t>
            </w:r>
            <w:r>
              <w:rPr>
                <w:rFonts w:hint="eastAsia" w:ascii="等线 Light" w:eastAsia="等线 Light"/>
                <w:sz w:val="24"/>
                <w:szCs w:val="24"/>
              </w:rPr>
              <w:t>元</w:t>
            </w:r>
          </w:p>
        </w:tc>
        <w:tc>
          <w:tcPr>
            <w:tcW w:w="3453"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阿里云服务器特惠价一年，足够本学期的使用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软件成本</w:t>
            </w:r>
          </w:p>
        </w:tc>
        <w:tc>
          <w:tcPr>
            <w:tcW w:w="1559"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w:t>
            </w:r>
          </w:p>
        </w:tc>
        <w:tc>
          <w:tcPr>
            <w:tcW w:w="992"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w:t>
            </w:r>
          </w:p>
        </w:tc>
        <w:tc>
          <w:tcPr>
            <w:tcW w:w="1418"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w:t>
            </w:r>
          </w:p>
        </w:tc>
        <w:tc>
          <w:tcPr>
            <w:tcW w:w="3453"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本项目所用软件皆为教育版和开源软件，不需要这方面支出。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活动交流（团队建设）</w:t>
            </w:r>
          </w:p>
        </w:tc>
        <w:tc>
          <w:tcPr>
            <w:tcW w:w="1559"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ascii="等线 Light" w:eastAsia="等线 Light"/>
                <w:sz w:val="24"/>
                <w:szCs w:val="24"/>
              </w:rPr>
              <w:t>500</w:t>
            </w:r>
            <w:r>
              <w:rPr>
                <w:rFonts w:hint="eastAsia" w:ascii="等线 Light" w:eastAsia="等线 Light"/>
                <w:sz w:val="24"/>
                <w:szCs w:val="24"/>
              </w:rPr>
              <w:t>元/次</w:t>
            </w:r>
          </w:p>
        </w:tc>
        <w:tc>
          <w:tcPr>
            <w:tcW w:w="992"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3</w:t>
            </w:r>
          </w:p>
        </w:tc>
        <w:tc>
          <w:tcPr>
            <w:tcW w:w="1418"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ascii="等线 Light" w:eastAsia="等线 Light"/>
                <w:sz w:val="24"/>
                <w:szCs w:val="24"/>
              </w:rPr>
              <w:t>1500</w:t>
            </w:r>
          </w:p>
        </w:tc>
        <w:tc>
          <w:tcPr>
            <w:tcW w:w="3453"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项目开始和结尾各一次团建，项目中间阶段也进行一次团建，激励大家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总计</w:t>
            </w:r>
          </w:p>
        </w:tc>
        <w:tc>
          <w:tcPr>
            <w:tcW w:w="1559"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w:t>
            </w:r>
          </w:p>
        </w:tc>
        <w:tc>
          <w:tcPr>
            <w:tcW w:w="992"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w:t>
            </w:r>
          </w:p>
        </w:tc>
        <w:tc>
          <w:tcPr>
            <w:tcW w:w="1418"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w:t>
            </w:r>
          </w:p>
        </w:tc>
        <w:tc>
          <w:tcPr>
            <w:tcW w:w="3453" w:type="dxa"/>
            <w:tcBorders>
              <w:top w:val="single" w:color="auto" w:sz="4" w:space="0"/>
              <w:left w:val="nil"/>
              <w:bottom w:val="single" w:color="auto" w:sz="4" w:space="0"/>
              <w:right w:val="single" w:color="auto" w:sz="4" w:space="0"/>
            </w:tcBorders>
          </w:tcPr>
          <w:p>
            <w:pPr>
              <w:pStyle w:val="10"/>
              <w:ind w:firstLine="0" w:firstLineChars="0"/>
              <w:jc w:val="left"/>
              <w:rPr>
                <w:rFonts w:ascii="等线 Light" w:eastAsia="等线 Light"/>
                <w:sz w:val="24"/>
                <w:szCs w:val="24"/>
              </w:rPr>
            </w:pPr>
            <w:r>
              <w:rPr>
                <w:rFonts w:hint="eastAsia" w:ascii="等线 Light" w:eastAsia="等线 Light"/>
                <w:sz w:val="24"/>
                <w:szCs w:val="24"/>
              </w:rPr>
              <w:t>总计2</w:t>
            </w:r>
            <w:r>
              <w:rPr>
                <w:rFonts w:ascii="等线 Light" w:eastAsia="等线 Light"/>
                <w:sz w:val="24"/>
                <w:szCs w:val="24"/>
              </w:rPr>
              <w:t>2079</w:t>
            </w:r>
          </w:p>
        </w:tc>
      </w:tr>
    </w:tbl>
    <w:p>
      <w:pPr>
        <w:pStyle w:val="10"/>
        <w:spacing w:line="412" w:lineRule="auto"/>
        <w:ind w:firstLine="425" w:firstLineChars="0"/>
        <w:rPr>
          <w:rFonts w:ascii="等线 Light" w:eastAsia="等线 Light"/>
          <w:sz w:val="24"/>
          <w:szCs w:val="24"/>
        </w:rPr>
      </w:pPr>
      <w:r>
        <w:rPr>
          <w:rFonts w:hint="eastAsia" w:ascii="等线 Light" w:hAnsi="等线 Light" w:eastAsia="等线 Light"/>
          <w:sz w:val="24"/>
          <w:szCs w:val="24"/>
        </w:rPr>
        <w:t>备注：人力成本中的单位成本参考自</w:t>
      </w:r>
      <w:r>
        <w:rPr>
          <w:rFonts w:hint="eastAsia" w:ascii="等线 Light" w:eastAsia="等线 Light"/>
          <w:sz w:val="24"/>
          <w:szCs w:val="24"/>
        </w:rPr>
        <w:t>2</w:t>
      </w:r>
      <w:r>
        <w:rPr>
          <w:rFonts w:ascii="等线 Light" w:eastAsia="等线 Light"/>
          <w:sz w:val="24"/>
          <w:szCs w:val="24"/>
        </w:rPr>
        <w:t>021</w:t>
      </w:r>
      <w:r>
        <w:rPr>
          <w:rFonts w:hint="eastAsia" w:ascii="等线 Light" w:eastAsia="等线 Light"/>
          <w:sz w:val="24"/>
          <w:szCs w:val="24"/>
        </w:rPr>
        <w:t>年度杭州市人均收入（每小时）。</w:t>
      </w:r>
    </w:p>
    <w:p>
      <w:pPr>
        <w:ind w:firstLine="420"/>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PingFang SC">
    <w:altName w:val="宋体"/>
    <w:panose1 w:val="020B0400000000000000"/>
    <w:charset w:val="86"/>
    <w:family w:val="swiss"/>
    <w:pitch w:val="default"/>
    <w:sig w:usb0="00000000" w:usb1="00000000" w:usb2="00000017" w:usb3="00000000" w:csb0="00040001" w:csb1="00000000"/>
  </w:font>
  <w:font w:name="楷体-简">
    <w:altName w:val="宋体"/>
    <w:panose1 w:val="02010600040101010101"/>
    <w:charset w:val="86"/>
    <w:family w:val="auto"/>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7C"/>
    <w:rsid w:val="00055B84"/>
    <w:rsid w:val="00116457"/>
    <w:rsid w:val="0044007C"/>
    <w:rsid w:val="006B0F2C"/>
    <w:rsid w:val="00CF1AE9"/>
    <w:rsid w:val="7AAC7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1"/>
      <w:szCs w:val="20"/>
      <w:lang w:val="en-US" w:eastAsia="zh-CN" w:bidi="ar-SA"/>
    </w:rPr>
  </w:style>
  <w:style w:type="paragraph" w:styleId="2">
    <w:name w:val="heading 2"/>
    <w:basedOn w:val="1"/>
    <w:next w:val="3"/>
    <w:link w:val="8"/>
    <w:qFormat/>
    <w:uiPriority w:val="0"/>
    <w:pPr>
      <w:keepNext/>
      <w:keepLines/>
      <w:spacing w:before="260" w:after="260" w:line="416" w:lineRule="auto"/>
      <w:outlineLvl w:val="1"/>
    </w:pPr>
    <w:rPr>
      <w:rFonts w:ascii="Arial" w:hAnsi="Arial" w:eastAsia="黑体"/>
      <w:b/>
      <w:sz w:val="28"/>
    </w:rPr>
  </w:style>
  <w:style w:type="paragraph" w:styleId="4">
    <w:name w:val="heading 3"/>
    <w:basedOn w:val="1"/>
    <w:next w:val="1"/>
    <w:link w:val="9"/>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Normal Indent"/>
    <w:basedOn w:val="1"/>
    <w:semiHidden/>
    <w:unhideWhenUsed/>
    <w:uiPriority w:val="99"/>
    <w:pPr>
      <w:ind w:firstLine="420"/>
    </w:pPr>
  </w:style>
  <w:style w:type="paragraph" w:styleId="5">
    <w:name w:val="Normal (Web)"/>
    <w:basedOn w:val="1"/>
    <w:semiHidden/>
    <w:unhideWhenUsed/>
    <w:uiPriority w:val="99"/>
    <w:pPr>
      <w:widowControl/>
      <w:spacing w:before="100" w:beforeAutospacing="1" w:after="100" w:afterAutospacing="1" w:line="240" w:lineRule="auto"/>
      <w:ind w:firstLine="0" w:firstLineChars="0"/>
      <w:jc w:val="left"/>
    </w:pPr>
    <w:rPr>
      <w:rFonts w:ascii="宋体" w:hAnsi="宋体" w:cs="宋体"/>
      <w:kern w:val="0"/>
      <w:sz w:val="24"/>
      <w:szCs w:val="24"/>
    </w:rPr>
  </w:style>
  <w:style w:type="character" w:customStyle="1" w:styleId="8">
    <w:name w:val="标题 2 字符"/>
    <w:basedOn w:val="7"/>
    <w:link w:val="2"/>
    <w:uiPriority w:val="0"/>
    <w:rPr>
      <w:rFonts w:ascii="Arial" w:hAnsi="Arial" w:eastAsia="黑体" w:cs="Times New Roman"/>
      <w:b/>
      <w:sz w:val="28"/>
      <w:szCs w:val="20"/>
    </w:rPr>
  </w:style>
  <w:style w:type="character" w:customStyle="1" w:styleId="9">
    <w:name w:val="标题 3 字符"/>
    <w:basedOn w:val="7"/>
    <w:link w:val="4"/>
    <w:qFormat/>
    <w:uiPriority w:val="9"/>
    <w:rPr>
      <w:rFonts w:ascii="Times New Roman" w:hAnsi="Times New Roman" w:eastAsia="宋体" w:cs="Times New Roman"/>
      <w:b/>
      <w:bCs/>
      <w:sz w:val="32"/>
      <w:szCs w:val="32"/>
    </w:rPr>
  </w:style>
  <w:style w:type="paragraph" w:customStyle="1" w:styleId="10">
    <w:name w:val="列表段落1"/>
    <w:basedOn w:val="1"/>
    <w:uiPriority w:val="0"/>
    <w:pPr>
      <w:ind w:firstLine="420"/>
    </w:pPr>
    <w:rPr>
      <w:rFonts w:ascii="Calibri" w:hAnsi="Calibri"/>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130</Words>
  <Characters>742</Characters>
  <Lines>6</Lines>
  <Paragraphs>1</Paragraphs>
  <TotalTime>8</TotalTime>
  <ScaleCrop>false</ScaleCrop>
  <LinksUpToDate>false</LinksUpToDate>
  <CharactersWithSpaces>871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2022-02-24T14:28:00Z</dcterms:created>
  <dc:creator>dxq</dc:creator>
  <cp:lastModifiedBy>软软</cp:lastModifiedBy>
  <dcterms:modified xsi:type="dcterms:W3CDTF">2022-03-08T08:32:56Z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