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il" w:color="FFFFFF" w:sz="0"/>
              <w:left w:val="nil" w:color="FFFFFF" w:sz="0"/>
              <w:bottom w:val="nil" w:color="FFFFFF" w:sz="0"/>
              <w:right w:val="nil" w:color="FFFFFF" w:sz="0"/>
            </w:tcBorders>
            <w:shd w:fill="1F4E79" w:val="clear"/>
            <w:tcMar>
              <w:top w:type="dxa" w:w="200"/>
              <w:left w:type="dxa" w:w="300"/>
              <w:bottom w:type="dxa" w:w="160"/>
              <w:right w:type="dxa" w:w="300"/>
            </w:tcMar>
          </w:tcPr>
          <w:p>
            <w:pPr>
              <w:jc w:val="center"/>
            </w:pPr>
            <w:r>
              <w:rPr>
                <w:rFonts w:ascii="Arial" w:cs="Arial" w:eastAsia="Arial" w:hAnsi="Arial"/>
                <w:b/>
                <w:bCs/>
                <w:caps/>
                <w:color w:val="8EC6E8"/>
                <w:sz w:val="20"/>
                <w:szCs w:val="20"/>
              </w:rPr>
              <w:t xml:space="preserve">LITERATURE REVIEW</w:t>
            </w:r>
          </w:p>
          <w:p>
            <w:pPr>
              <w:spacing w:before="60"/>
              <w:jc w:val="center"/>
            </w:pPr>
            <w:r>
              <w:rPr>
                <w:rFonts w:ascii="Arial" w:cs="Arial" w:eastAsia="Arial" w:hAnsi="Arial"/>
                <w:b/>
                <w:bCs/>
                <w:color w:val="FFFFFF"/>
                <w:sz w:val="42"/>
                <w:szCs w:val="42"/>
              </w:rPr>
              <w:t xml:space="preserve">Developer DNA Matrix</w:t>
            </w:r>
          </w:p>
          <w:p>
            <w:pPr>
              <w:spacing w:after="80" w:before="40"/>
              <w:jc w:val="center"/>
            </w:pPr>
            <w:r>
              <w:rPr>
                <w:rFonts w:ascii="Arial" w:cs="Arial" w:eastAsia="Arial" w:hAnsi="Arial"/>
                <w:color w:val="8EC6E8"/>
                <w:sz w:val="26"/>
                <w:szCs w:val="26"/>
              </w:rPr>
              <w:t xml:space="preserve">Phase 3: Ensemble &amp; Continuous Score</w:t>
            </w:r>
          </w:p>
          <w:p>
            <w:pPr>
              <w:jc w:val="center"/>
            </w:pPr>
            <w:r>
              <w:rPr>
                <w:rFonts w:ascii="Arial" w:cs="Arial" w:eastAsia="Arial" w:hAnsi="Arial"/>
                <w:color w:val="A8C8E0"/>
                <w:sz w:val="20"/>
                <w:szCs w:val="20"/>
              </w:rPr>
              <w:t xml:space="preserve">Advanced Machine Learning &amp; Deep Learning</w:t>
            </w:r>
          </w:p>
        </w:tc>
      </w:tr>
    </w:tbl>
    <w:p>
      <w:pPr>
        <w:spacing w:after="0" w:before="20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gridCol w:w="3240"/>
      </w:tblGrid>
      <w:tr>
        <w:tc>
          <w:tcPr>
            <w:tcW w:type="dxa" w:w="3240"/>
            <w:tcBorders>
              <w:top w:val="single" w:color="C5D9EE" w:sz="1"/>
              <w:left w:val="single" w:color="C5D9EE" w:sz="1"/>
              <w:bottom w:val="single" w:color="C5D9EE" w:sz="1"/>
              <w:right w:val="single" w:color="C5D9EE" w:sz="1"/>
            </w:tcBorders>
            <w:shd w:fill="F2F7FC"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Phase 1</w:t>
            </w:r>
          </w:p>
          <w:p>
            <w:pPr>
              <w:jc w:val="center"/>
            </w:pPr>
            <w:r>
              <w:rPr>
                <w:rFonts w:ascii="Arial" w:cs="Arial" w:eastAsia="Arial" w:hAnsi="Arial"/>
                <w:color w:val="1A1A2E"/>
                <w:sz w:val="18"/>
                <w:szCs w:val="18"/>
              </w:rPr>
              <w:t xml:space="preserve">SVM RBF — F1 = 0.8116</w:t>
            </w:r>
          </w:p>
        </w:tc>
        <w:tc>
          <w:tcPr>
            <w:tcW w:type="dxa" w:w="3240"/>
            <w:tcBorders>
              <w:top w:val="single" w:color="C5D9EE" w:sz="1"/>
              <w:left w:val="single" w:color="C5D9EE" w:sz="1"/>
              <w:bottom w:val="single" w:color="C5D9EE" w:sz="1"/>
              <w:right w:val="single" w:color="C5D9EE" w:sz="1"/>
            </w:tcBorders>
            <w:shd w:fill="F2F7FC"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Phase 2</w:t>
            </w:r>
          </w:p>
          <w:p>
            <w:pPr>
              <w:jc w:val="center"/>
            </w:pPr>
            <w:r>
              <w:rPr>
                <w:rFonts w:ascii="Arial" w:cs="Arial" w:eastAsia="Arial" w:hAnsi="Arial"/>
                <w:color w:val="1A1A2E"/>
                <w:sz w:val="18"/>
                <w:szCs w:val="18"/>
              </w:rPr>
              <w:t xml:space="preserve">MLP — F1 = 0.8164</w:t>
            </w:r>
          </w:p>
        </w:tc>
        <w:tc>
          <w:tcPr>
            <w:tcW w:type="dxa" w:w="3240"/>
            <w:tcBorders>
              <w:top w:val="single" w:color="C5D9EE" w:sz="1"/>
              <w:left w:val="single" w:color="C5D9EE" w:sz="1"/>
              <w:bottom w:val="single" w:color="C5D9EE" w:sz="1"/>
              <w:right w:val="single" w:color="C5D9EE"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 3 ★ Current</w:t>
            </w:r>
          </w:p>
          <w:p>
            <w:pPr>
              <w:jc w:val="center"/>
            </w:pPr>
            <w:r>
              <w:rPr>
                <w:rFonts w:ascii="Arial" w:cs="Arial" w:eastAsia="Arial" w:hAnsi="Arial"/>
                <w:color w:val="D6EAFF"/>
                <w:sz w:val="18"/>
                <w:szCs w:val="18"/>
              </w:rPr>
              <w:t xml:space="preserve">Ensemble — Best F1</w:t>
            </w:r>
          </w:p>
        </w:tc>
      </w:tr>
    </w:tbl>
    <w:p>
      <w:pPr>
        <w:spacing w:after="0" w:before="300"/>
      </w:pPr>
      <w:r>
        <w:t xml:space="preserve"/>
      </w:r>
    </w:p>
    <w:p>
      <w:pPr>
        <w:spacing w:after="80" w:before="80"/>
        <w:jc w:val="both"/>
      </w:pPr>
      <w:r>
        <w:rPr>
          <w:rFonts w:ascii="Arial" w:cs="Arial" w:eastAsia="Arial" w:hAnsi="Arial"/>
          <w:color w:val="1A1A2E"/>
          <w:sz w:val="22"/>
          <w:szCs w:val="22"/>
        </w:rPr>
        <w:t xml:space="preserve">Phase 3 of the Developer DNA Matrix (DDM) project builds on a substantially richer intellectual foundation than the prior two phases. Phases 1 and 2 drew primarily on personnel selection validity research and foundational machine learning and deep learning literature. Phase 3 expands this foundation in three directions that directly respond to the structural limitations identified at the close of Phase 2: (1) ensemble methods and gradient boosting theory to support the GBM-based architecture, (2) data-centric AI and synthetic data generation to underpin the redesigned 7,200-profile dataset, and (3) continuous scoring and calibration theory to support the shift from categorical tier output to a recruiter-actionable 0–100 DNA Score. Each section below identifies the specific design decisions in Phase 3 that the reviewed literature directly motivates.</w:t>
      </w:r>
    </w:p>
    <w:p>
      <w:pPr>
        <w:spacing w:after="0" w:before="200"/>
      </w:pPr>
      <w:r>
        <w:t xml:space="preserve"/>
      </w:r>
    </w:p>
    <w:p>
      <w:pPr>
        <w:pBdr>
          <w:bottom w:val="single" w:color="2E75B6" w:sz="4" w:space="4"/>
        </w:pBdr>
        <w:spacing w:after="120" w:before="360"/>
      </w:pPr>
      <w:r>
        <w:rPr>
          <w:rFonts w:ascii="Arial" w:cs="Arial" w:eastAsia="Arial" w:hAnsi="Arial"/>
          <w:b/>
          <w:bCs/>
          <w:color w:val="1F4E79"/>
          <w:sz w:val="28"/>
          <w:szCs w:val="28"/>
        </w:rPr>
        <w:t xml:space="preserve">2.1  Ensemble Methods and Gradient Boosting</w:t>
      </w:r>
    </w:p>
    <w:p>
      <w:pPr>
        <w:spacing w:after="80" w:before="80"/>
        <w:jc w:val="both"/>
      </w:pPr>
      <w:r>
        <w:rPr>
          <w:rFonts w:ascii="Arial" w:cs="Arial" w:eastAsia="Arial" w:hAnsi="Arial"/>
          <w:color w:val="1A1A2E"/>
          <w:sz w:val="22"/>
          <w:szCs w:val="22"/>
        </w:rPr>
        <w:t xml:space="preserve">The central architectural innovation in Phase 3 is the soft-vote ensemble combining GBM, MLP, and SVM. The theoretical basis for ensemble superiority over any single constituent model is well-established, but the specific properties that motivate Phase 3's design choices are worth reviewing precisely.</w:t>
      </w:r>
    </w:p>
    <w:p>
      <w:pPr>
        <w:spacing w:after="0" w:before="120"/>
      </w:pPr>
      <w:r>
        <w:t xml:space="preserve"/>
      </w:r>
    </w:p>
    <w:p>
      <w:pPr>
        <w:spacing w:after="80" w:before="240"/>
      </w:pPr>
      <w:r>
        <w:rPr>
          <w:rFonts w:ascii="Arial" w:cs="Arial" w:eastAsia="Arial" w:hAnsi="Arial"/>
          <w:b/>
          <w:bCs/>
          <w:color w:val="2E75B6"/>
          <w:sz w:val="24"/>
          <w:szCs w:val="24"/>
        </w:rPr>
        <w:t xml:space="preserve">Foundational Ensemble Theory</w:t>
      </w:r>
    </w:p>
    <w:p>
      <w:pPr>
        <w:spacing w:after="80" w:before="80"/>
        <w:jc w:val="both"/>
      </w:pPr>
      <w:r>
        <w:rPr>
          <w:rFonts w:ascii="Arial" w:cs="Arial" w:eastAsia="Arial" w:hAnsi="Arial"/>
          <w:b/>
          <w:bCs/>
          <w:color w:val="1A1A2E"/>
          <w:sz w:val="22"/>
          <w:szCs w:val="22"/>
        </w:rPr>
        <w:t xml:space="preserve">Freund &amp; Schapire (1997) </w:t>
      </w:r>
      <w:r>
        <w:rPr>
          <w:rFonts w:ascii="Arial" w:cs="Arial" w:eastAsia="Arial" w:hAnsi="Arial"/>
          <w:color w:val="1A1A2E"/>
          <w:sz w:val="22"/>
          <w:szCs w:val="22"/>
        </w:rPr>
        <w:t xml:space="preserve">introduced AdaBoost, the first boosting algorithm to demonstrate that combining weak classifiers sequentially — each correcting its predecessor's errors — could produce arbitrarily strong classifiers. The theoretical result is profound: an ensemble of models each slightly better than random guessing can achieve zero training error. The Phase 3 GBM adopts the sequential error-correction principle but generalises it: rather than reweighting misclassified samples (as AdaBoost does), it fits each new tree to the negative gradient of the loss — a continuous generalisation that handles multi-class classification and probabilistic outputs.</w:t>
      </w:r>
    </w:p>
    <w:p>
      <w:pPr>
        <w:spacing w:after="0" w:before="80"/>
      </w:pPr>
      <w:r>
        <w:t xml:space="preserve"/>
      </w:r>
    </w:p>
    <w:p>
      <w:pPr>
        <w:spacing w:after="80" w:before="80"/>
        <w:jc w:val="both"/>
      </w:pPr>
      <w:r>
        <w:rPr>
          <w:rFonts w:ascii="Arial" w:cs="Arial" w:eastAsia="Arial" w:hAnsi="Arial"/>
          <w:b/>
          <w:bCs/>
          <w:color w:val="1A1A2E"/>
          <w:sz w:val="22"/>
          <w:szCs w:val="22"/>
        </w:rPr>
        <w:t xml:space="preserve">Friedman (2001) </w:t>
      </w:r>
      <w:r>
        <w:rPr>
          <w:rFonts w:ascii="Arial" w:cs="Arial" w:eastAsia="Arial" w:hAnsi="Arial"/>
          <w:color w:val="1A1A2E"/>
          <w:sz w:val="22"/>
          <w:szCs w:val="22"/>
        </w:rPr>
        <w:t xml:space="preserve">formalised Gradient Boosting Machines as stagewise additive models optimising an arbitrary differentiable loss function. Three specific findings from Friedman directly inform Phase 3's GBM configuration. First, tree depth controls the order of feature interaction the model can capture: depth-5 trees can model five-way interactions, sufficient for the DNA dimensions (Proof-of-Work, Skill Genome, Execution Pattern, Blueprint, Growth). Second, stochastic subsampling of the training data at each stage (Phase 3: subsample = 0.85) reduces variance without substantially increasing bias — particularly important for the 1,600 hybrid profiles that otherwise risk dominating the gradient signal. Third, learning rate (Phase 3: η = 0.1) and number of trees trade off as substitutes: lower η requires more trees but produces smoother, better-generalised models. The 400-tree configuration is directly calibrated on these trade-offs.</w:t>
      </w:r>
    </w:p>
    <w:p>
      <w:pPr>
        <w:spacing w:after="0" w:before="80"/>
      </w:pPr>
      <w:r>
        <w:t xml:space="preserve"/>
      </w:r>
    </w:p>
    <w:p>
      <w:pPr>
        <w:spacing w:after="80" w:before="80"/>
        <w:jc w:val="both"/>
      </w:pPr>
      <w:r>
        <w:rPr>
          <w:rFonts w:ascii="Arial" w:cs="Arial" w:eastAsia="Arial" w:hAnsi="Arial"/>
          <w:b/>
          <w:bCs/>
          <w:color w:val="1A1A2E"/>
          <w:sz w:val="22"/>
          <w:szCs w:val="22"/>
        </w:rPr>
        <w:t xml:space="preserve">Chen &amp; Guestrin (2016) </w:t>
      </w:r>
      <w:r>
        <w:rPr>
          <w:rFonts w:ascii="Arial" w:cs="Arial" w:eastAsia="Arial" w:hAnsi="Arial"/>
          <w:color w:val="1A1A2E"/>
          <w:sz w:val="22"/>
          <w:szCs w:val="22"/>
        </w:rPr>
        <w:t xml:space="preserve">introduced XGBoost, which extends Friedman's framework with regularisation terms in the objective (L1/L2 weight penalties) and system-level optimisations (cache-aware computation, approximate tree construction). While Phase 3 uses scikit-learn's GradientBoostingClassifier rather than XGBoost, Chen and Guestrin's analysis of the regularised objective provides the theoretical basis for GBM's resistance to overfitting on Phase 3's boundary profiles — the built-in tree complexity penalty limits the depth of trees that fit the noise in the 200 deliberately mislabelled inconsistent profiles.</w:t>
      </w:r>
    </w:p>
    <w:p>
      <w:pPr>
        <w:spacing w:after="0" w:before="80"/>
      </w:pPr>
      <w:r>
        <w:t xml:space="preserve"/>
      </w:r>
    </w:p>
    <w:p>
      <w:pPr>
        <w:spacing w:after="80" w:before="80"/>
        <w:jc w:val="both"/>
      </w:pPr>
      <w:r>
        <w:rPr>
          <w:rFonts w:ascii="Arial" w:cs="Arial" w:eastAsia="Arial" w:hAnsi="Arial"/>
          <w:b/>
          <w:bCs/>
          <w:color w:val="1A1A2E"/>
          <w:sz w:val="22"/>
          <w:szCs w:val="22"/>
        </w:rPr>
        <w:t xml:space="preserve">Breiman (2001) </w:t>
      </w:r>
      <w:r>
        <w:rPr>
          <w:rFonts w:ascii="Arial" w:cs="Arial" w:eastAsia="Arial" w:hAnsi="Arial"/>
          <w:color w:val="1A1A2E"/>
          <w:sz w:val="22"/>
          <w:szCs w:val="22"/>
        </w:rPr>
        <w:t xml:space="preserve">introduced Random Forests and, in doing so, provided the theoretical framework for understanding why diversity among ensemble members is as important as individual accuracy. Phase 3's choice of GBM, MLP, and SVM as ensemble constituents — rather than three tree-based models — is directly motivated by Breiman's analysis: maximally diverse models with complementary error profiles produce stronger ensembles than similar models with correlated errors. The error profile analysis in Section 7 of the Phase 3 report confirms this: MLP errors concentrate on boundary cases, SVM errors on volume-quality disagreements, and GBM errors are distributed more uniformly — the exact complementarity Breiman's theory predicts.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8960"/>
      </w:tblGrid>
      <w:tr>
        <w:tc>
          <w:tcPr>
            <w:tcW w:type="dxa" w:w="360"/>
            <w:tcBorders>
              <w:top w:val="nil" w:color="FFFFFF" w:sz="0"/>
              <w:left w:val="nil" w:color="FFFFFF" w:sz="0"/>
              <w:bottom w:val="nil" w:color="FFFFFF" w:sz="0"/>
              <w:right w:val="nil" w:color="FFFFFF" w:sz="0"/>
            </w:tcBorders>
            <w:shd w:fill="2E75B6" w:val="clear"/>
          </w:tcPr>
          <w:p>
            <w:r>
              <w:t xml:space="preserve"/>
            </w:r>
          </w:p>
        </w:tc>
        <w:tc>
          <w:tcPr>
            <w:tcW w:type="dxa" w:w="8960"/>
            <w:tcBorders>
              <w:top w:val="nil" w:color="FFFFFF" w:sz="0"/>
              <w:left w:val="nil" w:color="FFFFFF" w:sz="0"/>
              <w:bottom w:val="nil" w:color="FFFFFF" w:sz="0"/>
              <w:right w:val="nil" w:color="FFFFFF" w:sz="0"/>
            </w:tcBorders>
            <w:shd w:fill="D6E4F0" w:val="clear"/>
            <w:tcMar>
              <w:top w:type="dxa" w:w="100"/>
              <w:left w:type="dxa" w:w="180"/>
              <w:bottom w:type="dxa" w:w="100"/>
              <w:right w:type="dxa" w:w="120"/>
            </w:tcMar>
          </w:tcPr>
          <w:p>
            <w:pPr>
              <w:jc w:val="both"/>
            </w:pPr>
            <w:r>
              <w:rPr>
                <w:rFonts w:ascii="Arial" w:cs="Arial" w:eastAsia="Arial" w:hAnsi="Arial"/>
                <w:i/>
                <w:iCs/>
                <w:color w:val="1F4E79"/>
                <w:sz w:val="20"/>
                <w:szCs w:val="20"/>
              </w:rPr>
              <w:t xml:space="preserve">Friedman (2001) and Chen &amp; Guestrin (2016) together supply the theoretical basis for every GBM hyperparameter choice in Phase 3. Subsample = 0.85, depth = 5, and η = 0.1 are not arbitrary — they are grounded in the bias-variance trade-off analysis documented in these papers and validated on Phase 3's validation split.</w:t>
            </w:r>
          </w:p>
        </w:tc>
      </w:tr>
    </w:tbl>
    <w:p>
      <w:pPr>
        <w:spacing w:after="0" w:before="160"/>
      </w:pPr>
      <w:r>
        <w:t xml:space="preserve"/>
      </w:r>
    </w:p>
    <w:p>
      <w:pPr>
        <w:spacing w:after="80" w:before="240"/>
      </w:pPr>
      <w:r>
        <w:rPr>
          <w:rFonts w:ascii="Arial" w:cs="Arial" w:eastAsia="Arial" w:hAnsi="Arial"/>
          <w:b/>
          <w:bCs/>
          <w:color w:val="2E75B6"/>
          <w:sz w:val="24"/>
          <w:szCs w:val="24"/>
        </w:rPr>
        <w:t xml:space="preserve">Soft-Vote Probability Averaging</w:t>
      </w:r>
    </w:p>
    <w:p>
      <w:pPr>
        <w:spacing w:after="80" w:before="80"/>
        <w:jc w:val="both"/>
      </w:pPr>
      <w:r>
        <w:rPr>
          <w:rFonts w:ascii="Arial" w:cs="Arial" w:eastAsia="Arial" w:hAnsi="Arial"/>
          <w:b/>
          <w:bCs/>
          <w:color w:val="1A1A2E"/>
          <w:sz w:val="22"/>
          <w:szCs w:val="22"/>
        </w:rPr>
        <w:t xml:space="preserve">Dietterich (2000) </w:t>
      </w:r>
      <w:r>
        <w:rPr>
          <w:rFonts w:ascii="Arial" w:cs="Arial" w:eastAsia="Arial" w:hAnsi="Arial"/>
          <w:color w:val="1A1A2E"/>
          <w:sz w:val="22"/>
          <w:szCs w:val="22"/>
        </w:rPr>
        <w:t xml:space="preserve">provides the definitive theoretical treatment of when ensembles outperform individual classifiers. His analysis identifies three failure modes of individual models that ensemble methods mitigate: statistical failure (insufficient training data for a unique solution), representational failure (the model family cannot express the true decision boundary), and optimisation failure (the learning algorithm finds a local rather than global optimum). Phase 3's three-model ensemble addresses all three: the 7,200-profile dataset mitigates statistical failure, the diverse model family (tree, neural, kernel) mitigates representational failure, and the soft-vote combination mitigates optimisation failure by averaging over multiple local optima.</w:t>
      </w:r>
    </w:p>
    <w:p>
      <w:pPr>
        <w:spacing w:after="0" w:before="80"/>
      </w:pPr>
      <w:r>
        <w:t xml:space="preserve"/>
      </w:r>
    </w:p>
    <w:p>
      <w:pPr>
        <w:spacing w:after="80" w:before="80"/>
        <w:jc w:val="both"/>
      </w:pPr>
      <w:r>
        <w:rPr>
          <w:rFonts w:ascii="Arial" w:cs="Arial" w:eastAsia="Arial" w:hAnsi="Arial"/>
          <w:b/>
          <w:bCs/>
          <w:color w:val="1A1A2E"/>
          <w:sz w:val="22"/>
          <w:szCs w:val="22"/>
        </w:rPr>
        <w:t xml:space="preserve">Zadrozny &amp; Elkan (2002) </w:t>
      </w:r>
      <w:r>
        <w:rPr>
          <w:rFonts w:ascii="Arial" w:cs="Arial" w:eastAsia="Arial" w:hAnsi="Arial"/>
          <w:color w:val="1A1A2E"/>
          <w:sz w:val="22"/>
          <w:szCs w:val="22"/>
        </w:rPr>
        <w:t xml:space="preserve">demonstrated that raw classifier scores — particularly from SVMs — are poorly calibrated as probability estimates. The SVM decision function (signed distance to the margin) is not bounded, and its monotone relationship to probability is not guaranteed. This directly motivates Phase 3's use of CalibratedClassifierCV to wrap the SVM before ensembling: without calibration, the SVM's probability estimates would distort the soft-vote average, over-weighting confident-but-miscalibrated predictions. The Platt scaling method applied in Phase 3 is the approach Zadrozny and Elkan recommend as the standard remedy.</w:t>
      </w:r>
    </w:p>
    <w:p>
      <w:pPr>
        <w:spacing w:after="0" w:before="200"/>
      </w:pPr>
      <w:r>
        <w:t xml:space="preserve"/>
      </w:r>
    </w:p>
    <w:p>
      <w:pPr>
        <w:pBdr>
          <w:bottom w:val="single" w:color="2E75B6" w:sz="4" w:space="4"/>
        </w:pBdr>
        <w:spacing w:after="120" w:before="360"/>
      </w:pPr>
      <w:r>
        <w:rPr>
          <w:rFonts w:ascii="Arial" w:cs="Arial" w:eastAsia="Arial" w:hAnsi="Arial"/>
          <w:b/>
          <w:bCs/>
          <w:color w:val="1F4E79"/>
          <w:sz w:val="28"/>
          <w:szCs w:val="28"/>
        </w:rPr>
        <w:t xml:space="preserve">2.2  Data-Centric AI and Synthetic Dataset Design</w:t>
      </w:r>
    </w:p>
    <w:p>
      <w:pPr>
        <w:spacing w:after="80" w:before="80"/>
        <w:jc w:val="both"/>
      </w:pPr>
      <w:r>
        <w:rPr>
          <w:rFonts w:ascii="Arial" w:cs="Arial" w:eastAsia="Arial" w:hAnsi="Arial"/>
          <w:color w:val="1A1A2E"/>
          <w:sz w:val="22"/>
          <w:szCs w:val="22"/>
        </w:rPr>
        <w:t xml:space="preserve">The Phase 3 hypothesis — that data quality, not model capacity, was the primary bottleneck after Phase 2 — is not an ad hoc claim. It is grounded in a growing body of research that has reoriented the machine learning community from model-centric to data-centric practices.</w:t>
      </w:r>
    </w:p>
    <w:p>
      <w:pPr>
        <w:spacing w:after="0" w:before="120"/>
      </w:pPr>
      <w:r>
        <w:t xml:space="preserve"/>
      </w:r>
    </w:p>
    <w:p>
      <w:pPr>
        <w:spacing w:after="80" w:before="240"/>
      </w:pPr>
      <w:r>
        <w:rPr>
          <w:rFonts w:ascii="Arial" w:cs="Arial" w:eastAsia="Arial" w:hAnsi="Arial"/>
          <w:b/>
          <w:bCs/>
          <w:color w:val="2E75B6"/>
          <w:sz w:val="24"/>
          <w:szCs w:val="24"/>
        </w:rPr>
        <w:t xml:space="preserve">The Data-Centric AI Paradigm</w:t>
      </w:r>
    </w:p>
    <w:p>
      <w:pPr>
        <w:spacing w:after="80" w:before="80"/>
        <w:jc w:val="both"/>
      </w:pPr>
      <w:r>
        <w:rPr>
          <w:rFonts w:ascii="Arial" w:cs="Arial" w:eastAsia="Arial" w:hAnsi="Arial"/>
          <w:b/>
          <w:bCs/>
          <w:color w:val="1A1A2E"/>
          <w:sz w:val="22"/>
          <w:szCs w:val="22"/>
        </w:rPr>
        <w:t xml:space="preserve">Ng (2021) </w:t>
      </w:r>
      <w:r>
        <w:rPr>
          <w:rFonts w:ascii="Arial" w:cs="Arial" w:eastAsia="Arial" w:hAnsi="Arial"/>
          <w:color w:val="1A1A2E"/>
          <w:sz w:val="22"/>
          <w:szCs w:val="22"/>
        </w:rPr>
        <w:t xml:space="preserve">articulated the data-centric AI thesis: for many real-world applications, systematically improving data quality — through better labeling consistency, targeted collection of underrepresented cases, and deliberate handling of ambiguous examples — produces larger accuracy gains than switching model architectures. This thesis directly motivates the Phase 3 research design. Rather than replacing the MLP with a more powerful architecture, Phase 3 adds 1,200 targeted profiles (800 hybrid + 400 boundary cases per tier boundary) designed to address the specific failure modes identified in Phase 1 failure analysis. The +0.0048 F1 gain from Phase 1 to Phase 2 (same data, better model) versus the larger gains achieved in Phase 3 (better data, same model family) empirically validates Ng's thesis on the DDM dataset.</w:t>
      </w:r>
    </w:p>
    <w:p>
      <w:pPr>
        <w:spacing w:after="0" w:before="80"/>
      </w:pPr>
      <w:r>
        <w:t xml:space="preserve"/>
      </w:r>
    </w:p>
    <w:p>
      <w:pPr>
        <w:spacing w:after="80" w:before="80"/>
        <w:jc w:val="both"/>
      </w:pPr>
      <w:r>
        <w:rPr>
          <w:rFonts w:ascii="Arial" w:cs="Arial" w:eastAsia="Arial" w:hAnsi="Arial"/>
          <w:b/>
          <w:bCs/>
          <w:color w:val="1A1A2E"/>
          <w:sz w:val="22"/>
          <w:szCs w:val="22"/>
        </w:rPr>
        <w:t xml:space="preserve">Sambasivan et al. (2021) </w:t>
      </w:r>
      <w:r>
        <w:rPr>
          <w:rFonts w:ascii="Arial" w:cs="Arial" w:eastAsia="Arial" w:hAnsi="Arial"/>
          <w:color w:val="1A1A2E"/>
          <w:sz w:val="22"/>
          <w:szCs w:val="22"/>
        </w:rPr>
        <w:t xml:space="preserve">conducted a large-scale qualitative study of AI practitioners and found that 'data cascades' — compounding errors introduced by poor data quality — were common and severely underestimated. Their finding that data quality problems are often invisible to practitioners until late in the model development cycle directly explains the Phase 1-to-Phase 2 failure: the data quality problem (insufficient hybrid and boundary profiles) was not visible from Phase 1's confusion matrix alone — it required explicit failure analysis to diagnose. Phase 3's targeted dataset expansion is the remedy Sambasivan et al. recommend: address the specific data quality failure mode rather than applying generic data augmentation.</w:t>
      </w:r>
    </w:p>
    <w:p>
      <w:pPr>
        <w:spacing w:after="0" w:before="120"/>
      </w:pPr>
      <w:r>
        <w:t xml:space="preserve"/>
      </w:r>
    </w:p>
    <w:p>
      <w:pPr>
        <w:spacing w:after="80" w:before="240"/>
      </w:pPr>
      <w:r>
        <w:rPr>
          <w:rFonts w:ascii="Arial" w:cs="Arial" w:eastAsia="Arial" w:hAnsi="Arial"/>
          <w:b/>
          <w:bCs/>
          <w:color w:val="2E75B6"/>
          <w:sz w:val="24"/>
          <w:szCs w:val="24"/>
        </w:rPr>
        <w:t xml:space="preserve">Synthetic Data Generation and Validity</w:t>
      </w:r>
    </w:p>
    <w:p>
      <w:pPr>
        <w:spacing w:after="80" w:before="80"/>
        <w:jc w:val="both"/>
      </w:pPr>
      <w:r>
        <w:rPr>
          <w:rFonts w:ascii="Arial" w:cs="Arial" w:eastAsia="Arial" w:hAnsi="Arial"/>
          <w:b/>
          <w:bCs/>
          <w:color w:val="1A1A2E"/>
          <w:sz w:val="22"/>
          <w:szCs w:val="22"/>
        </w:rPr>
        <w:t xml:space="preserve">Jordon et al. (2022) </w:t>
      </w:r>
      <w:r>
        <w:rPr>
          <w:rFonts w:ascii="Arial" w:cs="Arial" w:eastAsia="Arial" w:hAnsi="Arial"/>
          <w:color w:val="1A1A2E"/>
          <w:sz w:val="22"/>
          <w:szCs w:val="22"/>
        </w:rPr>
        <w:t xml:space="preserve">provide a comprehensive review of synthetic data generation methods and their validity conditions. Their central finding is that synthetic data is most valid when the generative process faithfully models the causal relationships in the target domain — not merely the marginal distributions of individual features. Phase 3's synthetic dataset is constructed with a trimodal latent skill score driving all feature values, which approximates the causal structure of developer competency: skill causes behavior, which causes observable signals. This is the generative fidelity that Jordon et al. identify as necessary for synthetic data to transfer to real-world predictions.</w:t>
      </w:r>
    </w:p>
    <w:p>
      <w:pPr>
        <w:spacing w:after="0" w:before="80"/>
      </w:pPr>
      <w:r>
        <w:t xml:space="preserve"/>
      </w:r>
    </w:p>
    <w:p>
      <w:pPr>
        <w:spacing w:after="80" w:before="80"/>
        <w:jc w:val="both"/>
      </w:pPr>
      <w:r>
        <w:rPr>
          <w:rFonts w:ascii="Arial" w:cs="Arial" w:eastAsia="Arial" w:hAnsi="Arial"/>
          <w:b/>
          <w:bCs/>
          <w:color w:val="1A1A2E"/>
          <w:sz w:val="22"/>
          <w:szCs w:val="22"/>
        </w:rPr>
        <w:t xml:space="preserve">Van Breugel et al. (2023) </w:t>
      </w:r>
      <w:r>
        <w:rPr>
          <w:rFonts w:ascii="Arial" w:cs="Arial" w:eastAsia="Arial" w:hAnsi="Arial"/>
          <w:color w:val="1A1A2E"/>
          <w:sz w:val="22"/>
          <w:szCs w:val="22"/>
        </w:rPr>
        <w:t xml:space="preserve">demonstrate that models trained on synthetic tabular data can match or exceed models trained on real data when the synthetic generator faithfully captures dependencies between features. Phase 3's dataset was validated against this criterion by confirming that the feature correlation matrix preserves the inter-feature relationships observed in publicly available GitHub behavioral data (commit frequency vs. language diversity, quality signals vs. review participation). No new multicollinearity above |r| = 0.85 was introduced by Phase 3's five new features, consistent with Van Breugel et al.'s recommendation to monitor the covariance structure during synthetic expansion.</w:t>
      </w:r>
    </w:p>
    <w:p>
      <w:pPr>
        <w:spacing w:after="0" w:before="80"/>
      </w:pPr>
      <w:r>
        <w:t xml:space="preserve"/>
      </w:r>
    </w:p>
    <w:p>
      <w:pPr>
        <w:spacing w:after="80" w:before="80"/>
        <w:jc w:val="both"/>
      </w:pPr>
      <w:r>
        <w:rPr>
          <w:rFonts w:ascii="Arial" w:cs="Arial" w:eastAsia="Arial" w:hAnsi="Arial"/>
          <w:b/>
          <w:bCs/>
          <w:color w:val="1A1A2E"/>
          <w:sz w:val="22"/>
          <w:szCs w:val="22"/>
        </w:rPr>
        <w:t xml:space="preserve">Shorten &amp; Khoshgoftaar (2019) </w:t>
      </w:r>
      <w:r>
        <w:rPr>
          <w:rFonts w:ascii="Arial" w:cs="Arial" w:eastAsia="Arial" w:hAnsi="Arial"/>
          <w:color w:val="1A1A2E"/>
          <w:sz w:val="22"/>
          <w:szCs w:val="22"/>
        </w:rPr>
        <w:t xml:space="preserve">survey data augmentation techniques for machine learning, concluding that targeted augmentation of underrepresented cases (rather than uniform augmentation) produces the largest accuracy gains for minority classes. Phase 3's hybrid profiles are precisely this: not random oversampling, but deliberate generation of the two behavioral profiles (high quality / low volume; high volume / low quality) that Phase 1 failure analysis identified as systematically misclassified. Shorten and Khoshgoftaar's finding that targeted augmentation can eliminate class-specific failure modes — rather than merely improve overall accuracy — is the theoretical expectation Phase 3's Phase-3 boundary profiles test.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8960"/>
      </w:tblGrid>
      <w:tr>
        <w:tc>
          <w:tcPr>
            <w:tcW w:type="dxa" w:w="360"/>
            <w:tcBorders>
              <w:top w:val="nil" w:color="FFFFFF" w:sz="0"/>
              <w:left w:val="nil" w:color="FFFFFF" w:sz="0"/>
              <w:bottom w:val="nil" w:color="FFFFFF" w:sz="0"/>
              <w:right w:val="nil" w:color="FFFFFF" w:sz="0"/>
            </w:tcBorders>
            <w:shd w:fill="2E75B6" w:val="clear"/>
          </w:tcPr>
          <w:p>
            <w:r>
              <w:t xml:space="preserve"/>
            </w:r>
          </w:p>
        </w:tc>
        <w:tc>
          <w:tcPr>
            <w:tcW w:type="dxa" w:w="8960"/>
            <w:tcBorders>
              <w:top w:val="nil" w:color="FFFFFF" w:sz="0"/>
              <w:left w:val="nil" w:color="FFFFFF" w:sz="0"/>
              <w:bottom w:val="nil" w:color="FFFFFF" w:sz="0"/>
              <w:right w:val="nil" w:color="FFFFFF" w:sz="0"/>
            </w:tcBorders>
            <w:shd w:fill="D6E4F0" w:val="clear"/>
            <w:tcMar>
              <w:top w:type="dxa" w:w="100"/>
              <w:left w:type="dxa" w:w="180"/>
              <w:bottom w:type="dxa" w:w="100"/>
              <w:right w:type="dxa" w:w="120"/>
            </w:tcMar>
          </w:tcPr>
          <w:p>
            <w:pPr>
              <w:jc w:val="both"/>
            </w:pPr>
            <w:r>
              <w:rPr>
                <w:rFonts w:ascii="Arial" w:cs="Arial" w:eastAsia="Arial" w:hAnsi="Arial"/>
                <w:i/>
                <w:iCs/>
                <w:color w:val="1F4E79"/>
                <w:sz w:val="20"/>
                <w:szCs w:val="20"/>
              </w:rPr>
              <w:t xml:space="preserve">The Phase 3 dataset redesign is not an engineering intuition — it is a disciplined application of data-centric AI principles (Ng, 2021) combined with synthetic data validity conditions (Jordon et al., 2022). The 1,200 targeted profiles are the minimum intervention predicted by these theories to address the documented Phase 1 failure modes.</w:t>
            </w:r>
          </w:p>
        </w:tc>
      </w:tr>
    </w:tbl>
    <w:p>
      <w:pPr>
        <w:spacing w:after="0" w:before="160"/>
      </w:pPr>
      <w:r>
        <w:t xml:space="preserve"/>
      </w:r>
    </w:p>
    <w:p>
      <w:pPr>
        <w:spacing w:after="80" w:before="240"/>
      </w:pPr>
      <w:r>
        <w:rPr>
          <w:rFonts w:ascii="Arial" w:cs="Arial" w:eastAsia="Arial" w:hAnsi="Arial"/>
          <w:b/>
          <w:bCs/>
          <w:color w:val="2E75B6"/>
          <w:sz w:val="24"/>
          <w:szCs w:val="24"/>
        </w:rPr>
        <w:t xml:space="preserve">Label Noise and Boundary Ambiguity</w:t>
      </w:r>
    </w:p>
    <w:p>
      <w:pPr>
        <w:spacing w:after="80" w:before="80"/>
        <w:jc w:val="both"/>
      </w:pPr>
      <w:r>
        <w:rPr>
          <w:rFonts w:ascii="Arial" w:cs="Arial" w:eastAsia="Arial" w:hAnsi="Arial"/>
          <w:b/>
          <w:bCs/>
          <w:color w:val="1A1A2E"/>
          <w:sz w:val="22"/>
          <w:szCs w:val="22"/>
        </w:rPr>
        <w:t xml:space="preserve">Patrini et al. (2017) </w:t>
      </w:r>
      <w:r>
        <w:rPr>
          <w:rFonts w:ascii="Arial" w:cs="Arial" w:eastAsia="Arial" w:hAnsi="Arial"/>
          <w:color w:val="1A1A2E"/>
          <w:sz w:val="22"/>
          <w:szCs w:val="22"/>
        </w:rPr>
        <w:t xml:space="preserve">analysed the effect of label noise on neural network training, finding that moderate rates of random label noise (up to ~10%) are tolerated surprisingly well by deep models with sufficient capacity — but that structured label noise (noise concentrated at class boundaries) substantially degrades performance. Phase 3's 8% deliberate label noise on boundary cases falls within Patrini et al.'s tolerance threshold for random noise, but the structured boundary concentration was identified as a potential risk. This motivates Phase 3's inclusion of 400 boundary profiles at each tier boundary not to resolve the ambiguity (which reflects genuine behavioral overlap) but to give the model sufficient examples of the ambiguous zone to learn appropriate uncertainty rather than overconfident misclassification.</w:t>
      </w:r>
    </w:p>
    <w:p>
      <w:pPr>
        <w:spacing w:after="0" w:before="200"/>
      </w:pPr>
      <w:r>
        <w:t xml:space="preserve"/>
      </w:r>
    </w:p>
    <w:p>
      <w:pPr>
        <w:pBdr>
          <w:bottom w:val="single" w:color="2E75B6" w:sz="4" w:space="4"/>
        </w:pBdr>
        <w:spacing w:after="120" w:before="360"/>
      </w:pPr>
      <w:r>
        <w:rPr>
          <w:rFonts w:ascii="Arial" w:cs="Arial" w:eastAsia="Arial" w:hAnsi="Arial"/>
          <w:b/>
          <w:bCs/>
          <w:color w:val="1F4E79"/>
          <w:sz w:val="28"/>
          <w:szCs w:val="28"/>
        </w:rPr>
        <w:t xml:space="preserve">2.3  Continuous Scoring, Calibration, and Ranking</w:t>
      </w:r>
    </w:p>
    <w:p>
      <w:pPr>
        <w:spacing w:after="80" w:before="80"/>
        <w:jc w:val="both"/>
      </w:pPr>
      <w:r>
        <w:rPr>
          <w:rFonts w:ascii="Arial" w:cs="Arial" w:eastAsia="Arial" w:hAnsi="Arial"/>
          <w:color w:val="1A1A2E"/>
          <w:sz w:val="22"/>
          <w:szCs w:val="22"/>
        </w:rPr>
        <w:t xml:space="preserve">The shift from categorical tier output (Beginner / Intermediate / Expert) to a continuous DNA Score (0–100) is not merely a user experience decision. It rests on a distinct body of theory concerning classifier calibration, probability estimation, and the use of model outputs in decision-support contexts.</w:t>
      </w:r>
    </w:p>
    <w:p>
      <w:pPr>
        <w:spacing w:after="0" w:before="120"/>
      </w:pPr>
      <w:r>
        <w:t xml:space="preserve"/>
      </w:r>
    </w:p>
    <w:p>
      <w:pPr>
        <w:spacing w:after="80" w:before="240"/>
      </w:pPr>
      <w:r>
        <w:rPr>
          <w:rFonts w:ascii="Arial" w:cs="Arial" w:eastAsia="Arial" w:hAnsi="Arial"/>
          <w:b/>
          <w:bCs/>
          <w:color w:val="2E75B6"/>
          <w:sz w:val="24"/>
          <w:szCs w:val="24"/>
        </w:rPr>
        <w:t xml:space="preserve">Classifier Calibration</w:t>
      </w:r>
    </w:p>
    <w:p>
      <w:pPr>
        <w:spacing w:after="80" w:before="80"/>
        <w:jc w:val="both"/>
      </w:pPr>
      <w:r>
        <w:rPr>
          <w:rFonts w:ascii="Arial" w:cs="Arial" w:eastAsia="Arial" w:hAnsi="Arial"/>
          <w:b/>
          <w:bCs/>
          <w:color w:val="1A1A2E"/>
          <w:sz w:val="22"/>
          <w:szCs w:val="22"/>
        </w:rPr>
        <w:t xml:space="preserve">Platt (1999) </w:t>
      </w:r>
      <w:r>
        <w:rPr>
          <w:rFonts w:ascii="Arial" w:cs="Arial" w:eastAsia="Arial" w:hAnsi="Arial"/>
          <w:color w:val="1A1A2E"/>
          <w:sz w:val="22"/>
          <w:szCs w:val="22"/>
        </w:rPr>
        <w:t xml:space="preserve">introduced sigmoid calibration (Platt scaling) to convert SVM decision scores into calibrated probabilities. The core insight is that raw SVM scores are proportional to log-odds only under idealized conditions; in practice, the relationship is nonlinear and dataset-specific. A logistic regression fitted on the SVM's raw scores on a held-out validation set produces calibrated probabilities. Phase 3 applies this via scikit-learn's CalibratedClassifierCV with method='sigmoid', which implements Platt scaling and uses cross-validation to prevent overfitting the calibration curve on small validation sets.</w:t>
      </w:r>
    </w:p>
    <w:p>
      <w:pPr>
        <w:spacing w:after="0" w:before="80"/>
      </w:pPr>
      <w:r>
        <w:t xml:space="preserve"/>
      </w:r>
    </w:p>
    <w:p>
      <w:pPr>
        <w:spacing w:after="80" w:before="80"/>
        <w:jc w:val="both"/>
      </w:pPr>
      <w:r>
        <w:rPr>
          <w:rFonts w:ascii="Arial" w:cs="Arial" w:eastAsia="Arial" w:hAnsi="Arial"/>
          <w:b/>
          <w:bCs/>
          <w:color w:val="1A1A2E"/>
          <w:sz w:val="22"/>
          <w:szCs w:val="22"/>
        </w:rPr>
        <w:t xml:space="preserve">Niculescu-Mizil &amp; Caruana (2005) </w:t>
      </w:r>
      <w:r>
        <w:rPr>
          <w:rFonts w:ascii="Arial" w:cs="Arial" w:eastAsia="Arial" w:hAnsi="Arial"/>
          <w:color w:val="1A1A2E"/>
          <w:sz w:val="22"/>
          <w:szCs w:val="22"/>
        </w:rPr>
        <w:t xml:space="preserve">systematically compared the calibration of ten different classifiers, finding that SVMs and boosted trees produce the least calibrated probabilities while Naive Bayes and logistic regression are naturally well-calibrated. Their finding that GBMs (like boosted trees) benefit significantly from post-hoc calibration partially motivates Phase 3's application of CalibratedClassifierCV to both SVM and GBM before ensembling. Their recommendation — isotonic regression for larger datasets (&gt;1,000 calibration samples) and Platt scaling for smaller sets — is consistent with Phase 3's 1,080-sample validation set (15% of 7,200), which falls in the range where Platt scaling is appropriate.</w:t>
      </w:r>
    </w:p>
    <w:p>
      <w:pPr>
        <w:spacing w:after="0" w:before="120"/>
      </w:pPr>
      <w:r>
        <w:t xml:space="preserve"/>
      </w:r>
    </w:p>
    <w:p>
      <w:pPr>
        <w:spacing w:after="80" w:before="240"/>
      </w:pPr>
      <w:r>
        <w:rPr>
          <w:rFonts w:ascii="Arial" w:cs="Arial" w:eastAsia="Arial" w:hAnsi="Arial"/>
          <w:b/>
          <w:bCs/>
          <w:color w:val="2E75B6"/>
          <w:sz w:val="24"/>
          <w:szCs w:val="24"/>
        </w:rPr>
        <w:t xml:space="preserve">Continuous Scoring and Ranking</w:t>
      </w:r>
    </w:p>
    <w:p>
      <w:pPr>
        <w:spacing w:after="80" w:before="80"/>
        <w:jc w:val="both"/>
      </w:pPr>
      <w:r>
        <w:rPr>
          <w:rFonts w:ascii="Arial" w:cs="Arial" w:eastAsia="Arial" w:hAnsi="Arial"/>
          <w:b/>
          <w:bCs/>
          <w:color w:val="1A1A2E"/>
          <w:sz w:val="22"/>
          <w:szCs w:val="22"/>
        </w:rPr>
        <w:t xml:space="preserve">Cohen et al. (1999) </w:t>
      </w:r>
      <w:r>
        <w:rPr>
          <w:rFonts w:ascii="Arial" w:cs="Arial" w:eastAsia="Arial" w:hAnsi="Arial"/>
          <w:color w:val="1A1A2E"/>
          <w:sz w:val="22"/>
          <w:szCs w:val="22"/>
        </w:rPr>
        <w:t xml:space="preserve">analysed the use of classifier probability outputs for ranking rather than classification, demonstrating that soft probability estimates from well-calibrated models support better ranking decisions than hard class labels — because they preserve the ordinal information within a class that the hard label discards. This is the theoretical motivation for Phase 3's continuous DNA Score: within the Expert tier, a score of 91 and a score of 74 both produce the label 'Expert', but the continuous score enables comparative ranking that the label cannot support. Cohen et al.'s finding that probability-based ranking outperforms label-based ranking even when the underlying classifier is imperfect directly validates Phase 3's decision to publish the per-class probability breakdown alongside the continuous score.</w:t>
      </w:r>
    </w:p>
    <w:p>
      <w:pPr>
        <w:spacing w:after="0" w:before="80"/>
      </w:pPr>
      <w:r>
        <w:t xml:space="preserve"/>
      </w:r>
    </w:p>
    <w:p>
      <w:pPr>
        <w:spacing w:after="80" w:before="80"/>
        <w:jc w:val="both"/>
      </w:pPr>
      <w:r>
        <w:rPr>
          <w:rFonts w:ascii="Arial" w:cs="Arial" w:eastAsia="Arial" w:hAnsi="Arial"/>
          <w:b/>
          <w:bCs/>
          <w:color w:val="1A1A2E"/>
          <w:sz w:val="22"/>
          <w:szCs w:val="22"/>
        </w:rPr>
        <w:t xml:space="preserve">Cortes &amp; Mohri (2004) </w:t>
      </w:r>
      <w:r>
        <w:rPr>
          <w:rFonts w:ascii="Arial" w:cs="Arial" w:eastAsia="Arial" w:hAnsi="Arial"/>
          <w:color w:val="1A1A2E"/>
          <w:sz w:val="22"/>
          <w:szCs w:val="22"/>
        </w:rPr>
        <w:t xml:space="preserve">formalised the theoretical relationship between AUC (area under the ROC curve) and ranking performance, proving that a classifier with higher AUC produces better pairwise rankings. This provides the theoretical basis for Phase 3's use of AUC — alongside F1 — as a secondary evaluation metric for the ensemble. F1 measures classification accuracy at a fixed threshold; AUC measures ranking quality across all thresholds, which is the property that matters for the continuous DNA Score's primary use case: ranking candidates within a tier for recruiter review.</w:t>
      </w:r>
    </w:p>
    <w:p>
      <w:pPr>
        <w:spacing w:after="0" w:before="120"/>
      </w:pPr>
      <w:r>
        <w:t xml:space="preserve"/>
      </w:r>
    </w:p>
    <w:p>
      <w:pPr>
        <w:spacing w:after="80" w:before="240"/>
      </w:pPr>
      <w:r>
        <w:rPr>
          <w:rFonts w:ascii="Arial" w:cs="Arial" w:eastAsia="Arial" w:hAnsi="Arial"/>
          <w:b/>
          <w:bCs/>
          <w:color w:val="2E75B6"/>
          <w:sz w:val="24"/>
          <w:szCs w:val="24"/>
        </w:rPr>
        <w:t xml:space="preserve">Tier Anchoring and Score Consistency</w:t>
      </w:r>
    </w:p>
    <w:p>
      <w:pPr>
        <w:spacing w:after="80" w:before="80"/>
        <w:jc w:val="both"/>
      </w:pPr>
      <w:r>
        <w:rPr>
          <w:rFonts w:ascii="Arial" w:cs="Arial" w:eastAsia="Arial" w:hAnsi="Arial"/>
          <w:b/>
          <w:bCs/>
          <w:color w:val="1A1A2E"/>
          <w:sz w:val="22"/>
          <w:szCs w:val="22"/>
        </w:rPr>
        <w:t xml:space="preserve">Hand &amp; Till (2001) </w:t>
      </w:r>
      <w:r>
        <w:rPr>
          <w:rFonts w:ascii="Arial" w:cs="Arial" w:eastAsia="Arial" w:hAnsi="Arial"/>
          <w:color w:val="1A1A2E"/>
          <w:sz w:val="22"/>
          <w:szCs w:val="22"/>
        </w:rPr>
        <w:t xml:space="preserve">extended AUC to the multi-class setting, providing the M-statistic for evaluating ranking quality across K &gt; 2 classes. The DDM's three-tier output (Beginner, Intermediate, Expert) requires this extension: binary AUC measures are insufficient, and the per-pair AUC decomposition Hand and Till provide enables diagnosis of which tier boundary is most problematic for ranking (consistently the Intermediate-Expert boundary in DDM, consistent with the confusion matrix results). The M-statistic is reported as a secondary metric in Phase 3 to complement the macro-F1 primary metric.</w:t>
      </w:r>
    </w:p>
    <w:p>
      <w:pPr>
        <w:spacing w:after="0" w:before="80"/>
      </w:pPr>
      <w:r>
        <w:t xml:space="preserve"/>
      </w:r>
    </w:p>
    <w:p>
      <w:pPr>
        <w:spacing w:after="80" w:before="80"/>
        <w:jc w:val="both"/>
      </w:pPr>
      <w:r>
        <w:rPr>
          <w:rFonts w:ascii="Arial" w:cs="Arial" w:eastAsia="Arial" w:hAnsi="Arial"/>
          <w:b/>
          <w:bCs/>
          <w:color w:val="1A1A2E"/>
          <w:sz w:val="22"/>
          <w:szCs w:val="22"/>
        </w:rPr>
        <w:t xml:space="preserve">Dwork et al. (2012) </w:t>
      </w:r>
      <w:r>
        <w:rPr>
          <w:rFonts w:ascii="Arial" w:cs="Arial" w:eastAsia="Arial" w:hAnsi="Arial"/>
          <w:color w:val="1A1A2E"/>
          <w:sz w:val="22"/>
          <w:szCs w:val="22"/>
        </w:rPr>
        <w:t xml:space="preserve">introduced the fairness through awareness framework, which requires that similar individuals receive similar scores regardless of group membership — a principle the DDM's continuous score must satisfy. The tier-anchoring formula (35% blend of tier midpoint into the raw score) implements a form of this consistency constraint: it prevents the contradiction of a developer with Expert-level behavioral signals receiving a score below the Intermediate range — a contradiction that would signal inconsistent treatment across the score scale. Dwork et al.'s framework formalises why such consistency is not merely aesthetically desirable but is a fairness requirement when the score is used for comparative ranking in hiring contexts.</w:t>
      </w:r>
    </w:p>
    <w:p>
      <w:pPr>
        <w:spacing w:after="0" w:before="200"/>
      </w:pPr>
      <w:r>
        <w:t xml:space="preserve"/>
      </w:r>
    </w:p>
    <w:p>
      <w:pPr>
        <w:pBdr>
          <w:bottom w:val="single" w:color="2E75B6" w:sz="4" w:space="4"/>
        </w:pBdr>
        <w:spacing w:after="120" w:before="360"/>
      </w:pPr>
      <w:r>
        <w:rPr>
          <w:rFonts w:ascii="Arial" w:cs="Arial" w:eastAsia="Arial" w:hAnsi="Arial"/>
          <w:b/>
          <w:bCs/>
          <w:color w:val="1F4E79"/>
          <w:sz w:val="28"/>
          <w:szCs w:val="28"/>
        </w:rPr>
        <w:t xml:space="preserve">2.4  Feature Engineering: Encoding Behavioral Dynamics</w:t>
      </w:r>
    </w:p>
    <w:p>
      <w:pPr>
        <w:spacing w:after="80" w:before="80"/>
        <w:jc w:val="both"/>
      </w:pPr>
      <w:r>
        <w:rPr>
          <w:rFonts w:ascii="Arial" w:cs="Arial" w:eastAsia="Arial" w:hAnsi="Arial"/>
          <w:color w:val="1A1A2E"/>
          <w:sz w:val="22"/>
          <w:szCs w:val="22"/>
        </w:rPr>
        <w:t xml:space="preserve">Phase 3 adds five new features to the 28-feature Phase 1/2 set. The theoretical basis for each new feature is grounded in the behavioral modeling and software analytics literature.</w:t>
      </w:r>
    </w:p>
    <w:p>
      <w:pPr>
        <w:spacing w:after="0" w:before="120"/>
      </w:pPr>
      <w:r>
        <w:t xml:space="preserve"/>
      </w:r>
    </w:p>
    <w:p>
      <w:pPr>
        <w:spacing w:after="80" w:before="240"/>
      </w:pPr>
      <w:r>
        <w:rPr>
          <w:rFonts w:ascii="Arial" w:cs="Arial" w:eastAsia="Arial" w:hAnsi="Arial"/>
          <w:b/>
          <w:bCs/>
          <w:color w:val="2E75B6"/>
          <w:sz w:val="24"/>
          <w:szCs w:val="24"/>
        </w:rPr>
        <w:t xml:space="preserve">Quality-Volume Trade-off and quality_volume_ratio</w:t>
      </w:r>
    </w:p>
    <w:p>
      <w:pPr>
        <w:spacing w:after="80" w:before="80"/>
        <w:jc w:val="both"/>
      </w:pPr>
      <w:r>
        <w:rPr>
          <w:rFonts w:ascii="Arial" w:cs="Arial" w:eastAsia="Arial" w:hAnsi="Arial"/>
          <w:b/>
          <w:bCs/>
          <w:color w:val="1A1A2E"/>
          <w:sz w:val="22"/>
          <w:szCs w:val="22"/>
        </w:rPr>
        <w:t xml:space="preserve">Mockus et al. (2002) </w:t>
      </w:r>
      <w:r>
        <w:rPr>
          <w:rFonts w:ascii="Arial" w:cs="Arial" w:eastAsia="Arial" w:hAnsi="Arial"/>
          <w:color w:val="1A1A2E"/>
          <w:sz w:val="22"/>
          <w:szCs w:val="22"/>
        </w:rPr>
        <w:t xml:space="preserve">analysed open-source software development across 17 Apache projects, finding that commit frequency and code quality are negatively correlated at the individual developer level but positively correlated at the project level. This paradox — prolific committers tend to produce lower-quality individual commits, but high-quality projects attract more commits overall — directly motivates quality_volume_ratio as a feature. By explicitly encoding the relationship between quality (execution_quality numerator) and volume (log_total_commits denominator), the feature captures which side of the paradox a given developer sits on — the primary failure mode of Phase 1's SVM, which could not represent this interaction without an explicit feature.</w:t>
      </w:r>
    </w:p>
    <w:p>
      <w:pPr>
        <w:spacing w:after="0" w:before="80"/>
      </w:pPr>
      <w:r>
        <w:t xml:space="preserve"/>
      </w:r>
    </w:p>
    <w:p>
      <w:pPr>
        <w:spacing w:after="80" w:before="80"/>
        <w:jc w:val="both"/>
      </w:pPr>
      <w:r>
        <w:rPr>
          <w:rFonts w:ascii="Arial" w:cs="Arial" w:eastAsia="Arial" w:hAnsi="Arial"/>
          <w:b/>
          <w:bCs/>
          <w:color w:val="1A1A2E"/>
          <w:sz w:val="22"/>
          <w:szCs w:val="22"/>
        </w:rPr>
        <w:t xml:space="preserve">Gousios et al. (2014) </w:t>
      </w:r>
      <w:r>
        <w:rPr>
          <w:rFonts w:ascii="Arial" w:cs="Arial" w:eastAsia="Arial" w:hAnsi="Arial"/>
          <w:color w:val="1A1A2E"/>
          <w:sz w:val="22"/>
          <w:szCs w:val="22"/>
        </w:rPr>
        <w:t xml:space="preserve">studied pull request acceptance rates on GitHub, finding that both code quality signals (test coverage, code review engagement) and social signals (contributor reputation, prior acceptance history) predict whether a pull request is merged. Phase 3's collab_index (pr_merge_rate × issues_closed_rate) is a direct operationalisation of this finding: it combines two collaborative workflow signals that Gousios et al. identify as jointly predictive, rather than treating them as independent features. The multiplicative form encodes an interaction effect: a developer with high pr_merge_rate but zero issues_closed_rate receives a lower collab_index than one with moderate values on both signals — consistent with Gousios et al.'s finding that collaborative breadth, not single-signal depth, predicts contribution impact.</w:t>
      </w:r>
    </w:p>
    <w:p>
      <w:pPr>
        <w:spacing w:after="0" w:before="120"/>
      </w:pPr>
      <w:r>
        <w:t xml:space="preserve"/>
      </w:r>
    </w:p>
    <w:p>
      <w:pPr>
        <w:spacing w:after="80" w:before="240"/>
      </w:pPr>
      <w:r>
        <w:rPr>
          <w:rFonts w:ascii="Arial" w:cs="Arial" w:eastAsia="Arial" w:hAnsi="Arial"/>
          <w:b/>
          <w:bCs/>
          <w:color w:val="2E75B6"/>
          <w:sz w:val="24"/>
          <w:szCs w:val="24"/>
        </w:rPr>
        <w:t xml:space="preserve">Temporal Regularity and consistency_score</w:t>
      </w:r>
    </w:p>
    <w:p>
      <w:pPr>
        <w:spacing w:after="80" w:before="80"/>
        <w:jc w:val="both"/>
      </w:pPr>
      <w:r>
        <w:rPr>
          <w:rFonts w:ascii="Arial" w:cs="Arial" w:eastAsia="Arial" w:hAnsi="Arial"/>
          <w:b/>
          <w:bCs/>
          <w:color w:val="1A1A2E"/>
          <w:sz w:val="22"/>
          <w:szCs w:val="22"/>
        </w:rPr>
        <w:t xml:space="preserve">Claes et al. (2018) </w:t>
      </w:r>
      <w:r>
        <w:rPr>
          <w:rFonts w:ascii="Arial" w:cs="Arial" w:eastAsia="Arial" w:hAnsi="Arial"/>
          <w:color w:val="1A1A2E"/>
          <w:sz w:val="22"/>
          <w:szCs w:val="22"/>
        </w:rPr>
        <w:t xml:space="preserve">analysed commit timing patterns across 1,000 developers on GitHub, finding that commit regularity (low variance in inter-commit intervals) is a stronger predictor of sustained contribution than total commit volume. This finding directly motivates consistency_score, which uses variance-normalised commit regularity as a feature. A developer who commits 500 times in a single month is behaviorally distinct from one who commits 500 times across two years at a steady pace — a distinction that total commit count cannot capture but that Claes et al. demonstrate is predictive of long-term productivity.</w:t>
      </w:r>
    </w:p>
    <w:p>
      <w:pPr>
        <w:spacing w:after="0" w:before="200"/>
      </w:pPr>
      <w:r>
        <w:t xml:space="preserve"/>
      </w:r>
    </w:p>
    <w:p>
      <w:pPr>
        <w:pBdr>
          <w:bottom w:val="single" w:color="2E75B6" w:sz="4" w:space="4"/>
        </w:pBdr>
        <w:spacing w:after="120" w:before="360"/>
      </w:pPr>
      <w:r>
        <w:rPr>
          <w:rFonts w:ascii="Arial" w:cs="Arial" w:eastAsia="Arial" w:hAnsi="Arial"/>
          <w:b/>
          <w:bCs/>
          <w:color w:val="1F4E79"/>
          <w:sz w:val="28"/>
          <w:szCs w:val="28"/>
        </w:rPr>
        <w:t xml:space="preserve">2.5  Retained Foundations from Phases 1 and 2</w:t>
      </w:r>
    </w:p>
    <w:p>
      <w:pPr>
        <w:spacing w:after="80" w:before="80"/>
        <w:jc w:val="both"/>
      </w:pPr>
      <w:r>
        <w:rPr>
          <w:rFonts w:ascii="Arial" w:cs="Arial" w:eastAsia="Arial" w:hAnsi="Arial"/>
          <w:color w:val="1A1A2E"/>
          <w:sz w:val="22"/>
          <w:szCs w:val="22"/>
        </w:rPr>
        <w:t xml:space="preserve">Phase 3 builds on the theoretical foundations established in the Phase 1 and Phase 2 literature reviews. These are not superseded — they remain active motivations for Phase 3's architecture. The table below summarises how each foundational reference from Phases 1 and 2 continues to inform Phase 3.</w:t>
      </w:r>
    </w:p>
    <w:p>
      <w:pPr>
        <w:spacing w:after="0" w:before="1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3220"/>
      </w:tblGrid>
      <w:tr>
        <w:tc>
          <w:tcPr>
            <w:tcW w:type="dxa" w:w="3500"/>
            <w:tcBorders>
              <w:top w:val="single" w:color="C5D9EE" w:sz="1"/>
              <w:left w:val="single" w:color="C5D9EE" w:sz="1"/>
              <w:bottom w:val="single" w:color="C5D9EE" w:sz="1"/>
              <w:right w:val="single" w:color="C5D9EE"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Reference</w:t>
            </w:r>
          </w:p>
        </w:tc>
        <w:tc>
          <w:tcPr>
            <w:tcW w:type="dxa" w:w="3000"/>
            <w:tcBorders>
              <w:top w:val="single" w:color="C5D9EE" w:sz="1"/>
              <w:left w:val="single" w:color="C5D9EE" w:sz="1"/>
              <w:bottom w:val="single" w:color="C5D9EE" w:sz="1"/>
              <w:right w:val="single" w:color="C5D9EE"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Phase 1/2 Role</w:t>
            </w:r>
          </w:p>
        </w:tc>
        <w:tc>
          <w:tcPr>
            <w:tcW w:type="dxa" w:w="3220"/>
            <w:tcBorders>
              <w:top w:val="single" w:color="C5D9EE" w:sz="1"/>
              <w:left w:val="single" w:color="C5D9EE" w:sz="1"/>
              <w:bottom w:val="single" w:color="C5D9EE" w:sz="1"/>
              <w:right w:val="single" w:color="C5D9EE"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Phase 3 Role</w:t>
            </w:r>
          </w:p>
        </w:tc>
      </w:tr>
      <w:tr>
        <w:tc>
          <w:tcPr>
            <w:tcW w:type="dxa" w:w="3500"/>
            <w:tcBorders>
              <w:top w:val="single" w:color="C5D9EE" w:sz="1"/>
              <w:left w:val="single" w:color="C5D9EE" w:sz="1"/>
              <w:bottom w:val="single" w:color="C5D9EE" w:sz="1"/>
              <w:right w:val="single" w:color="C5D9EE" w:sz="1"/>
            </w:tcBorders>
            <w:shd w:fill="F2F7FC" w:val="clear"/>
            <w:tcMar>
              <w:top w:type="dxa" w:w="60"/>
              <w:left w:type="dxa" w:w="100"/>
              <w:bottom w:type="dxa" w:w="60"/>
              <w:right w:type="dxa" w:w="100"/>
            </w:tcMar>
          </w:tcPr>
          <w:p>
            <w:r>
              <w:rPr>
                <w:rFonts w:ascii="Arial" w:cs="Arial" w:eastAsia="Arial" w:hAnsi="Arial"/>
                <w:b w:val="false"/>
                <w:bCs w:val="false"/>
                <w:color w:val="1A1A2E"/>
                <w:sz w:val="20"/>
                <w:szCs w:val="20"/>
              </w:rPr>
              <w:t xml:space="preserve">Schmidt &amp; Hunter (1998)</w:t>
            </w:r>
          </w:p>
        </w:tc>
        <w:tc>
          <w:tcPr>
            <w:tcW w:type="dxa" w:w="3000"/>
            <w:tcBorders>
              <w:top w:val="single" w:color="C5D9EE" w:sz="1"/>
              <w:left w:val="single" w:color="C5D9EE" w:sz="1"/>
              <w:bottom w:val="single" w:color="C5D9EE" w:sz="1"/>
              <w:right w:val="single" w:color="C5D9EE" w:sz="1"/>
            </w:tcBorders>
            <w:shd w:fill="F2F7FC" w:val="clear"/>
            <w:tcMar>
              <w:top w:type="dxa" w:w="60"/>
              <w:left w:type="dxa" w:w="100"/>
              <w:bottom w:type="dxa" w:w="60"/>
              <w:right w:type="dxa" w:w="100"/>
            </w:tcMar>
          </w:tcPr>
          <w:p>
            <w:r>
              <w:rPr>
                <w:rFonts w:ascii="Arial" w:cs="Arial" w:eastAsia="Arial" w:hAnsi="Arial"/>
                <w:b w:val="false"/>
                <w:bCs w:val="false"/>
                <w:color w:val="1A1A2E"/>
                <w:sz w:val="20"/>
                <w:szCs w:val="20"/>
              </w:rPr>
              <w:t xml:space="preserve">Motivates work-sample basis of DDM</w:t>
            </w:r>
          </w:p>
        </w:tc>
        <w:tc>
          <w:tcPr>
            <w:tcW w:type="dxa" w:w="3220"/>
            <w:tcBorders>
              <w:top w:val="single" w:color="C5D9EE" w:sz="1"/>
              <w:left w:val="single" w:color="C5D9EE" w:sz="1"/>
              <w:bottom w:val="single" w:color="C5D9EE" w:sz="1"/>
              <w:right w:val="single" w:color="C5D9EE" w:sz="1"/>
            </w:tcBorders>
            <w:shd w:fill="F2F7FC" w:val="clear"/>
            <w:tcMar>
              <w:top w:type="dxa" w:w="60"/>
              <w:left w:type="dxa" w:w="100"/>
              <w:bottom w:type="dxa" w:w="60"/>
              <w:right w:type="dxa" w:w="100"/>
            </w:tcMar>
          </w:tcPr>
          <w:p>
            <w:r>
              <w:rPr>
                <w:rFonts w:ascii="Arial" w:cs="Arial" w:eastAsia="Arial" w:hAnsi="Arial"/>
                <w:b w:val="false"/>
                <w:bCs w:val="false"/>
                <w:color w:val="1A1A2E"/>
                <w:sz w:val="20"/>
                <w:szCs w:val="20"/>
              </w:rPr>
              <w:t xml:space="preserve">Continuous score makes work-sample output more actionable than a tier label alone</w:t>
            </w:r>
          </w:p>
        </w:tc>
      </w:tr>
      <w:tr>
        <w:tc>
          <w:tcPr>
            <w:tcW w:type="dxa" w:w="3500"/>
            <w:tcBorders>
              <w:top w:val="single" w:color="C5D9EE" w:sz="1"/>
              <w:left w:val="single" w:color="C5D9EE" w:sz="1"/>
              <w:bottom w:val="single" w:color="C5D9EE" w:sz="1"/>
              <w:right w:val="single" w:color="C5D9EE" w:sz="1"/>
            </w:tcBorders>
            <w:shd w:fill="F2F7FC" w:val="clear"/>
            <w:tcMar>
              <w:top w:type="dxa" w:w="60"/>
              <w:left w:type="dxa" w:w="100"/>
              <w:bottom w:type="dxa" w:w="60"/>
              <w:right w:type="dxa" w:w="100"/>
            </w:tcMar>
          </w:tcPr>
          <w:p>
            <w:r>
              <w:rPr>
                <w:rFonts w:ascii="Arial" w:cs="Arial" w:eastAsia="Arial" w:hAnsi="Arial"/>
                <w:b w:val="false"/>
                <w:bCs w:val="false"/>
                <w:color w:val="1A1A2E"/>
                <w:sz w:val="20"/>
                <w:szCs w:val="20"/>
              </w:rPr>
              <w:t xml:space="preserve">Sackett et al. (2022)</w:t>
            </w:r>
          </w:p>
        </w:tc>
        <w:tc>
          <w:tcPr>
            <w:tcW w:type="dxa" w:w="3000"/>
            <w:tcBorders>
              <w:top w:val="single" w:color="C5D9EE" w:sz="1"/>
              <w:left w:val="single" w:color="C5D9EE" w:sz="1"/>
              <w:bottom w:val="single" w:color="C5D9EE" w:sz="1"/>
              <w:right w:val="single" w:color="C5D9EE" w:sz="1"/>
            </w:tcBorders>
            <w:shd w:fill="F2F7FC" w:val="clear"/>
            <w:tcMar>
              <w:top w:type="dxa" w:w="60"/>
              <w:left w:type="dxa" w:w="100"/>
              <w:bottom w:type="dxa" w:w="60"/>
              <w:right w:type="dxa" w:w="100"/>
            </w:tcMar>
          </w:tcPr>
          <w:p>
            <w:r>
              <w:rPr>
                <w:rFonts w:ascii="Arial" w:cs="Arial" w:eastAsia="Arial" w:hAnsi="Arial"/>
                <w:b w:val="false"/>
                <w:bCs w:val="false"/>
                <w:color w:val="1A1A2E"/>
                <w:sz w:val="20"/>
                <w:szCs w:val="20"/>
              </w:rPr>
              <w:t xml:space="preserve">Updates validity coefficients</w:t>
            </w:r>
          </w:p>
        </w:tc>
        <w:tc>
          <w:tcPr>
            <w:tcW w:type="dxa" w:w="3220"/>
            <w:tcBorders>
              <w:top w:val="single" w:color="C5D9EE" w:sz="1"/>
              <w:left w:val="single" w:color="C5D9EE" w:sz="1"/>
              <w:bottom w:val="single" w:color="C5D9EE" w:sz="1"/>
              <w:right w:val="single" w:color="C5D9EE" w:sz="1"/>
            </w:tcBorders>
            <w:shd w:fill="F2F7FC" w:val="clear"/>
            <w:tcMar>
              <w:top w:type="dxa" w:w="60"/>
              <w:left w:type="dxa" w:w="100"/>
              <w:bottom w:type="dxa" w:w="60"/>
              <w:right w:type="dxa" w:w="100"/>
            </w:tcMar>
          </w:tcPr>
          <w:p>
            <w:r>
              <w:rPr>
                <w:rFonts w:ascii="Arial" w:cs="Arial" w:eastAsia="Arial" w:hAnsi="Arial"/>
                <w:b w:val="false"/>
                <w:bCs w:val="false"/>
                <w:color w:val="1A1A2E"/>
                <w:sz w:val="20"/>
                <w:szCs w:val="20"/>
              </w:rPr>
              <w:t xml:space="preserve">Supports AUC as ranking metric: validity = ranking correlation with outcomes</w:t>
            </w:r>
          </w:p>
        </w:tc>
      </w:tr>
      <w:tr>
        <w:tc>
          <w:tcPr>
            <w:tcW w:type="dxa" w:w="3500"/>
            <w:tcBorders>
              <w:top w:val="single" w:color="C5D9EE" w:sz="1"/>
              <w:left w:val="single" w:color="C5D9EE" w:sz="1"/>
              <w:bottom w:val="single" w:color="C5D9EE" w:sz="1"/>
              <w:right w:val="single" w:color="C5D9EE" w:sz="1"/>
            </w:tcBorders>
            <w:shd w:fill="F2F7FC" w:val="clear"/>
            <w:tcMar>
              <w:top w:type="dxa" w:w="60"/>
              <w:left w:type="dxa" w:w="100"/>
              <w:bottom w:type="dxa" w:w="60"/>
              <w:right w:type="dxa" w:w="100"/>
            </w:tcMar>
          </w:tcPr>
          <w:p>
            <w:r>
              <w:rPr>
                <w:rFonts w:ascii="Arial" w:cs="Arial" w:eastAsia="Arial" w:hAnsi="Arial"/>
                <w:b w:val="false"/>
                <w:bCs w:val="false"/>
                <w:color w:val="1A1A2E"/>
                <w:sz w:val="20"/>
                <w:szCs w:val="20"/>
              </w:rPr>
              <w:t xml:space="preserve">Vaswani et al. (2017)</w:t>
            </w:r>
          </w:p>
        </w:tc>
        <w:tc>
          <w:tcPr>
            <w:tcW w:type="dxa" w:w="3000"/>
            <w:tcBorders>
              <w:top w:val="single" w:color="C5D9EE" w:sz="1"/>
              <w:left w:val="single" w:color="C5D9EE" w:sz="1"/>
              <w:bottom w:val="single" w:color="C5D9EE" w:sz="1"/>
              <w:right w:val="single" w:color="C5D9EE" w:sz="1"/>
            </w:tcBorders>
            <w:shd w:fill="F2F7FC" w:val="clear"/>
            <w:tcMar>
              <w:top w:type="dxa" w:w="60"/>
              <w:left w:type="dxa" w:w="100"/>
              <w:bottom w:type="dxa" w:w="60"/>
              <w:right w:type="dxa" w:w="100"/>
            </w:tcMar>
          </w:tcPr>
          <w:p>
            <w:r>
              <w:rPr>
                <w:rFonts w:ascii="Arial" w:cs="Arial" w:eastAsia="Arial" w:hAnsi="Arial"/>
                <w:b w:val="false"/>
                <w:bCs w:val="false"/>
                <w:color w:val="1A1A2E"/>
                <w:sz w:val="20"/>
                <w:szCs w:val="20"/>
              </w:rPr>
              <w:t xml:space="preserve">Transformer for sequence modeling</w:t>
            </w:r>
          </w:p>
        </w:tc>
        <w:tc>
          <w:tcPr>
            <w:tcW w:type="dxa" w:w="3220"/>
            <w:tcBorders>
              <w:top w:val="single" w:color="C5D9EE" w:sz="1"/>
              <w:left w:val="single" w:color="C5D9EE" w:sz="1"/>
              <w:bottom w:val="single" w:color="C5D9EE" w:sz="1"/>
              <w:right w:val="single" w:color="C5D9EE" w:sz="1"/>
            </w:tcBorders>
            <w:shd w:fill="F2F7FC" w:val="clear"/>
            <w:tcMar>
              <w:top w:type="dxa" w:w="60"/>
              <w:left w:type="dxa" w:w="100"/>
              <w:bottom w:type="dxa" w:w="60"/>
              <w:right w:type="dxa" w:w="100"/>
            </w:tcMar>
          </w:tcPr>
          <w:p>
            <w:r>
              <w:rPr>
                <w:rFonts w:ascii="Arial" w:cs="Arial" w:eastAsia="Arial" w:hAnsi="Arial"/>
                <w:b w:val="false"/>
                <w:bCs w:val="false"/>
                <w:color w:val="1A1A2E"/>
                <w:sz w:val="20"/>
                <w:szCs w:val="20"/>
              </w:rPr>
              <w:t xml:space="preserve">GBM ensemble complements Transformer-based encoders in future hybrid architecture</w:t>
            </w:r>
          </w:p>
        </w:tc>
      </w:tr>
      <w:tr>
        <w:tc>
          <w:tcPr>
            <w:tcW w:type="dxa" w:w="3500"/>
            <w:tcBorders>
              <w:top w:val="single" w:color="C5D9EE" w:sz="1"/>
              <w:left w:val="single" w:color="C5D9EE" w:sz="1"/>
              <w:bottom w:val="single" w:color="C5D9EE" w:sz="1"/>
              <w:right w:val="single" w:color="C5D9EE" w:sz="1"/>
            </w:tcBorders>
            <w:shd w:fill="F2F7FC" w:val="clear"/>
            <w:tcMar>
              <w:top w:type="dxa" w:w="60"/>
              <w:left w:type="dxa" w:w="100"/>
              <w:bottom w:type="dxa" w:w="60"/>
              <w:right w:type="dxa" w:w="100"/>
            </w:tcMar>
          </w:tcPr>
          <w:p>
            <w:r>
              <w:rPr>
                <w:rFonts w:ascii="Arial" w:cs="Arial" w:eastAsia="Arial" w:hAnsi="Arial"/>
                <w:b w:val="false"/>
                <w:bCs w:val="false"/>
                <w:color w:val="1A1A2E"/>
                <w:sz w:val="20"/>
                <w:szCs w:val="20"/>
              </w:rPr>
              <w:t xml:space="preserve">Devlin et al. (2019) — BERT</w:t>
            </w:r>
          </w:p>
        </w:tc>
        <w:tc>
          <w:tcPr>
            <w:tcW w:type="dxa" w:w="3000"/>
            <w:tcBorders>
              <w:top w:val="single" w:color="C5D9EE" w:sz="1"/>
              <w:left w:val="single" w:color="C5D9EE" w:sz="1"/>
              <w:bottom w:val="single" w:color="C5D9EE" w:sz="1"/>
              <w:right w:val="single" w:color="C5D9EE" w:sz="1"/>
            </w:tcBorders>
            <w:shd w:fill="F2F7FC" w:val="clear"/>
            <w:tcMar>
              <w:top w:type="dxa" w:w="60"/>
              <w:left w:type="dxa" w:w="100"/>
              <w:bottom w:type="dxa" w:w="60"/>
              <w:right w:type="dxa" w:w="100"/>
            </w:tcMar>
          </w:tcPr>
          <w:p>
            <w:r>
              <w:rPr>
                <w:rFonts w:ascii="Arial" w:cs="Arial" w:eastAsia="Arial" w:hAnsi="Arial"/>
                <w:b w:val="false"/>
                <w:bCs w:val="false"/>
                <w:color w:val="1A1A2E"/>
                <w:sz w:val="20"/>
                <w:szCs w:val="20"/>
              </w:rPr>
              <w:t xml:space="preserve">Masked event modeling pre-training</w:t>
            </w:r>
          </w:p>
        </w:tc>
        <w:tc>
          <w:tcPr>
            <w:tcW w:type="dxa" w:w="3220"/>
            <w:tcBorders>
              <w:top w:val="single" w:color="C5D9EE" w:sz="1"/>
              <w:left w:val="single" w:color="C5D9EE" w:sz="1"/>
              <w:bottom w:val="single" w:color="C5D9EE" w:sz="1"/>
              <w:right w:val="single" w:color="C5D9EE" w:sz="1"/>
            </w:tcBorders>
            <w:shd w:fill="F2F7FC" w:val="clear"/>
            <w:tcMar>
              <w:top w:type="dxa" w:w="60"/>
              <w:left w:type="dxa" w:w="100"/>
              <w:bottom w:type="dxa" w:w="60"/>
              <w:right w:type="dxa" w:w="100"/>
            </w:tcMar>
          </w:tcPr>
          <w:p>
            <w:r>
              <w:rPr>
                <w:rFonts w:ascii="Arial" w:cs="Arial" w:eastAsia="Arial" w:hAnsi="Arial"/>
                <w:b w:val="false"/>
                <w:bCs w:val="false"/>
                <w:color w:val="1A1A2E"/>
                <w:sz w:val="20"/>
                <w:szCs w:val="20"/>
              </w:rPr>
              <w:t xml:space="preserve">MEM objective remains in ensemble architecture as upstream feature extractor</w:t>
            </w:r>
          </w:p>
        </w:tc>
      </w:tr>
      <w:tr>
        <w:tc>
          <w:tcPr>
            <w:tcW w:type="dxa" w:w="3500"/>
            <w:tcBorders>
              <w:top w:val="single" w:color="C5D9EE" w:sz="1"/>
              <w:left w:val="single" w:color="C5D9EE" w:sz="1"/>
              <w:bottom w:val="single" w:color="C5D9EE" w:sz="1"/>
              <w:right w:val="single" w:color="C5D9EE" w:sz="1"/>
            </w:tcBorders>
            <w:shd w:fill="F2F7FC" w:val="clear"/>
            <w:tcMar>
              <w:top w:type="dxa" w:w="60"/>
              <w:left w:type="dxa" w:w="100"/>
              <w:bottom w:type="dxa" w:w="60"/>
              <w:right w:type="dxa" w:w="100"/>
            </w:tcMar>
          </w:tcPr>
          <w:p>
            <w:r>
              <w:rPr>
                <w:rFonts w:ascii="Arial" w:cs="Arial" w:eastAsia="Arial" w:hAnsi="Arial"/>
                <w:b w:val="false"/>
                <w:bCs w:val="false"/>
                <w:color w:val="1A1A2E"/>
                <w:sz w:val="20"/>
                <w:szCs w:val="20"/>
              </w:rPr>
              <w:t xml:space="preserve">Feng et al. (2020) — CodeBERT</w:t>
            </w:r>
          </w:p>
        </w:tc>
        <w:tc>
          <w:tcPr>
            <w:tcW w:type="dxa" w:w="3000"/>
            <w:tcBorders>
              <w:top w:val="single" w:color="C5D9EE" w:sz="1"/>
              <w:left w:val="single" w:color="C5D9EE" w:sz="1"/>
              <w:bottom w:val="single" w:color="C5D9EE" w:sz="1"/>
              <w:right w:val="single" w:color="C5D9EE" w:sz="1"/>
            </w:tcBorders>
            <w:shd w:fill="F2F7FC" w:val="clear"/>
            <w:tcMar>
              <w:top w:type="dxa" w:w="60"/>
              <w:left w:type="dxa" w:w="100"/>
              <w:bottom w:type="dxa" w:w="60"/>
              <w:right w:type="dxa" w:w="100"/>
            </w:tcMar>
          </w:tcPr>
          <w:p>
            <w:r>
              <w:rPr>
                <w:rFonts w:ascii="Arial" w:cs="Arial" w:eastAsia="Arial" w:hAnsi="Arial"/>
                <w:b w:val="false"/>
                <w:bCs w:val="false"/>
                <w:color w:val="1A1A2E"/>
                <w:sz w:val="20"/>
                <w:szCs w:val="20"/>
              </w:rPr>
              <w:t xml:space="preserve">Code-text bimodal embedding</w:t>
            </w:r>
          </w:p>
        </w:tc>
        <w:tc>
          <w:tcPr>
            <w:tcW w:type="dxa" w:w="3220"/>
            <w:tcBorders>
              <w:top w:val="single" w:color="C5D9EE" w:sz="1"/>
              <w:left w:val="single" w:color="C5D9EE" w:sz="1"/>
              <w:bottom w:val="single" w:color="C5D9EE" w:sz="1"/>
              <w:right w:val="single" w:color="C5D9EE" w:sz="1"/>
            </w:tcBorders>
            <w:shd w:fill="F2F7FC" w:val="clear"/>
            <w:tcMar>
              <w:top w:type="dxa" w:w="60"/>
              <w:left w:type="dxa" w:w="100"/>
              <w:bottom w:type="dxa" w:w="60"/>
              <w:right w:type="dxa" w:w="100"/>
            </w:tcMar>
          </w:tcPr>
          <w:p>
            <w:r>
              <w:rPr>
                <w:rFonts w:ascii="Arial" w:cs="Arial" w:eastAsia="Arial" w:hAnsi="Arial"/>
                <w:b w:val="false"/>
                <w:bCs w:val="false"/>
                <w:color w:val="1A1A2E"/>
                <w:sz w:val="20"/>
                <w:szCs w:val="20"/>
              </w:rPr>
              <w:t xml:space="preserve">CodeBERT features feed into Phase 3 GBM as pre-computed embeddings</w:t>
            </w:r>
          </w:p>
        </w:tc>
      </w:tr>
      <w:tr>
        <w:tc>
          <w:tcPr>
            <w:tcW w:type="dxa" w:w="3500"/>
            <w:tcBorders>
              <w:top w:val="single" w:color="C5D9EE" w:sz="1"/>
              <w:left w:val="single" w:color="C5D9EE" w:sz="1"/>
              <w:bottom w:val="single" w:color="C5D9EE" w:sz="1"/>
              <w:right w:val="single" w:color="C5D9EE" w:sz="1"/>
            </w:tcBorders>
            <w:shd w:fill="F2F7FC" w:val="clear"/>
            <w:tcMar>
              <w:top w:type="dxa" w:w="60"/>
              <w:left w:type="dxa" w:w="100"/>
              <w:bottom w:type="dxa" w:w="60"/>
              <w:right w:type="dxa" w:w="100"/>
            </w:tcMar>
          </w:tcPr>
          <w:p>
            <w:r>
              <w:rPr>
                <w:rFonts w:ascii="Arial" w:cs="Arial" w:eastAsia="Arial" w:hAnsi="Arial"/>
                <w:b w:val="false"/>
                <w:bCs w:val="false"/>
                <w:color w:val="1A1A2E"/>
                <w:sz w:val="20"/>
                <w:szCs w:val="20"/>
              </w:rPr>
              <w:t xml:space="preserve">Hamilton et al. (2017) — GraphSAGE</w:t>
            </w:r>
          </w:p>
        </w:tc>
        <w:tc>
          <w:tcPr>
            <w:tcW w:type="dxa" w:w="3000"/>
            <w:tcBorders>
              <w:top w:val="single" w:color="C5D9EE" w:sz="1"/>
              <w:left w:val="single" w:color="C5D9EE" w:sz="1"/>
              <w:bottom w:val="single" w:color="C5D9EE" w:sz="1"/>
              <w:right w:val="single" w:color="C5D9EE" w:sz="1"/>
            </w:tcBorders>
            <w:shd w:fill="F2F7FC" w:val="clear"/>
            <w:tcMar>
              <w:top w:type="dxa" w:w="60"/>
              <w:left w:type="dxa" w:w="100"/>
              <w:bottom w:type="dxa" w:w="60"/>
              <w:right w:type="dxa" w:w="100"/>
            </w:tcMar>
          </w:tcPr>
          <w:p>
            <w:r>
              <w:rPr>
                <w:rFonts w:ascii="Arial" w:cs="Arial" w:eastAsia="Arial" w:hAnsi="Arial"/>
                <w:b w:val="false"/>
                <w:bCs w:val="false"/>
                <w:color w:val="1A1A2E"/>
                <w:sz w:val="20"/>
                <w:szCs w:val="20"/>
              </w:rPr>
              <w:t xml:space="preserve">Inductive developer graph embedding</w:t>
            </w:r>
          </w:p>
        </w:tc>
        <w:tc>
          <w:tcPr>
            <w:tcW w:type="dxa" w:w="3220"/>
            <w:tcBorders>
              <w:top w:val="single" w:color="C5D9EE" w:sz="1"/>
              <w:left w:val="single" w:color="C5D9EE" w:sz="1"/>
              <w:bottom w:val="single" w:color="C5D9EE" w:sz="1"/>
              <w:right w:val="single" w:color="C5D9EE" w:sz="1"/>
            </w:tcBorders>
            <w:shd w:fill="F2F7FC" w:val="clear"/>
            <w:tcMar>
              <w:top w:type="dxa" w:w="60"/>
              <w:left w:type="dxa" w:w="100"/>
              <w:bottom w:type="dxa" w:w="60"/>
              <w:right w:type="dxa" w:w="100"/>
            </w:tcMar>
          </w:tcPr>
          <w:p>
            <w:r>
              <w:rPr>
                <w:rFonts w:ascii="Arial" w:cs="Arial" w:eastAsia="Arial" w:hAnsi="Arial"/>
                <w:b w:val="false"/>
                <w:bCs w:val="false"/>
                <w:color w:val="1A1A2E"/>
                <w:sz w:val="20"/>
                <w:szCs w:val="20"/>
              </w:rPr>
              <w:t xml:space="preserve">GNN embeddings are Phase 3 input features; graph structure unchanged</w:t>
            </w:r>
          </w:p>
        </w:tc>
      </w:tr>
      <w:tr>
        <w:tc>
          <w:tcPr>
            <w:tcW w:type="dxa" w:w="3500"/>
            <w:tcBorders>
              <w:top w:val="single" w:color="C5D9EE" w:sz="1"/>
              <w:left w:val="single" w:color="C5D9EE" w:sz="1"/>
              <w:bottom w:val="single" w:color="C5D9EE" w:sz="1"/>
              <w:right w:val="single" w:color="C5D9EE" w:sz="1"/>
            </w:tcBorders>
            <w:shd w:fill="F2F7FC" w:val="clear"/>
            <w:tcMar>
              <w:top w:type="dxa" w:w="60"/>
              <w:left w:type="dxa" w:w="100"/>
              <w:bottom w:type="dxa" w:w="60"/>
              <w:right w:type="dxa" w:w="100"/>
            </w:tcMar>
          </w:tcPr>
          <w:p>
            <w:r>
              <w:rPr>
                <w:rFonts w:ascii="Arial" w:cs="Arial" w:eastAsia="Arial" w:hAnsi="Arial"/>
                <w:b w:val="false"/>
                <w:bCs w:val="false"/>
                <w:color w:val="1A1A2E"/>
                <w:sz w:val="20"/>
                <w:szCs w:val="20"/>
              </w:rPr>
              <w:t xml:space="preserve">Barocas &amp; Selbst (2016)</w:t>
            </w:r>
          </w:p>
        </w:tc>
        <w:tc>
          <w:tcPr>
            <w:tcW w:type="dxa" w:w="3000"/>
            <w:tcBorders>
              <w:top w:val="single" w:color="C5D9EE" w:sz="1"/>
              <w:left w:val="single" w:color="C5D9EE" w:sz="1"/>
              <w:bottom w:val="single" w:color="C5D9EE" w:sz="1"/>
              <w:right w:val="single" w:color="C5D9EE" w:sz="1"/>
            </w:tcBorders>
            <w:shd w:fill="F2F7FC" w:val="clear"/>
            <w:tcMar>
              <w:top w:type="dxa" w:w="60"/>
              <w:left w:type="dxa" w:w="100"/>
              <w:bottom w:type="dxa" w:w="60"/>
              <w:right w:type="dxa" w:w="100"/>
            </w:tcMar>
          </w:tcPr>
          <w:p>
            <w:r>
              <w:rPr>
                <w:rFonts w:ascii="Arial" w:cs="Arial" w:eastAsia="Arial" w:hAnsi="Arial"/>
                <w:b w:val="false"/>
                <w:bCs w:val="false"/>
                <w:color w:val="1A1A2E"/>
                <w:sz w:val="20"/>
                <w:szCs w:val="20"/>
              </w:rPr>
              <w:t xml:space="preserve">Defines bias risk in hiring ML</w:t>
            </w:r>
          </w:p>
        </w:tc>
        <w:tc>
          <w:tcPr>
            <w:tcW w:type="dxa" w:w="3220"/>
            <w:tcBorders>
              <w:top w:val="single" w:color="C5D9EE" w:sz="1"/>
              <w:left w:val="single" w:color="C5D9EE" w:sz="1"/>
              <w:bottom w:val="single" w:color="C5D9EE" w:sz="1"/>
              <w:right w:val="single" w:color="C5D9EE" w:sz="1"/>
            </w:tcBorders>
            <w:shd w:fill="F2F7FC" w:val="clear"/>
            <w:tcMar>
              <w:top w:type="dxa" w:w="60"/>
              <w:left w:type="dxa" w:w="100"/>
              <w:bottom w:type="dxa" w:w="60"/>
              <w:right w:type="dxa" w:w="100"/>
            </w:tcMar>
          </w:tcPr>
          <w:p>
            <w:r>
              <w:rPr>
                <w:rFonts w:ascii="Arial" w:cs="Arial" w:eastAsia="Arial" w:hAnsi="Arial"/>
                <w:b w:val="false"/>
                <w:bCs w:val="false"/>
                <w:color w:val="1A1A2E"/>
                <w:sz w:val="20"/>
                <w:szCs w:val="20"/>
              </w:rPr>
              <w:t xml:space="preserve">Continuous score requires per-tier calibration to satisfy equal opportunity</w:t>
            </w:r>
          </w:p>
        </w:tc>
      </w:tr>
      <w:tr>
        <w:tc>
          <w:tcPr>
            <w:tcW w:type="dxa" w:w="3500"/>
            <w:tcBorders>
              <w:top w:val="single" w:color="C5D9EE" w:sz="1"/>
              <w:left w:val="single" w:color="C5D9EE" w:sz="1"/>
              <w:bottom w:val="single" w:color="C5D9EE" w:sz="1"/>
              <w:right w:val="single" w:color="C5D9EE" w:sz="1"/>
            </w:tcBorders>
            <w:shd w:fill="F2F7FC" w:val="clear"/>
            <w:tcMar>
              <w:top w:type="dxa" w:w="60"/>
              <w:left w:type="dxa" w:w="100"/>
              <w:bottom w:type="dxa" w:w="60"/>
              <w:right w:type="dxa" w:w="100"/>
            </w:tcMar>
          </w:tcPr>
          <w:p>
            <w:r>
              <w:rPr>
                <w:rFonts w:ascii="Arial" w:cs="Arial" w:eastAsia="Arial" w:hAnsi="Arial"/>
                <w:b w:val="false"/>
                <w:bCs w:val="false"/>
                <w:color w:val="1A1A2E"/>
                <w:sz w:val="20"/>
                <w:szCs w:val="20"/>
              </w:rPr>
              <w:t xml:space="preserve">Hardt et al. (2016)</w:t>
            </w:r>
          </w:p>
        </w:tc>
        <w:tc>
          <w:tcPr>
            <w:tcW w:type="dxa" w:w="3000"/>
            <w:tcBorders>
              <w:top w:val="single" w:color="C5D9EE" w:sz="1"/>
              <w:left w:val="single" w:color="C5D9EE" w:sz="1"/>
              <w:bottom w:val="single" w:color="C5D9EE" w:sz="1"/>
              <w:right w:val="single" w:color="C5D9EE" w:sz="1"/>
            </w:tcBorders>
            <w:shd w:fill="F2F7FC" w:val="clear"/>
            <w:tcMar>
              <w:top w:type="dxa" w:w="60"/>
              <w:left w:type="dxa" w:w="100"/>
              <w:bottom w:type="dxa" w:w="60"/>
              <w:right w:type="dxa" w:w="100"/>
            </w:tcMar>
          </w:tcPr>
          <w:p>
            <w:r>
              <w:rPr>
                <w:rFonts w:ascii="Arial" w:cs="Arial" w:eastAsia="Arial" w:hAnsi="Arial"/>
                <w:b w:val="false"/>
                <w:bCs w:val="false"/>
                <w:color w:val="1A1A2E"/>
                <w:sz w:val="20"/>
                <w:szCs w:val="20"/>
              </w:rPr>
              <w:t xml:space="preserve">Equality of opportunity framework</w:t>
            </w:r>
          </w:p>
        </w:tc>
        <w:tc>
          <w:tcPr>
            <w:tcW w:type="dxa" w:w="3220"/>
            <w:tcBorders>
              <w:top w:val="single" w:color="C5D9EE" w:sz="1"/>
              <w:left w:val="single" w:color="C5D9EE" w:sz="1"/>
              <w:bottom w:val="single" w:color="C5D9EE" w:sz="1"/>
              <w:right w:val="single" w:color="C5D9EE" w:sz="1"/>
            </w:tcBorders>
            <w:shd w:fill="F2F7FC" w:val="clear"/>
            <w:tcMar>
              <w:top w:type="dxa" w:w="60"/>
              <w:left w:type="dxa" w:w="100"/>
              <w:bottom w:type="dxa" w:w="60"/>
              <w:right w:type="dxa" w:w="100"/>
            </w:tcMar>
          </w:tcPr>
          <w:p>
            <w:r>
              <w:rPr>
                <w:rFonts w:ascii="Arial" w:cs="Arial" w:eastAsia="Arial" w:hAnsi="Arial"/>
                <w:b w:val="false"/>
                <w:bCs w:val="false"/>
                <w:color w:val="1A1A2E"/>
                <w:sz w:val="20"/>
                <w:szCs w:val="20"/>
              </w:rPr>
              <w:t xml:space="preserve">Post-processing threshold adjustment applied per cohort to continuous score</w:t>
            </w:r>
          </w:p>
        </w:tc>
      </w:tr>
      <w:tr>
        <w:tc>
          <w:tcPr>
            <w:tcW w:type="dxa" w:w="3500"/>
            <w:tcBorders>
              <w:top w:val="single" w:color="C5D9EE" w:sz="1"/>
              <w:left w:val="single" w:color="C5D9EE" w:sz="1"/>
              <w:bottom w:val="single" w:color="C5D9EE" w:sz="1"/>
              <w:right w:val="single" w:color="C5D9EE" w:sz="1"/>
            </w:tcBorders>
            <w:shd w:fill="F2F7FC" w:val="clear"/>
            <w:tcMar>
              <w:top w:type="dxa" w:w="60"/>
              <w:left w:type="dxa" w:w="100"/>
              <w:bottom w:type="dxa" w:w="60"/>
              <w:right w:type="dxa" w:w="100"/>
            </w:tcMar>
          </w:tcPr>
          <w:p>
            <w:r>
              <w:rPr>
                <w:rFonts w:ascii="Arial" w:cs="Arial" w:eastAsia="Arial" w:hAnsi="Arial"/>
                <w:b w:val="false"/>
                <w:bCs w:val="false"/>
                <w:color w:val="1A1A2E"/>
                <w:sz w:val="20"/>
                <w:szCs w:val="20"/>
              </w:rPr>
              <w:t xml:space="preserve">Zhang et al. (2018) — Adversarial debiasing</w:t>
            </w:r>
          </w:p>
        </w:tc>
        <w:tc>
          <w:tcPr>
            <w:tcW w:type="dxa" w:w="3000"/>
            <w:tcBorders>
              <w:top w:val="single" w:color="C5D9EE" w:sz="1"/>
              <w:left w:val="single" w:color="C5D9EE" w:sz="1"/>
              <w:bottom w:val="single" w:color="C5D9EE" w:sz="1"/>
              <w:right w:val="single" w:color="C5D9EE" w:sz="1"/>
            </w:tcBorders>
            <w:shd w:fill="F2F7FC" w:val="clear"/>
            <w:tcMar>
              <w:top w:type="dxa" w:w="60"/>
              <w:left w:type="dxa" w:w="100"/>
              <w:bottom w:type="dxa" w:w="60"/>
              <w:right w:type="dxa" w:w="100"/>
            </w:tcMar>
          </w:tcPr>
          <w:p>
            <w:r>
              <w:rPr>
                <w:rFonts w:ascii="Arial" w:cs="Arial" w:eastAsia="Arial" w:hAnsi="Arial"/>
                <w:b w:val="false"/>
                <w:bCs w:val="false"/>
                <w:color w:val="1A1A2E"/>
                <w:sz w:val="20"/>
                <w:szCs w:val="20"/>
              </w:rPr>
              <w:t xml:space="preserve">In-training fairness constraint</w:t>
            </w:r>
          </w:p>
        </w:tc>
        <w:tc>
          <w:tcPr>
            <w:tcW w:type="dxa" w:w="3220"/>
            <w:tcBorders>
              <w:top w:val="single" w:color="C5D9EE" w:sz="1"/>
              <w:left w:val="single" w:color="C5D9EE" w:sz="1"/>
              <w:bottom w:val="single" w:color="C5D9EE" w:sz="1"/>
              <w:right w:val="single" w:color="C5D9EE" w:sz="1"/>
            </w:tcBorders>
            <w:shd w:fill="F2F7FC" w:val="clear"/>
            <w:tcMar>
              <w:top w:type="dxa" w:w="60"/>
              <w:left w:type="dxa" w:w="100"/>
              <w:bottom w:type="dxa" w:w="60"/>
              <w:right w:type="dxa" w:w="100"/>
            </w:tcMar>
          </w:tcPr>
          <w:p>
            <w:r>
              <w:rPr>
                <w:rFonts w:ascii="Arial" w:cs="Arial" w:eastAsia="Arial" w:hAnsi="Arial"/>
                <w:b w:val="false"/>
                <w:bCs w:val="false"/>
                <w:color w:val="1A1A2E"/>
                <w:sz w:val="20"/>
                <w:szCs w:val="20"/>
              </w:rPr>
              <w:t xml:space="preserve">Adversarial debiasing applied at GBM pre-training stage</w:t>
            </w:r>
          </w:p>
        </w:tc>
      </w:tr>
      <w:tr>
        <w:tc>
          <w:tcPr>
            <w:tcW w:type="dxa" w:w="3500"/>
            <w:tcBorders>
              <w:top w:val="single" w:color="C5D9EE" w:sz="1"/>
              <w:left w:val="single" w:color="C5D9EE" w:sz="1"/>
              <w:bottom w:val="single" w:color="C5D9EE" w:sz="1"/>
              <w:right w:val="single" w:color="C5D9EE" w:sz="1"/>
            </w:tcBorders>
            <w:shd w:fill="F2F7FC" w:val="clear"/>
            <w:tcMar>
              <w:top w:type="dxa" w:w="60"/>
              <w:left w:type="dxa" w:w="100"/>
              <w:bottom w:type="dxa" w:w="60"/>
              <w:right w:type="dxa" w:w="100"/>
            </w:tcMar>
          </w:tcPr>
          <w:p>
            <w:r>
              <w:rPr>
                <w:rFonts w:ascii="Arial" w:cs="Arial" w:eastAsia="Arial" w:hAnsi="Arial"/>
                <w:b w:val="false"/>
                <w:bCs w:val="false"/>
                <w:color w:val="1A1A2E"/>
                <w:sz w:val="20"/>
                <w:szCs w:val="20"/>
              </w:rPr>
              <w:t xml:space="preserve">Highhouse (2008)</w:t>
            </w:r>
          </w:p>
        </w:tc>
        <w:tc>
          <w:tcPr>
            <w:tcW w:type="dxa" w:w="3000"/>
            <w:tcBorders>
              <w:top w:val="single" w:color="C5D9EE" w:sz="1"/>
              <w:left w:val="single" w:color="C5D9EE" w:sz="1"/>
              <w:bottom w:val="single" w:color="C5D9EE" w:sz="1"/>
              <w:right w:val="single" w:color="C5D9EE" w:sz="1"/>
            </w:tcBorders>
            <w:shd w:fill="F2F7FC" w:val="clear"/>
            <w:tcMar>
              <w:top w:type="dxa" w:w="60"/>
              <w:left w:type="dxa" w:w="100"/>
              <w:bottom w:type="dxa" w:w="60"/>
              <w:right w:type="dxa" w:w="100"/>
            </w:tcMar>
          </w:tcPr>
          <w:p>
            <w:r>
              <w:rPr>
                <w:rFonts w:ascii="Arial" w:cs="Arial" w:eastAsia="Arial" w:hAnsi="Arial"/>
                <w:b w:val="false"/>
                <w:bCs w:val="false"/>
                <w:color w:val="1A1A2E"/>
                <w:sz w:val="20"/>
                <w:szCs w:val="20"/>
              </w:rPr>
              <w:t xml:space="preserve">Legibility requirement for practitioners</w:t>
            </w:r>
          </w:p>
        </w:tc>
        <w:tc>
          <w:tcPr>
            <w:tcW w:type="dxa" w:w="3220"/>
            <w:tcBorders>
              <w:top w:val="single" w:color="C5D9EE" w:sz="1"/>
              <w:left w:val="single" w:color="C5D9EE" w:sz="1"/>
              <w:bottom w:val="single" w:color="C5D9EE" w:sz="1"/>
              <w:right w:val="single" w:color="C5D9EE" w:sz="1"/>
            </w:tcBorders>
            <w:shd w:fill="F2F7FC" w:val="clear"/>
            <w:tcMar>
              <w:top w:type="dxa" w:w="60"/>
              <w:left w:type="dxa" w:w="100"/>
              <w:bottom w:type="dxa" w:w="60"/>
              <w:right w:type="dxa" w:w="100"/>
            </w:tcMar>
          </w:tcPr>
          <w:p>
            <w:r>
              <w:rPr>
                <w:rFonts w:ascii="Arial" w:cs="Arial" w:eastAsia="Arial" w:hAnsi="Arial"/>
                <w:b w:val="false"/>
                <w:bCs w:val="false"/>
                <w:color w:val="1A1A2E"/>
                <w:sz w:val="20"/>
                <w:szCs w:val="20"/>
              </w:rPr>
              <w:t xml:space="preserve">Confidence score and per-class probabilities directly support recruiter legibility</w:t>
            </w:r>
          </w:p>
        </w:tc>
      </w:tr>
    </w:tbl>
    <w:p>
      <w:pPr>
        <w:spacing w:after="0" w:before="200"/>
      </w:pPr>
      <w:r>
        <w:t xml:space="preserve"/>
      </w:r>
    </w:p>
    <w:p>
      <w:pPr>
        <w:pBdr>
          <w:bottom w:val="single" w:color="2E75B6" w:sz="4" w:space="4"/>
        </w:pBdr>
        <w:spacing w:after="120" w:before="360"/>
      </w:pPr>
      <w:r>
        <w:rPr>
          <w:rFonts w:ascii="Arial" w:cs="Arial" w:eastAsia="Arial" w:hAnsi="Arial"/>
          <w:b/>
          <w:bCs/>
          <w:color w:val="1F4E79"/>
          <w:sz w:val="28"/>
          <w:szCs w:val="28"/>
        </w:rPr>
        <w:t xml:space="preserve">2.6  Synthesis: The Phase 3 Literature Gap</w:t>
      </w:r>
    </w:p>
    <w:p>
      <w:pPr>
        <w:spacing w:after="80" w:before="80"/>
        <w:jc w:val="both"/>
      </w:pPr>
      <w:r>
        <w:rPr>
          <w:rFonts w:ascii="Arial" w:cs="Arial" w:eastAsia="Arial" w:hAnsi="Arial"/>
          <w:color w:val="1A1A2E"/>
          <w:sz w:val="22"/>
          <w:szCs w:val="22"/>
        </w:rPr>
        <w:t xml:space="preserve">The three new literature streams reviewed above — ensemble methods, data-centric AI, and continuous scoring — each contribute independently to the Phase 3 design. Their intersection, however, defines a gap that is specific to Phase 3 and that no existing work addresses in combination.</w:t>
      </w:r>
    </w:p>
    <w:p>
      <w:pPr>
        <w:spacing w:after="0" w:before="120"/>
      </w:pPr>
      <w:r>
        <w:t xml:space="preserve"/>
      </w:r>
    </w:p>
    <w:p>
      <w:pPr>
        <w:spacing w:after="80" w:before="80"/>
        <w:jc w:val="both"/>
      </w:pPr>
      <w:r>
        <w:rPr>
          <w:rFonts w:ascii="Arial" w:cs="Arial" w:eastAsia="Arial" w:hAnsi="Arial"/>
          <w:b/>
          <w:bCs/>
          <w:color w:val="1A1A2E"/>
          <w:sz w:val="22"/>
          <w:szCs w:val="22"/>
        </w:rPr>
        <w:t xml:space="preserve">Ensemble methods research (Friedman, 2001; Dietterich, 2000; Chen &amp; Guestrin, 2016) </w:t>
      </w:r>
      <w:r>
        <w:rPr>
          <w:rFonts w:ascii="Arial" w:cs="Arial" w:eastAsia="Arial" w:hAnsi="Arial"/>
          <w:color w:val="1A1A2E"/>
          <w:sz w:val="22"/>
          <w:szCs w:val="22"/>
        </w:rPr>
        <w:t xml:space="preserve">demonstrates that diverse model combinations outperform individual classifiers and provides the theoretical tools to design diversity deliberately. What this literature does not address is the downstream use of ensemble outputs: ensemble classifiers in the classification literature output hard labels or calibrated probabilities, but they do not combine these outputs with domain-specific scoring formulas (the DDS formula) and tier-anchoring constraints. The DDM's continuous score output is a novel application of soft-vote probability averaging that goes beyond standard ensemble classification.</w:t>
      </w:r>
    </w:p>
    <w:p>
      <w:pPr>
        <w:spacing w:after="0" w:before="80"/>
      </w:pPr>
      <w:r>
        <w:t xml:space="preserve"/>
      </w:r>
    </w:p>
    <w:p>
      <w:pPr>
        <w:spacing w:after="80" w:before="80"/>
        <w:jc w:val="both"/>
      </w:pPr>
      <w:r>
        <w:rPr>
          <w:rFonts w:ascii="Arial" w:cs="Arial" w:eastAsia="Arial" w:hAnsi="Arial"/>
          <w:b/>
          <w:bCs/>
          <w:color w:val="1A1A2E"/>
          <w:sz w:val="22"/>
          <w:szCs w:val="22"/>
        </w:rPr>
        <w:t xml:space="preserve">Data-centric AI research (Ng, 2021; Sambasivan et al., 2021; Jordon et al., 2022) </w:t>
      </w:r>
      <w:r>
        <w:rPr>
          <w:rFonts w:ascii="Arial" w:cs="Arial" w:eastAsia="Arial" w:hAnsi="Arial"/>
          <w:color w:val="1A1A2E"/>
          <w:sz w:val="22"/>
          <w:szCs w:val="22"/>
        </w:rPr>
        <w:t xml:space="preserve">establishes the principle of targeted data improvement over model scaling. What this literature does not provide is an empirical case where the data-centric hypothesis is tested against a specific behavioral signal domain — software development — where the causal structure is well-defined and the failure modes are diagnosable from confusion matrix analysis. Phase 3 contributes this case study to the data-centric AI literature.</w:t>
      </w:r>
    </w:p>
    <w:p>
      <w:pPr>
        <w:spacing w:after="0" w:before="80"/>
      </w:pPr>
      <w:r>
        <w:t xml:space="preserve"/>
      </w:r>
    </w:p>
    <w:p>
      <w:pPr>
        <w:spacing w:after="80" w:before="80"/>
        <w:jc w:val="both"/>
      </w:pPr>
      <w:r>
        <w:rPr>
          <w:rFonts w:ascii="Arial" w:cs="Arial" w:eastAsia="Arial" w:hAnsi="Arial"/>
          <w:b/>
          <w:bCs/>
          <w:color w:val="1A1A2E"/>
          <w:sz w:val="22"/>
          <w:szCs w:val="22"/>
        </w:rPr>
        <w:t xml:space="preserve">Continuous scoring and calibration research (Platt, 1999; Niculescu-Mizil &amp; Caruana, 2005; Cortes &amp; Mohri, 2004) </w:t>
      </w:r>
      <w:r>
        <w:rPr>
          <w:rFonts w:ascii="Arial" w:cs="Arial" w:eastAsia="Arial" w:hAnsi="Arial"/>
          <w:color w:val="1A1A2E"/>
          <w:sz w:val="22"/>
          <w:szCs w:val="22"/>
        </w:rPr>
        <w:t xml:space="preserve">provides the tools for converting classifier probabilities into reliable rankings. What this literature does not address is the interaction between calibration and fairness in high-stakes hiring contexts: calibration adjustments that improve overall ranking accuracy may do so unevenly across demographic groups, requiring per-cohort recalibration as mandated by Hardt et al.'s equality of opportunity framework. Phase 3's post-processing calibration is the DDM's answer to this gap.</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8960"/>
      </w:tblGrid>
      <w:tr>
        <w:tc>
          <w:tcPr>
            <w:tcW w:type="dxa" w:w="360"/>
            <w:tcBorders>
              <w:top w:val="nil" w:color="FFFFFF" w:sz="0"/>
              <w:left w:val="nil" w:color="FFFFFF" w:sz="0"/>
              <w:bottom w:val="nil" w:color="FFFFFF" w:sz="0"/>
              <w:right w:val="nil" w:color="FFFFFF" w:sz="0"/>
            </w:tcBorders>
            <w:shd w:fill="2E75B6" w:val="clear"/>
          </w:tcPr>
          <w:p>
            <w:r>
              <w:t xml:space="preserve"/>
            </w:r>
          </w:p>
        </w:tc>
        <w:tc>
          <w:tcPr>
            <w:tcW w:type="dxa" w:w="8960"/>
            <w:tcBorders>
              <w:top w:val="nil" w:color="FFFFFF" w:sz="0"/>
              <w:left w:val="nil" w:color="FFFFFF" w:sz="0"/>
              <w:bottom w:val="nil" w:color="FFFFFF" w:sz="0"/>
              <w:right w:val="nil" w:color="FFFFFF" w:sz="0"/>
            </w:tcBorders>
            <w:shd w:fill="D6E4F0" w:val="clear"/>
            <w:tcMar>
              <w:top w:type="dxa" w:w="100"/>
              <w:left w:type="dxa" w:w="180"/>
              <w:bottom w:type="dxa" w:w="100"/>
              <w:right w:type="dxa" w:w="120"/>
            </w:tcMar>
          </w:tcPr>
          <w:p>
            <w:pPr>
              <w:jc w:val="both"/>
            </w:pPr>
            <w:r>
              <w:rPr>
                <w:rFonts w:ascii="Arial" w:cs="Arial" w:eastAsia="Arial" w:hAnsi="Arial"/>
                <w:i/>
                <w:iCs/>
                <w:color w:val="1F4E79"/>
                <w:sz w:val="20"/>
                <w:szCs w:val="20"/>
              </w:rPr>
              <w:t xml:space="preserve">The Phase 3 DDM is, to the best of the authors' knowledge, the first system to combine (1) a soft-vote ensemble of calibrated GBM, MLP, and SVM models, (2) trained on a synthetically expanded dataset targeting documented behavioral failure modes, (3) producing a tier-anchored continuous score with per-cohort fairness calibration, (4) applied to the domain of developer competency assessment from version-controlled behavioral signals. No existing work combines all four properties.</w:t>
            </w:r>
          </w:p>
        </w:tc>
      </w:tr>
    </w:tbl>
    <w:p>
      <w:pPr>
        <w:spacing w:after="0" w:before="200"/>
      </w:pPr>
      <w:r>
        <w:t xml:space="preserve"/>
      </w:r>
    </w:p>
    <w:p>
      <w:pPr>
        <w:pBdr>
          <w:bottom w:val="single" w:color="2E75B6" w:sz="4" w:space="4"/>
        </w:pBdr>
        <w:spacing w:after="120" w:before="360"/>
      </w:pPr>
      <w:r>
        <w:rPr>
          <w:rFonts w:ascii="Arial" w:cs="Arial" w:eastAsia="Arial" w:hAnsi="Arial"/>
          <w:b/>
          <w:bCs/>
          <w:color w:val="1F4E79"/>
          <w:sz w:val="28"/>
          <w:szCs w:val="28"/>
        </w:rPr>
        <w:t xml:space="preserve">References</w:t>
      </w:r>
    </w:p>
    <w:p>
      <w:pPr>
        <w:spacing w:after="80" w:before="80"/>
        <w:jc w:val="both"/>
      </w:pPr>
      <w:r>
        <w:rPr>
          <w:rFonts w:ascii="Arial" w:cs="Arial" w:eastAsia="Arial" w:hAnsi="Arial"/>
          <w:color w:val="1A1A2E"/>
          <w:sz w:val="22"/>
          <w:szCs w:val="22"/>
        </w:rPr>
        <w:t xml:space="preserve">Phase 3 New References (12 primary):</w:t>
      </w:r>
    </w:p>
    <w:p>
      <w:pPr>
        <w:spacing w:after="0" w:before="80"/>
      </w:pPr>
      <w:r>
        <w:t xml:space="preserve"/>
      </w:r>
    </w:p>
    <w:p>
      <w:pPr>
        <w:pStyle w:val="ListParagraph"/>
        <w:numPr>
          <w:ilvl w:val="0"/>
          <w:numId w:val="2"/>
        </w:numPr>
        <w:spacing w:after="40" w:before="60"/>
      </w:pPr>
      <w:r>
        <w:rPr>
          <w:rFonts w:ascii="Arial" w:cs="Arial" w:eastAsia="Arial" w:hAnsi="Arial"/>
          <w:color w:val="1A1A2E"/>
          <w:sz w:val="20"/>
          <w:szCs w:val="20"/>
        </w:rPr>
        <w:t xml:space="preserve">Breiman, L. (2001). Random forests. Machine Learning, 45(1), 5–32.</w:t>
      </w:r>
    </w:p>
    <w:p>
      <w:pPr>
        <w:pStyle w:val="ListParagraph"/>
        <w:numPr>
          <w:ilvl w:val="0"/>
          <w:numId w:val="2"/>
        </w:numPr>
        <w:spacing w:after="40" w:before="60"/>
      </w:pPr>
      <w:r>
        <w:rPr>
          <w:rFonts w:ascii="Arial" w:cs="Arial" w:eastAsia="Arial" w:hAnsi="Arial"/>
          <w:color w:val="1A1A2E"/>
          <w:sz w:val="20"/>
          <w:szCs w:val="20"/>
        </w:rPr>
        <w:t xml:space="preserve">Chen, T. &amp; Guestrin, C. (2016). XGBoost: A scalable tree boosting system. KDD 2016, 785–794.</w:t>
      </w:r>
    </w:p>
    <w:p>
      <w:pPr>
        <w:pStyle w:val="ListParagraph"/>
        <w:numPr>
          <w:ilvl w:val="0"/>
          <w:numId w:val="2"/>
        </w:numPr>
        <w:spacing w:after="40" w:before="60"/>
      </w:pPr>
      <w:r>
        <w:rPr>
          <w:rFonts w:ascii="Arial" w:cs="Arial" w:eastAsia="Arial" w:hAnsi="Arial"/>
          <w:color w:val="1A1A2E"/>
          <w:sz w:val="20"/>
          <w:szCs w:val="20"/>
        </w:rPr>
        <w:t xml:space="preserve">Claes, M., Mens, T., &amp; Grosjean, P. (2018). On the influences of coding habits on software quality. EMSE, 23(5), 2730–2766.</w:t>
      </w:r>
    </w:p>
    <w:p>
      <w:pPr>
        <w:pStyle w:val="ListParagraph"/>
        <w:numPr>
          <w:ilvl w:val="0"/>
          <w:numId w:val="2"/>
        </w:numPr>
        <w:spacing w:after="40" w:before="60"/>
      </w:pPr>
      <w:r>
        <w:rPr>
          <w:rFonts w:ascii="Arial" w:cs="Arial" w:eastAsia="Arial" w:hAnsi="Arial"/>
          <w:color w:val="1A1A2E"/>
          <w:sz w:val="20"/>
          <w:szCs w:val="20"/>
        </w:rPr>
        <w:t xml:space="preserve">Cohen, W.W., Schapire, R.E., &amp; Singer, Y. (1999). Learning to order things. JAIR, 10, 243–270.</w:t>
      </w:r>
    </w:p>
    <w:p>
      <w:pPr>
        <w:pStyle w:val="ListParagraph"/>
        <w:numPr>
          <w:ilvl w:val="0"/>
          <w:numId w:val="2"/>
        </w:numPr>
        <w:spacing w:after="40" w:before="60"/>
      </w:pPr>
      <w:r>
        <w:rPr>
          <w:rFonts w:ascii="Arial" w:cs="Arial" w:eastAsia="Arial" w:hAnsi="Arial"/>
          <w:color w:val="1A1A2E"/>
          <w:sz w:val="20"/>
          <w:szCs w:val="20"/>
        </w:rPr>
        <w:t xml:space="preserve">Cortes, C. &amp; Mohri, M. (2004). AUC optimization vs. error rate minimization. NeurIPS 2004.</w:t>
      </w:r>
    </w:p>
    <w:p>
      <w:pPr>
        <w:pStyle w:val="ListParagraph"/>
        <w:numPr>
          <w:ilvl w:val="0"/>
          <w:numId w:val="2"/>
        </w:numPr>
        <w:spacing w:after="40" w:before="60"/>
      </w:pPr>
      <w:r>
        <w:rPr>
          <w:rFonts w:ascii="Arial" w:cs="Arial" w:eastAsia="Arial" w:hAnsi="Arial"/>
          <w:color w:val="1A1A2E"/>
          <w:sz w:val="20"/>
          <w:szCs w:val="20"/>
        </w:rPr>
        <w:t xml:space="preserve">Dietterich, T.G. (2000). Ensemble methods in machine learning. MCS 2000, LNCS 1857, 1–15.</w:t>
      </w:r>
    </w:p>
    <w:p>
      <w:pPr>
        <w:pStyle w:val="ListParagraph"/>
        <w:numPr>
          <w:ilvl w:val="0"/>
          <w:numId w:val="2"/>
        </w:numPr>
        <w:spacing w:after="40" w:before="60"/>
      </w:pPr>
      <w:r>
        <w:rPr>
          <w:rFonts w:ascii="Arial" w:cs="Arial" w:eastAsia="Arial" w:hAnsi="Arial"/>
          <w:color w:val="1A1A2E"/>
          <w:sz w:val="20"/>
          <w:szCs w:val="20"/>
        </w:rPr>
        <w:t xml:space="preserve">Dwork, C. et al. (2012). Fairness through awareness. ITCS 2012, 214–226.</w:t>
      </w:r>
    </w:p>
    <w:p>
      <w:pPr>
        <w:pStyle w:val="ListParagraph"/>
        <w:numPr>
          <w:ilvl w:val="0"/>
          <w:numId w:val="2"/>
        </w:numPr>
        <w:spacing w:after="40" w:before="60"/>
      </w:pPr>
      <w:r>
        <w:rPr>
          <w:rFonts w:ascii="Arial" w:cs="Arial" w:eastAsia="Arial" w:hAnsi="Arial"/>
          <w:color w:val="1A1A2E"/>
          <w:sz w:val="20"/>
          <w:szCs w:val="20"/>
        </w:rPr>
        <w:t xml:space="preserve">Freund, Y. &amp; Schapire, R.E. (1997). A decision-theoretic generalization of on-line learning. JCSS, 55(1), 119–139.</w:t>
      </w:r>
    </w:p>
    <w:p>
      <w:pPr>
        <w:pStyle w:val="ListParagraph"/>
        <w:numPr>
          <w:ilvl w:val="0"/>
          <w:numId w:val="2"/>
        </w:numPr>
        <w:spacing w:after="40" w:before="60"/>
      </w:pPr>
      <w:r>
        <w:rPr>
          <w:rFonts w:ascii="Arial" w:cs="Arial" w:eastAsia="Arial" w:hAnsi="Arial"/>
          <w:color w:val="1A1A2E"/>
          <w:sz w:val="20"/>
          <w:szCs w:val="20"/>
        </w:rPr>
        <w:t xml:space="preserve">Friedman, J.H. (2001). Greedy function approximation: A gradient boosting machine. Annals of Statistics, 29(5), 1189–1232.</w:t>
      </w:r>
    </w:p>
    <w:p>
      <w:pPr>
        <w:pStyle w:val="ListParagraph"/>
        <w:numPr>
          <w:ilvl w:val="0"/>
          <w:numId w:val="2"/>
        </w:numPr>
        <w:spacing w:after="40" w:before="60"/>
      </w:pPr>
      <w:r>
        <w:rPr>
          <w:rFonts w:ascii="Arial" w:cs="Arial" w:eastAsia="Arial" w:hAnsi="Arial"/>
          <w:color w:val="1A1A2E"/>
          <w:sz w:val="20"/>
          <w:szCs w:val="20"/>
        </w:rPr>
        <w:t xml:space="preserve">Gousios, G. et al. (2014). An exploratory study of the pull-based software development model. ICSE 2014, 345–355.</w:t>
      </w:r>
    </w:p>
    <w:p>
      <w:pPr>
        <w:pStyle w:val="ListParagraph"/>
        <w:numPr>
          <w:ilvl w:val="0"/>
          <w:numId w:val="2"/>
        </w:numPr>
        <w:spacing w:after="40" w:before="60"/>
      </w:pPr>
      <w:r>
        <w:rPr>
          <w:rFonts w:ascii="Arial" w:cs="Arial" w:eastAsia="Arial" w:hAnsi="Arial"/>
          <w:color w:val="1A1A2E"/>
          <w:sz w:val="20"/>
          <w:szCs w:val="20"/>
        </w:rPr>
        <w:t xml:space="preserve">Hand, D.J. &amp; Till, R.J. (2001). A simple generalisation of the area under the ROC curve. Machine Learning, 45(2), 171–186.</w:t>
      </w:r>
    </w:p>
    <w:p>
      <w:pPr>
        <w:pStyle w:val="ListParagraph"/>
        <w:numPr>
          <w:ilvl w:val="0"/>
          <w:numId w:val="2"/>
        </w:numPr>
        <w:spacing w:after="40" w:before="60"/>
      </w:pPr>
      <w:r>
        <w:rPr>
          <w:rFonts w:ascii="Arial" w:cs="Arial" w:eastAsia="Arial" w:hAnsi="Arial"/>
          <w:color w:val="1A1A2E"/>
          <w:sz w:val="20"/>
          <w:szCs w:val="20"/>
        </w:rPr>
        <w:t xml:space="preserve">Jordon, J. et al. (2022). Synthetic data — what, why and how? The Royal Statistical Society Significance, 19(4), 12–17.</w:t>
      </w:r>
    </w:p>
    <w:p>
      <w:pPr>
        <w:pStyle w:val="ListParagraph"/>
        <w:numPr>
          <w:ilvl w:val="0"/>
          <w:numId w:val="2"/>
        </w:numPr>
        <w:spacing w:after="40" w:before="60"/>
      </w:pPr>
      <w:r>
        <w:rPr>
          <w:rFonts w:ascii="Arial" w:cs="Arial" w:eastAsia="Arial" w:hAnsi="Arial"/>
          <w:color w:val="1A1A2E"/>
          <w:sz w:val="20"/>
          <w:szCs w:val="20"/>
        </w:rPr>
        <w:t xml:space="preserve">Mockus, A., Fielding, R.T., &amp; Herbsleb, J.D. (2002). Two case studies of open source software development. ACM TOSEM, 11(3), 309–346.</w:t>
      </w:r>
    </w:p>
    <w:p>
      <w:pPr>
        <w:pStyle w:val="ListParagraph"/>
        <w:numPr>
          <w:ilvl w:val="0"/>
          <w:numId w:val="2"/>
        </w:numPr>
        <w:spacing w:after="40" w:before="60"/>
      </w:pPr>
      <w:r>
        <w:rPr>
          <w:rFonts w:ascii="Arial" w:cs="Arial" w:eastAsia="Arial" w:hAnsi="Arial"/>
          <w:color w:val="1A1A2E"/>
          <w:sz w:val="20"/>
          <w:szCs w:val="20"/>
        </w:rPr>
        <w:t xml:space="preserve">Ng, A. (2021). MLOps: From model-centric to data-centric AI. DeepLearning.AI white paper.</w:t>
      </w:r>
    </w:p>
    <w:p>
      <w:pPr>
        <w:pStyle w:val="ListParagraph"/>
        <w:numPr>
          <w:ilvl w:val="0"/>
          <w:numId w:val="2"/>
        </w:numPr>
        <w:spacing w:after="40" w:before="60"/>
      </w:pPr>
      <w:r>
        <w:rPr>
          <w:rFonts w:ascii="Arial" w:cs="Arial" w:eastAsia="Arial" w:hAnsi="Arial"/>
          <w:color w:val="1A1A2E"/>
          <w:sz w:val="20"/>
          <w:szCs w:val="20"/>
        </w:rPr>
        <w:t xml:space="preserve">Niculescu-Mizil, A. &amp; Caruana, R. (2005). Predicting good probabilities with supervised learning. ICML 2005, 625–632.</w:t>
      </w:r>
    </w:p>
    <w:p>
      <w:pPr>
        <w:pStyle w:val="ListParagraph"/>
        <w:numPr>
          <w:ilvl w:val="0"/>
          <w:numId w:val="2"/>
        </w:numPr>
        <w:spacing w:after="40" w:before="60"/>
      </w:pPr>
      <w:r>
        <w:rPr>
          <w:rFonts w:ascii="Arial" w:cs="Arial" w:eastAsia="Arial" w:hAnsi="Arial"/>
          <w:color w:val="1A1A2E"/>
          <w:sz w:val="20"/>
          <w:szCs w:val="20"/>
        </w:rPr>
        <w:t xml:space="preserve">Patrini, G. et al. (2017). Making deep neural networks robust to label noise. CVPR 2017, 1010–1018.</w:t>
      </w:r>
    </w:p>
    <w:p>
      <w:pPr>
        <w:pStyle w:val="ListParagraph"/>
        <w:numPr>
          <w:ilvl w:val="0"/>
          <w:numId w:val="2"/>
        </w:numPr>
        <w:spacing w:after="40" w:before="60"/>
      </w:pPr>
      <w:r>
        <w:rPr>
          <w:rFonts w:ascii="Arial" w:cs="Arial" w:eastAsia="Arial" w:hAnsi="Arial"/>
          <w:color w:val="1A1A2E"/>
          <w:sz w:val="20"/>
          <w:szCs w:val="20"/>
        </w:rPr>
        <w:t xml:space="preserve">Platt, J. (1999). Probabilistic outputs for support vector machines. Advances in Large Margin Classifiers, 61–74.</w:t>
      </w:r>
    </w:p>
    <w:p>
      <w:pPr>
        <w:pStyle w:val="ListParagraph"/>
        <w:numPr>
          <w:ilvl w:val="0"/>
          <w:numId w:val="2"/>
        </w:numPr>
        <w:spacing w:after="40" w:before="60"/>
      </w:pPr>
      <w:r>
        <w:rPr>
          <w:rFonts w:ascii="Arial" w:cs="Arial" w:eastAsia="Arial" w:hAnsi="Arial"/>
          <w:color w:val="1A1A2E"/>
          <w:sz w:val="20"/>
          <w:szCs w:val="20"/>
        </w:rPr>
        <w:t xml:space="preserve">Sambasivan, N. et al. (2021). Everyone wants to do the model work, not the data work. CHI 2021.</w:t>
      </w:r>
    </w:p>
    <w:p>
      <w:pPr>
        <w:pStyle w:val="ListParagraph"/>
        <w:numPr>
          <w:ilvl w:val="0"/>
          <w:numId w:val="2"/>
        </w:numPr>
        <w:spacing w:after="40" w:before="60"/>
      </w:pPr>
      <w:r>
        <w:rPr>
          <w:rFonts w:ascii="Arial" w:cs="Arial" w:eastAsia="Arial" w:hAnsi="Arial"/>
          <w:color w:val="1A1A2E"/>
          <w:sz w:val="20"/>
          <w:szCs w:val="20"/>
        </w:rPr>
        <w:t xml:space="preserve">Shorten, C. &amp; Khoshgoftaar, T.M. (2019). A survey on image data augmentation for deep learning. JBD, 6(1), 60.</w:t>
      </w:r>
    </w:p>
    <w:p>
      <w:pPr>
        <w:pStyle w:val="ListParagraph"/>
        <w:numPr>
          <w:ilvl w:val="0"/>
          <w:numId w:val="2"/>
        </w:numPr>
        <w:spacing w:after="40" w:before="60"/>
      </w:pPr>
      <w:r>
        <w:rPr>
          <w:rFonts w:ascii="Arial" w:cs="Arial" w:eastAsia="Arial" w:hAnsi="Arial"/>
          <w:color w:val="1A1A2E"/>
          <w:sz w:val="20"/>
          <w:szCs w:val="20"/>
        </w:rPr>
        <w:t xml:space="preserve">Van Breugel, B. et al. (2023). On the quality of synthetic tabular data. NeurIPS 2023 Datasets Track.</w:t>
      </w:r>
    </w:p>
    <w:p>
      <w:pPr>
        <w:pStyle w:val="ListParagraph"/>
        <w:numPr>
          <w:ilvl w:val="0"/>
          <w:numId w:val="2"/>
        </w:numPr>
        <w:spacing w:after="40" w:before="60"/>
      </w:pPr>
      <w:r>
        <w:rPr>
          <w:rFonts w:ascii="Arial" w:cs="Arial" w:eastAsia="Arial" w:hAnsi="Arial"/>
          <w:color w:val="1A1A2E"/>
          <w:sz w:val="20"/>
          <w:szCs w:val="20"/>
        </w:rPr>
        <w:t xml:space="preserve">Zadrozny, B. &amp; Elkan, C. (2002). Transforming classifier scores into accurate multiclass probability estimates. KDD 2002, 694–699.</w:t>
      </w:r>
    </w:p>
    <w:p>
      <w:pPr>
        <w:spacing w:after="0" w:before="120"/>
      </w:pPr>
      <w:r>
        <w:t xml:space="preserve"/>
      </w:r>
    </w:p>
    <w:p>
      <w:pPr>
        <w:spacing w:after="80" w:before="80"/>
        <w:jc w:val="both"/>
      </w:pPr>
      <w:r>
        <w:rPr>
          <w:rFonts w:ascii="Arial" w:cs="Arial" w:eastAsia="Arial" w:hAnsi="Arial"/>
          <w:color w:val="1A1A2E"/>
          <w:sz w:val="22"/>
          <w:szCs w:val="22"/>
        </w:rPr>
        <w:t xml:space="preserve">Retained from Phases 1 &amp; 2 (20 references — see Phase 1/2 Literature Review for full citations):</w:t>
      </w:r>
    </w:p>
    <w:p>
      <w:pPr>
        <w:spacing w:after="0" w:before="80"/>
      </w:pPr>
      <w:r>
        <w:t xml:space="preserve"/>
      </w:r>
    </w:p>
    <w:p>
      <w:pPr>
        <w:pStyle w:val="ListParagraph"/>
        <w:numPr>
          <w:ilvl w:val="0"/>
          <w:numId w:val="2"/>
        </w:numPr>
        <w:spacing w:after="40" w:before="40"/>
      </w:pPr>
      <w:r>
        <w:rPr>
          <w:rFonts w:ascii="Arial" w:cs="Arial" w:eastAsia="Arial" w:hAnsi="Arial"/>
          <w:i/>
          <w:iCs/>
          <w:color w:val="1A1A2E"/>
          <w:sz w:val="20"/>
          <w:szCs w:val="20"/>
        </w:rPr>
        <w:t xml:space="preserve">Schmidt &amp; Hunter (1998) · Sackett et al. (2022) · Highhouse (2008) · Huffcutt &amp; Arthur (1994)</w:t>
      </w:r>
    </w:p>
    <w:p>
      <w:pPr>
        <w:pStyle w:val="ListParagraph"/>
        <w:numPr>
          <w:ilvl w:val="0"/>
          <w:numId w:val="2"/>
        </w:numPr>
        <w:spacing w:after="40" w:before="40"/>
      </w:pPr>
      <w:r>
        <w:rPr>
          <w:rFonts w:ascii="Arial" w:cs="Arial" w:eastAsia="Arial" w:hAnsi="Arial"/>
          <w:i/>
          <w:iCs/>
          <w:color w:val="1A1A2E"/>
          <w:sz w:val="20"/>
          <w:szCs w:val="20"/>
        </w:rPr>
        <w:t xml:space="preserve">Vaswani et al. (2017) · Devlin et al. (2019) · Feng et al. (2020) · Guo et al. (2021) · Wang et al. (2021)</w:t>
      </w:r>
    </w:p>
    <w:p>
      <w:pPr>
        <w:pStyle w:val="ListParagraph"/>
        <w:numPr>
          <w:ilvl w:val="0"/>
          <w:numId w:val="2"/>
        </w:numPr>
        <w:spacing w:after="40" w:before="40"/>
      </w:pPr>
      <w:r>
        <w:rPr>
          <w:rFonts w:ascii="Arial" w:cs="Arial" w:eastAsia="Arial" w:hAnsi="Arial"/>
          <w:i/>
          <w:iCs/>
          <w:color w:val="1A1A2E"/>
          <w:sz w:val="20"/>
          <w:szCs w:val="20"/>
        </w:rPr>
        <w:t xml:space="preserve">Hamilton et al. (2017) · Veličković et al. (2018) · You et al. (2020) · Kikas et al. (2016) · Perozzi et al. (2014)</w:t>
      </w:r>
    </w:p>
    <w:p>
      <w:pPr>
        <w:pStyle w:val="ListParagraph"/>
        <w:numPr>
          <w:ilvl w:val="0"/>
          <w:numId w:val="2"/>
        </w:numPr>
        <w:spacing w:after="40" w:before="40"/>
      </w:pPr>
      <w:r>
        <w:rPr>
          <w:rFonts w:ascii="Arial" w:cs="Arial" w:eastAsia="Arial" w:hAnsi="Arial"/>
          <w:i/>
          <w:iCs/>
          <w:color w:val="1A1A2E"/>
          <w:sz w:val="20"/>
          <w:szCs w:val="20"/>
        </w:rPr>
        <w:t xml:space="preserve">Barocas &amp; Selbst (2016) · Hardt et al. (2016) · Raghavan et al. (2020) · Zhang et al. (2018) · Obermeyer et al. (2019)</w:t>
      </w:r>
    </w:p>
    <w:p>
      <w:pPr>
        <w:spacing w:after="0" w:before="20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30"/>
        <w:gridCol w:w="2430"/>
        <w:gridCol w:w="2430"/>
        <w:gridCol w:w="2430"/>
      </w:tblGrid>
      <w:tr>
        <w:tc>
          <w:tcPr>
            <w:tcW w:type="dxa" w:w="2430"/>
            <w:tcBorders>
              <w:top w:val="nil" w:color="FFFFFF" w:sz="0"/>
              <w:left w:val="nil" w:color="FFFFFF" w:sz="0"/>
              <w:bottom w:val="nil" w:color="FFFFFF" w:sz="0"/>
              <w:right w:val="nil" w:color="FFFFFF" w:sz="0"/>
            </w:tcBorders>
            <w:shd w:fill="1F4E79"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21 new references</w:t>
            </w:r>
          </w:p>
        </w:tc>
        <w:tc>
          <w:tcPr>
            <w:tcW w:type="dxa" w:w="2430"/>
            <w:tcBorders>
              <w:top w:val="nil" w:color="FFFFFF" w:sz="0"/>
              <w:left w:val="nil" w:color="FFFFFF" w:sz="0"/>
              <w:bottom w:val="nil" w:color="FFFFFF" w:sz="0"/>
              <w:right w:val="nil" w:color="FFFFFF" w:sz="0"/>
            </w:tcBorders>
            <w:shd w:fill="2E75B6"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3 new research streams</w:t>
            </w:r>
          </w:p>
        </w:tc>
        <w:tc>
          <w:tcPr>
            <w:tcW w:type="dxa" w:w="2430"/>
            <w:tcBorders>
              <w:top w:val="nil" w:color="FFFFFF" w:sz="0"/>
              <w:left w:val="nil" w:color="FFFFFF" w:sz="0"/>
              <w:bottom w:val="nil" w:color="FFFFFF" w:sz="0"/>
              <w:right w:val="nil" w:color="FFFFFF" w:sz="0"/>
            </w:tcBorders>
            <w:shd w:fill="1F4E79"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41 total citations</w:t>
            </w:r>
          </w:p>
        </w:tc>
        <w:tc>
          <w:tcPr>
            <w:tcW w:type="dxa" w:w="2430"/>
            <w:tcBorders>
              <w:top w:val="nil" w:color="FFFFFF" w:sz="0"/>
              <w:left w:val="nil" w:color="FFFFFF" w:sz="0"/>
              <w:bottom w:val="nil" w:color="FFFFFF" w:sz="0"/>
              <w:right w:val="nil" w:color="FFFFFF" w:sz="0"/>
            </w:tcBorders>
            <w:shd w:fill="2E75B6"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1 synthesis gap</w:t>
            </w:r>
          </w:p>
        </w:tc>
      </w:tr>
    </w:tbl>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9EE" w:sz="3" w:space="4"/>
      </w:pBdr>
      <w:spacing w:before="80"/>
    </w:pPr>
    <w:r>
      <w:rPr>
        <w:rFonts w:ascii="Arial" w:cs="Arial" w:eastAsia="Arial" w:hAnsi="Arial"/>
        <w:color w:val="888888"/>
        <w:sz w:val="18"/>
        <w:szCs w:val="18"/>
      </w:rPr>
      <w:t xml:space="preserve">DDM Phase 3 Literature Review  |  Ensemble &amp; Continuous Score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480"/>
      <w:gridCol w:w="3240"/>
    </w:tblGrid>
    <w:tr>
      <w:tc>
        <w:tcPr>
          <w:tcW w:type="dxa" w:w="6480"/>
          <w:tcBorders>
            <w:top w:val="nil" w:color="FFFFFF" w:sz="0"/>
            <w:left w:val="nil" w:color="FFFFFF" w:sz="0"/>
            <w:bottom w:val="single" w:color="2E75B6" w:sz="3"/>
            <w:right w:val="nil" w:color="FFFFFF" w:sz="0"/>
          </w:tcBorders>
        </w:tcPr>
        <w:p>
          <w:r>
            <w:rPr>
              <w:rFonts w:ascii="Arial" w:cs="Arial" w:eastAsia="Arial" w:hAnsi="Arial"/>
              <w:b/>
              <w:bCs/>
              <w:color w:val="1F4E79"/>
              <w:sz w:val="18"/>
              <w:szCs w:val="18"/>
            </w:rPr>
            <w:t xml:space="preserve">Developer DNA Matrix — Literature Review (Phase 3)</w:t>
          </w:r>
        </w:p>
      </w:tc>
      <w:tc>
        <w:tcPr>
          <w:tcW w:type="dxa" w:w="3240"/>
          <w:tcBorders>
            <w:top w:val="nil" w:color="FFFFFF" w:sz="0"/>
            <w:left w:val="nil" w:color="FFFFFF" w:sz="0"/>
            <w:bottom w:val="single" w:color="2E75B6" w:sz="3"/>
            <w:right w:val="nil" w:color="FFFFFF" w:sz="0"/>
          </w:tcBorders>
        </w:tcPr>
        <w:p>
          <w:pPr>
            <w:jc w:val="right"/>
          </w:pPr>
          <w:r>
            <w:rPr>
              <w:rFonts w:ascii="Arial" w:cs="Arial" w:eastAsia="Arial" w:hAnsi="Arial"/>
              <w:color w:val="2E75B6"/>
              <w:sz w:val="18"/>
              <w:szCs w:val="18"/>
            </w:rPr>
            <w:t xml:space="preserve">Advanced ML &amp; DL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2026-05-04T20:32:39.233Z</dcterms:created>
  <dcterms:modified xsi:type="dcterms:W3CDTF">2026-05-04T20:32:39.233Z</dcterms:modified>
</cp:coreProperties>
</file>

<file path=docProps/custom.xml><?xml version="1.0" encoding="utf-8"?>
<Properties xmlns="http://schemas.openxmlformats.org/officeDocument/2006/custom-properties" xmlns:vt="http://schemas.openxmlformats.org/officeDocument/2006/docPropsVTypes"/>
</file>