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36"/>
          <w:szCs w:val="36"/>
        </w:rPr>
        <w:t xml:space="preserve">Developer DNA Matrix (DDM):</w:t>
      </w:r>
    </w:p>
    <w:p>
      <w:pPr>
        <w:spacing w:after="140" w:before="0"/>
        <w:jc w:val="center"/>
      </w:pPr>
      <w:r>
        <w:rPr>
          <w:rFonts w:ascii="Arial" w:cs="Arial" w:eastAsia="Arial" w:hAnsi="Arial"/>
          <w:b/>
          <w:bCs/>
          <w:color w:val="2E5FA3"/>
          <w:sz w:val="28"/>
          <w:szCs w:val="28"/>
        </w:rPr>
        <w:t xml:space="preserve">Literature Review</w:t>
      </w:r>
    </w:p>
    <w:p>
      <w:pPr>
        <w:spacing w:after="220" w:before="0"/>
        <w:jc w:val="center"/>
      </w:pPr>
      <w:r>
        <w:rPr>
          <w:rFonts w:ascii="Arial" w:cs="Arial" w:eastAsia="Arial" w:hAnsi="Arial"/>
          <w:i/>
          <w:iCs/>
          <w:color w:val="555555"/>
          <w:sz w:val="18"/>
          <w:szCs w:val="18"/>
        </w:rPr>
        <w:t xml:space="preserve">Developer DNA Matrix — Advanced Machine Learning &amp; Deep Learning (Phase 2 — MLP Architecture)</w:t>
      </w:r>
    </w:p>
    <w:p>
      <w:pPr>
        <w:spacing w:after="180" w:before="0"/>
      </w:pPr>
      <w:r>
        <w:rPr>
          <w:rFonts w:ascii="Arial" w:cs="Arial" w:eastAsia="Arial" w:hAnsi="Arial"/>
          <w:color w:val="1A1A1A"/>
          <w:sz w:val="20"/>
          <w:szCs w:val="20"/>
        </w:rPr>
        <w:t xml:space="preserve">DDM Phase 2 advances beyond the Phase 1 SVM baseline (F1 = 0.8116) by introducing a </w:t>
      </w:r>
      <w:r>
        <w:rPr>
          <w:rFonts w:ascii="Arial" w:cs="Arial" w:eastAsia="Arial" w:hAnsi="Arial"/>
          <w:b/>
          <w:bCs/>
          <w:color w:val="1A1A1A"/>
          <w:sz w:val="20"/>
          <w:szCs w:val="20"/>
        </w:rPr>
        <w:t xml:space="preserve">Multi-Layer Perceptron (MLP)</w:t>
      </w:r>
      <w:r>
        <w:rPr>
          <w:rFonts w:ascii="Arial" w:cs="Arial" w:eastAsia="Arial" w:hAnsi="Arial"/>
          <w:color w:val="1A1A1A"/>
          <w:sz w:val="20"/>
          <w:szCs w:val="20"/>
        </w:rPr>
        <w:t xml:space="preserve"> capable of learning non-linear feature interactions. This review surveys five research traditions that ground every architectural decision: </w:t>
      </w:r>
      <w:r>
        <w:rPr>
          <w:rFonts w:ascii="Arial" w:cs="Arial" w:eastAsia="Arial" w:hAnsi="Arial"/>
          <w:b/>
          <w:bCs/>
          <w:color w:val="1A1A1A"/>
          <w:sz w:val="20"/>
          <w:szCs w:val="20"/>
        </w:rPr>
        <w:t xml:space="preserve">neural network theory</w:t>
      </w:r>
      <w:r>
        <w:rPr>
          <w:rFonts w:ascii="Arial" w:cs="Arial" w:eastAsia="Arial" w:hAnsi="Arial"/>
          <w:color w:val="1A1A1A"/>
          <w:sz w:val="20"/>
          <w:szCs w:val="20"/>
        </w:rPr>
        <w:t xml:space="preserve">, </w:t>
      </w:r>
      <w:r>
        <w:rPr>
          <w:rFonts w:ascii="Arial" w:cs="Arial" w:eastAsia="Arial" w:hAnsi="Arial"/>
          <w:b/>
          <w:bCs/>
          <w:color w:val="1A1A1A"/>
          <w:sz w:val="20"/>
          <w:szCs w:val="20"/>
        </w:rPr>
        <w:t xml:space="preserve">tabular deep learning</w:t>
      </w:r>
      <w:r>
        <w:rPr>
          <w:rFonts w:ascii="Arial" w:cs="Arial" w:eastAsia="Arial" w:hAnsi="Arial"/>
          <w:color w:val="1A1A1A"/>
          <w:sz w:val="20"/>
          <w:szCs w:val="20"/>
        </w:rPr>
        <w:t xml:space="preserve">, </w:t>
      </w:r>
      <w:r>
        <w:rPr>
          <w:rFonts w:ascii="Arial" w:cs="Arial" w:eastAsia="Arial" w:hAnsi="Arial"/>
          <w:b/>
          <w:bCs/>
          <w:color w:val="1A1A1A"/>
          <w:sz w:val="20"/>
          <w:szCs w:val="20"/>
        </w:rPr>
        <w:t xml:space="preserve">regularisation</w:t>
      </w:r>
      <w:r>
        <w:rPr>
          <w:rFonts w:ascii="Arial" w:cs="Arial" w:eastAsia="Arial" w:hAnsi="Arial"/>
          <w:color w:val="1A1A1A"/>
          <w:sz w:val="20"/>
          <w:szCs w:val="20"/>
        </w:rPr>
        <w:t xml:space="preserve">, </w:t>
      </w:r>
      <w:r>
        <w:rPr>
          <w:rFonts w:ascii="Arial" w:cs="Arial" w:eastAsia="Arial" w:hAnsi="Arial"/>
          <w:b/>
          <w:bCs/>
          <w:color w:val="1A1A1A"/>
          <w:sz w:val="20"/>
          <w:szCs w:val="20"/>
        </w:rPr>
        <w:t xml:space="preserve">optimisation</w:t>
      </w:r>
      <w:r>
        <w:rPr>
          <w:rFonts w:ascii="Arial" w:cs="Arial" w:eastAsia="Arial" w:hAnsi="Arial"/>
          <w:color w:val="1A1A1A"/>
          <w:sz w:val="20"/>
          <w:szCs w:val="20"/>
        </w:rPr>
        <w:t xml:space="preserve">, and </w:t>
      </w:r>
      <w:r>
        <w:rPr>
          <w:rFonts w:ascii="Arial" w:cs="Arial" w:eastAsia="Arial" w:hAnsi="Arial"/>
          <w:b/>
          <w:bCs/>
          <w:color w:val="1A1A1A"/>
          <w:sz w:val="20"/>
          <w:szCs w:val="20"/>
        </w:rPr>
        <w:t xml:space="preserve">evaluation methodology</w:t>
      </w:r>
      <w:r>
        <w:rPr>
          <w:rFonts w:ascii="Arial" w:cs="Arial" w:eastAsia="Arial" w:hAnsi="Arial"/>
          <w:color w:val="1A1A1A"/>
          <w:sz w:val="20"/>
          <w:szCs w:val="20"/>
        </w:rPr>
        <w:t xml:space="preserve">. The Phase 1 failure mode—systematic Intermediate-tier misclassification caused by the inability to model volume–quality feature interactions—is precisely the problem feed-forward networks were designed to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10"/>
              <w:left w:type="dxa" w:w="180"/>
              <w:bottom w:type="dxa" w:w="110"/>
              <w:right w:type="dxa" w:w="180"/>
            </w:tcMar>
          </w:tcPr>
          <w:p>
            <w:r>
              <w:rPr>
                <w:rFonts w:ascii="Arial" w:cs="Arial" w:eastAsia="Arial" w:hAnsi="Arial"/>
                <w:b/>
                <w:bCs/>
                <w:color w:val="FFFFFF"/>
                <w:sz w:val="22"/>
                <w:szCs w:val="22"/>
              </w:rPr>
              <w:t xml:space="preserve">2.1  Neural Network Theory: Why MLP Over SVM for Developer Classification</w:t>
            </w:r>
          </w:p>
        </w:tc>
      </w:tr>
    </w:tbl>
    <w:p>
      <w:pPr>
        <w:spacing w:after="80" w:before="0"/>
      </w:pPr>
      <w:r>
        <w:rPr>
          <w:rFonts w:ascii="Arial" w:cs="Arial" w:eastAsia="Arial" w:hAnsi="Arial"/>
          <w:color w:val="1A1A1A"/>
          <w:sz w:val="20"/>
          <w:szCs w:val="20"/>
        </w:rPr>
        <w:t xml:space="preserve"/>
      </w:r>
    </w:p>
    <w:p>
      <w:pPr>
        <w:spacing w:after="120" w:before="60"/>
      </w:pPr>
      <w:r>
        <w:rPr>
          <w:rFonts w:ascii="Arial" w:cs="Arial" w:eastAsia="Arial" w:hAnsi="Arial"/>
          <w:b/>
          <w:bCs/>
          <w:color w:val="1A1A1A"/>
          <w:sz w:val="20"/>
          <w:szCs w:val="20"/>
        </w:rPr>
        <w:t xml:space="preserve">Cybenko (1989)</w:t>
      </w:r>
      <w:r>
        <w:rPr>
          <w:rFonts w:ascii="Arial" w:cs="Arial" w:eastAsia="Arial" w:hAnsi="Arial"/>
          <w:color w:val="1A1A1A"/>
          <w:sz w:val="20"/>
          <w:szCs w:val="20"/>
        </w:rPr>
        <w:t xml:space="preserve"> proved that a single hidden-layer network with a sigmoidal activation can approximate any continuous function to arbitrary precision—the universal approximation theorem. This directly motivates the DDM: the mapping from 28 behavioral features to developer tier is a continuous function, and Phase 1 failure analysis showed SVM cannot express the interaction “high commits AND high test coverage = Expert.” An MLP can represent this conjunction as a single first-layer neuron.</w:t>
      </w:r>
    </w:p>
    <w:p>
      <w:pPr>
        <w:spacing w:after="120" w:before="60"/>
      </w:pPr>
      <w:r>
        <w:rPr>
          <w:rFonts w:ascii="Arial" w:cs="Arial" w:eastAsia="Arial" w:hAnsi="Arial"/>
          <w:b/>
          <w:bCs/>
          <w:color w:val="1A1A1A"/>
          <w:sz w:val="20"/>
          <w:szCs w:val="20"/>
        </w:rPr>
        <w:t xml:space="preserve">Hornik (1991)</w:t>
      </w:r>
      <w:r>
        <w:rPr>
          <w:rFonts w:ascii="Arial" w:cs="Arial" w:eastAsia="Arial" w:hAnsi="Arial"/>
          <w:color w:val="1A1A1A"/>
          <w:sz w:val="20"/>
          <w:szCs w:val="20"/>
        </w:rPr>
        <w:t xml:space="preserve"> extended universality to any non-constant, bounded, continuous activation—including </w:t>
      </w:r>
      <w:r>
        <w:rPr>
          <w:rFonts w:ascii="Arial" w:cs="Arial" w:eastAsia="Arial" w:hAnsi="Arial"/>
          <w:i/>
          <w:iCs/>
          <w:color w:val="1A1A1A"/>
          <w:sz w:val="20"/>
          <w:szCs w:val="20"/>
        </w:rPr>
        <w:t xml:space="preserve">ReLU</w:t>
      </w:r>
      <w:r>
        <w:rPr>
          <w:rFonts w:ascii="Arial" w:cs="Arial" w:eastAsia="Arial" w:hAnsi="Arial"/>
          <w:color w:val="1A1A1A"/>
          <w:sz w:val="20"/>
          <w:szCs w:val="20"/>
        </w:rPr>
        <w:t xml:space="preserve">. This justifies the DDM’s activation choice: ReLU avoids the vanishing gradient problem that afflicts sigmoid and tanh, keeping gradient magnitudes stable through both hidden layers during backpropagation. </w:t>
      </w:r>
      <w:r>
        <w:rPr>
          <w:rFonts w:ascii="Arial" w:cs="Arial" w:eastAsia="Arial" w:hAnsi="Arial"/>
          <w:b/>
          <w:bCs/>
          <w:color w:val="1A1A1A"/>
          <w:sz w:val="20"/>
          <w:szCs w:val="20"/>
        </w:rPr>
        <w:t xml:space="preserve">LeCun et al. (2015)</w:t>
      </w:r>
      <w:r>
        <w:rPr>
          <w:rFonts w:ascii="Arial" w:cs="Arial" w:eastAsia="Arial" w:hAnsi="Arial"/>
          <w:color w:val="1A1A1A"/>
          <w:sz w:val="20"/>
          <w:szCs w:val="20"/>
        </w:rPr>
        <w:t xml:space="preserve"> provide the canonical backpropagation framework: gradient updates </w:t>
      </w:r>
      <w:r>
        <w:rPr>
          <w:rFonts w:ascii="Arial" w:cs="Arial" w:eastAsia="Arial" w:hAnsi="Arial"/>
          <w:i/>
          <w:iCs/>
          <w:color w:val="1A1A1A"/>
          <w:sz w:val="20"/>
          <w:szCs w:val="20"/>
        </w:rPr>
        <w:t xml:space="preserve">w ← w − α ∂L/∂w</w:t>
      </w:r>
      <w:r>
        <w:rPr>
          <w:rFonts w:ascii="Arial" w:cs="Arial" w:eastAsia="Arial" w:hAnsi="Arial"/>
          <w:color w:val="1A1A1A"/>
          <w:sz w:val="20"/>
          <w:szCs w:val="20"/>
        </w:rPr>
        <w:t xml:space="preserve"> iteratively refine weights so Layer 1 neurons learn latent developer archetypes and Layer 2 combines them into tier predictions. The Phase 1 t-SNE projection confirms non-linear tier separation in feature space, directly motivating MLP over an RBF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5FA3" w:val="clear"/>
            <w:tcMar>
              <w:top w:type="dxa" w:w="60"/>
              <w:left w:type="dxa" w:w="0"/>
              <w:bottom w:type="dxa" w:w="60"/>
              <w:right w:type="dxa" w:w="0"/>
            </w:tcMar>
          </w:tcPr>
          <w:p/>
        </w:tc>
        <w:tc>
          <w:tcPr>
            <w:tcW w:type="dxa" w:w="9080"/>
            <w:tcBorders>
              <w:top w:val="none" w:color="FFFFFF" w:sz="0"/>
              <w:left w:val="none" w:color="FFFFFF" w:sz="0"/>
              <w:bottom w:val="none" w:color="FFFFFF" w:sz="0"/>
              <w:right w:val="none" w:color="FFFFFF" w:sz="0"/>
            </w:tcBorders>
            <w:shd w:fill="EBF3FB" w:val="clear"/>
            <w:tcMar>
              <w:top w:type="dxa" w:w="100"/>
              <w:left w:type="dxa" w:w="160"/>
              <w:bottom w:type="dxa" w:w="100"/>
              <w:right w:type="dxa" w:w="160"/>
            </w:tcMar>
          </w:tcPr>
          <w:p>
            <w:r>
              <w:rPr>
                <w:rFonts w:ascii="Arial" w:cs="Arial" w:eastAsia="Arial" w:hAnsi="Arial"/>
                <w:i/>
                <w:iCs/>
                <w:color w:val="555555"/>
                <w:sz w:val="18"/>
                <w:szCs w:val="18"/>
              </w:rPr>
              <w:t xml:space="preserve">Cybenko (1989) guarantees any continuous function can be approximated by a hidden-layer network. The Phase 1 failure analysis identified a function—the volume–quality interaction—that SVM cannot express. MLP can.</w:t>
            </w:r>
          </w:p>
        </w:tc>
      </w:tr>
    </w:tbl>
    <w:p>
      <w:pPr>
        <w:spacing w:after="80" w:before="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10"/>
              <w:left w:type="dxa" w:w="180"/>
              <w:bottom w:type="dxa" w:w="110"/>
              <w:right w:type="dxa" w:w="180"/>
            </w:tcMar>
          </w:tcPr>
          <w:p>
            <w:r>
              <w:rPr>
                <w:rFonts w:ascii="Arial" w:cs="Arial" w:eastAsia="Arial" w:hAnsi="Arial"/>
                <w:b/>
                <w:bCs/>
                <w:color w:val="FFFFFF"/>
                <w:sz w:val="22"/>
                <w:szCs w:val="22"/>
              </w:rPr>
              <w:t xml:space="preserve">2.2  Tabular Deep Learning: When Do MLPs Beat Tree Methods and SVMs?</w:t>
            </w:r>
          </w:p>
        </w:tc>
      </w:tr>
    </w:tbl>
    <w:p>
      <w:pPr>
        <w:spacing w:after="80" w:before="0"/>
      </w:pPr>
      <w:r>
        <w:rPr>
          <w:rFonts w:ascii="Arial" w:cs="Arial" w:eastAsia="Arial" w:hAnsi="Arial"/>
          <w:color w:val="1A1A1A"/>
          <w:sz w:val="20"/>
          <w:szCs w:val="20"/>
        </w:rPr>
        <w:t xml:space="preserve"/>
      </w:r>
    </w:p>
    <w:p>
      <w:pPr>
        <w:spacing w:after="120" w:before="60"/>
      </w:pPr>
      <w:r>
        <w:rPr>
          <w:rFonts w:ascii="Arial" w:cs="Arial" w:eastAsia="Arial" w:hAnsi="Arial"/>
          <w:b/>
          <w:bCs/>
          <w:color w:val="1A1A1A"/>
          <w:sz w:val="20"/>
          <w:szCs w:val="20"/>
        </w:rPr>
        <w:t xml:space="preserve">Grinsztajn et al. (2022)</w:t>
      </w:r>
      <w:r>
        <w:rPr>
          <w:rFonts w:ascii="Arial" w:cs="Arial" w:eastAsia="Arial" w:hAnsi="Arial"/>
          <w:color w:val="1A1A1A"/>
          <w:sz w:val="20"/>
          <w:szCs w:val="20"/>
        </w:rPr>
        <w:t xml:space="preserve"> benchmarked neural networks against tree methods on 45 OpenML datasets, finding that MLPs underperform on raw tabular data due to </w:t>
      </w:r>
      <w:r>
        <w:rPr>
          <w:rFonts w:ascii="Arial" w:cs="Arial" w:eastAsia="Arial" w:hAnsi="Arial"/>
          <w:i/>
          <w:iCs/>
          <w:color w:val="1A1A1A"/>
          <w:sz w:val="20"/>
          <w:szCs w:val="20"/>
        </w:rPr>
        <w:t xml:space="preserve">uninformative features</w:t>
      </w:r>
      <w:r>
        <w:rPr>
          <w:rFonts w:ascii="Arial" w:cs="Arial" w:eastAsia="Arial" w:hAnsi="Arial"/>
          <w:color w:val="1A1A1A"/>
          <w:sz w:val="20"/>
          <w:szCs w:val="20"/>
        </w:rPr>
        <w:t xml:space="preserve">—gradient-based optimisation assigns weight to noise dimensions. The DDM addresses this directly: all 28 features are domain-validated behavioral signals, removing the disadvantage Grinsztajn et al. identify. </w:t>
      </w:r>
      <w:r>
        <w:rPr>
          <w:rFonts w:ascii="Arial" w:cs="Arial" w:eastAsia="Arial" w:hAnsi="Arial"/>
          <w:b/>
          <w:bCs/>
          <w:color w:val="1A1A1A"/>
          <w:sz w:val="20"/>
          <w:szCs w:val="20"/>
        </w:rPr>
        <w:t xml:space="preserve">Shwartz-Ziv &amp; Armon (2022)</w:t>
      </w:r>
      <w:r>
        <w:rPr>
          <w:rFonts w:ascii="Arial" w:cs="Arial" w:eastAsia="Arial" w:hAnsi="Arial"/>
          <w:color w:val="1A1A1A"/>
          <w:sz w:val="20"/>
          <w:szCs w:val="20"/>
        </w:rPr>
        <w:t xml:space="preserve"> showed the tree advantage stems from native </w:t>
      </w:r>
      <w:r>
        <w:rPr>
          <w:rFonts w:ascii="Arial" w:cs="Arial" w:eastAsia="Arial" w:hAnsi="Arial"/>
          <w:i/>
          <w:iCs/>
          <w:color w:val="1A1A1A"/>
          <w:sz w:val="20"/>
          <w:szCs w:val="20"/>
        </w:rPr>
        <w:t xml:space="preserve">feature interaction</w:t>
      </w:r>
      <w:r>
        <w:rPr>
          <w:rFonts w:ascii="Arial" w:cs="Arial" w:eastAsia="Arial" w:hAnsi="Arial"/>
          <w:color w:val="1A1A1A"/>
          <w:sz w:val="20"/>
          <w:szCs w:val="20"/>
        </w:rPr>
        <w:t xml:space="preserve"> modeling. Decision trees represent axis-aligned interactions (commits &gt; 1000 AND tests_pct &gt; 0.5) exactly through branching, while MLPs require dedicated capacity. This is precisely the DDM’s Phase 1 failure mode, and Layer 1’s 128 neurons are allocated specifically to learn the 28-feature interaction space. </w:t>
      </w:r>
      <w:r>
        <w:rPr>
          <w:rFonts w:ascii="Arial" w:cs="Arial" w:eastAsia="Arial" w:hAnsi="Arial"/>
          <w:b/>
          <w:bCs/>
          <w:color w:val="1A1A1A"/>
          <w:sz w:val="20"/>
          <w:szCs w:val="20"/>
        </w:rPr>
        <w:t xml:space="preserve">Arik &amp; Pfister (2021)</w:t>
      </w:r>
      <w:r>
        <w:rPr>
          <w:rFonts w:ascii="Arial" w:cs="Arial" w:eastAsia="Arial" w:hAnsi="Arial"/>
          <w:color w:val="1A1A1A"/>
          <w:sz w:val="20"/>
          <w:szCs w:val="20"/>
        </w:rPr>
        <w:t xml:space="preserve"> (TabNet) confirm that neural network gains on tabular data require both sufficient capacity and architecture choices that prevent attention spreading across noise features—a role Dropout fills in the DDM.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5FA3" w:val="clear"/>
            <w:tcMar>
              <w:top w:type="dxa" w:w="60"/>
              <w:left w:type="dxa" w:w="0"/>
              <w:bottom w:type="dxa" w:w="60"/>
              <w:right w:type="dxa" w:w="0"/>
            </w:tcMar>
          </w:tcPr>
          <w:p/>
        </w:tc>
        <w:tc>
          <w:tcPr>
            <w:tcW w:type="dxa" w:w="9080"/>
            <w:tcBorders>
              <w:top w:val="none" w:color="FFFFFF" w:sz="0"/>
              <w:left w:val="none" w:color="FFFFFF" w:sz="0"/>
              <w:bottom w:val="none" w:color="FFFFFF" w:sz="0"/>
              <w:right w:val="none" w:color="FFFFFF" w:sz="0"/>
            </w:tcBorders>
            <w:shd w:fill="EBF3FB" w:val="clear"/>
            <w:tcMar>
              <w:top w:type="dxa" w:w="100"/>
              <w:left w:type="dxa" w:w="160"/>
              <w:bottom w:type="dxa" w:w="100"/>
              <w:right w:type="dxa" w:w="160"/>
            </w:tcMar>
          </w:tcPr>
          <w:p>
            <w:r>
              <w:rPr>
                <w:rFonts w:ascii="Arial" w:cs="Arial" w:eastAsia="Arial" w:hAnsi="Arial"/>
                <w:i/>
                <w:iCs/>
                <w:color w:val="555555"/>
                <w:sz w:val="18"/>
                <w:szCs w:val="18"/>
              </w:rPr>
              <w:t xml:space="preserve">Grinsztajn et al. (2022) show MLPs underperform on raw tabular data due to uninformative features. The DDM’s 28 engineered features remove this disadvantage. Shwartz-Ziv &amp; Armon (2022) show MLPs struggle with feature interactions—exactly the Phase 1 failure mode. Layer 1’s 128 neurons are allocated to solve it.</w:t>
            </w:r>
          </w:p>
        </w:tc>
      </w:tr>
    </w:tbl>
    <w:p>
      <w:pPr>
        <w:spacing w:after="80" w:before="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10"/>
              <w:left w:type="dxa" w:w="180"/>
              <w:bottom w:type="dxa" w:w="110"/>
              <w:right w:type="dxa" w:w="180"/>
            </w:tcMar>
          </w:tcPr>
          <w:p>
            <w:r>
              <w:rPr>
                <w:rFonts w:ascii="Arial" w:cs="Arial" w:eastAsia="Arial" w:hAnsi="Arial"/>
                <w:b/>
                <w:bCs/>
                <w:color w:val="FFFFFF"/>
                <w:sz w:val="22"/>
                <w:szCs w:val="22"/>
              </w:rPr>
              <w:t xml:space="preserve">2.3  Regularisation: BatchNorm, Dropout, and Early Stopping</w:t>
            </w:r>
          </w:p>
        </w:tc>
      </w:tr>
    </w:tbl>
    <w:p>
      <w:pPr>
        <w:spacing w:after="80" w:before="0"/>
      </w:pPr>
      <w:r>
        <w:rPr>
          <w:rFonts w:ascii="Arial" w:cs="Arial" w:eastAsia="Arial" w:hAnsi="Arial"/>
          <w:color w:val="1A1A1A"/>
          <w:sz w:val="20"/>
          <w:szCs w:val="20"/>
        </w:rPr>
        <w:t xml:space="preserve"/>
      </w:r>
    </w:p>
    <w:p>
      <w:pPr>
        <w:spacing w:after="120" w:before="60"/>
      </w:pPr>
      <w:r>
        <w:rPr>
          <w:rFonts w:ascii="Arial" w:cs="Arial" w:eastAsia="Arial" w:hAnsi="Arial"/>
          <w:b/>
          <w:bCs/>
          <w:color w:val="1A1A1A"/>
          <w:sz w:val="20"/>
          <w:szCs w:val="20"/>
        </w:rPr>
        <w:t xml:space="preserve">Batch Normalisation (Ioffe &amp; Szegedy, 2015)</w:t>
      </w:r>
      <w:r>
        <w:rPr>
          <w:rFonts w:ascii="Arial" w:cs="Arial" w:eastAsia="Arial" w:hAnsi="Arial"/>
          <w:color w:val="1A1A1A"/>
          <w:sz w:val="20"/>
          <w:szCs w:val="20"/>
        </w:rPr>
        <w:t xml:space="preserve"> addresses internal covariate shift: as Layer 1 weights update, its output distribution changes, forcing Layer 2 to re-adapt continuously. BatchNorm normalises each layer’s output to zero mean and unit variance within each mini-batch, then applies learnable γ and β parameters to restore representational capacity. In the DDM, this is critical because engineered features span very different scales—</w:t>
      </w:r>
      <w:r>
        <w:rPr>
          <w:rFonts w:ascii="Arial" w:cs="Arial" w:eastAsia="Arial" w:hAnsi="Arial"/>
          <w:i/>
          <w:iCs/>
          <w:color w:val="1A1A1A"/>
          <w:sz w:val="20"/>
          <w:szCs w:val="20"/>
        </w:rPr>
        <w:t xml:space="preserve">log_total_commits</w:t>
      </w:r>
      <w:r>
        <w:rPr>
          <w:rFonts w:ascii="Arial" w:cs="Arial" w:eastAsia="Arial" w:hAnsi="Arial"/>
          <w:color w:val="1A1A1A"/>
          <w:sz w:val="20"/>
          <w:szCs w:val="20"/>
        </w:rPr>
        <w:t xml:space="preserve"> ranges 0–18, </w:t>
      </w:r>
      <w:r>
        <w:rPr>
          <w:rFonts w:ascii="Arial" w:cs="Arial" w:eastAsia="Arial" w:hAnsi="Arial"/>
          <w:i/>
          <w:iCs/>
          <w:color w:val="1A1A1A"/>
          <w:sz w:val="20"/>
          <w:szCs w:val="20"/>
        </w:rPr>
        <w:t xml:space="preserve">has_tests_pct</w:t>
      </w:r>
      <w:r>
        <w:rPr>
          <w:rFonts w:ascii="Arial" w:cs="Arial" w:eastAsia="Arial" w:hAnsi="Arial"/>
          <w:color w:val="1A1A1A"/>
          <w:sz w:val="20"/>
          <w:szCs w:val="20"/>
        </w:rPr>
        <w:t xml:space="preserve"> ranges 0–1—even after StandardScaler. </w:t>
      </w:r>
      <w:r>
        <w:rPr>
          <w:rFonts w:ascii="Arial" w:cs="Arial" w:eastAsia="Arial" w:hAnsi="Arial"/>
          <w:b/>
          <w:bCs/>
          <w:color w:val="1A1A1A"/>
          <w:sz w:val="20"/>
          <w:szCs w:val="20"/>
        </w:rPr>
        <w:t xml:space="preserve">Dropout (Srivastava et al., 2014)</w:t>
      </w:r>
      <w:r>
        <w:rPr>
          <w:rFonts w:ascii="Arial" w:cs="Arial" w:eastAsia="Arial" w:hAnsi="Arial"/>
          <w:color w:val="1A1A1A"/>
          <w:sz w:val="20"/>
          <w:szCs w:val="20"/>
        </w:rPr>
        <w:t xml:space="preserve"> prevents co-adapted feature detectors by randomly zeroing neuron activations during training, forcing distributed representations. The DDM applies rate 0.3 after Layer 1 (128 neurons, higher overfitting risk) and 0.2 after Layer 2 (64 neurons, lighter regularisation needed). </w:t>
      </w:r>
      <w:r>
        <w:rPr>
          <w:rFonts w:ascii="Arial" w:cs="Arial" w:eastAsia="Arial" w:hAnsi="Arial"/>
          <w:b/>
          <w:bCs/>
          <w:color w:val="1A1A1A"/>
          <w:sz w:val="20"/>
          <w:szCs w:val="20"/>
        </w:rPr>
        <w:t xml:space="preserve">Early Stopping (Goodfellow et al., 2016)</w:t>
      </w:r>
      <w:r>
        <w:rPr>
          <w:rFonts w:ascii="Arial" w:cs="Arial" w:eastAsia="Arial" w:hAnsi="Arial"/>
          <w:color w:val="1A1A1A"/>
          <w:sz w:val="20"/>
          <w:szCs w:val="20"/>
        </w:rPr>
        <w:t xml:space="preserve"> is theoretically equivalent to L2 regularisation with strength inversely proportional to training steps. Patience = 15 is chosen to allow the learning rate scheduler to trigger at least once before halting. The Phase 2 ablation study confirms that removing either Dropout or BatchNorm independently reduces F1 Macro—proving both are necessary, not redundant.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5FA3" w:val="clear"/>
            <w:tcMar>
              <w:top w:type="dxa" w:w="60"/>
              <w:left w:type="dxa" w:w="0"/>
              <w:bottom w:type="dxa" w:w="60"/>
              <w:right w:type="dxa" w:w="0"/>
            </w:tcMar>
          </w:tcPr>
          <w:p/>
        </w:tc>
        <w:tc>
          <w:tcPr>
            <w:tcW w:type="dxa" w:w="9080"/>
            <w:tcBorders>
              <w:top w:val="none" w:color="FFFFFF" w:sz="0"/>
              <w:left w:val="none" w:color="FFFFFF" w:sz="0"/>
              <w:bottom w:val="none" w:color="FFFFFF" w:sz="0"/>
              <w:right w:val="none" w:color="FFFFFF" w:sz="0"/>
            </w:tcBorders>
            <w:shd w:fill="EBF3FB" w:val="clear"/>
            <w:tcMar>
              <w:top w:type="dxa" w:w="100"/>
              <w:left w:type="dxa" w:w="160"/>
              <w:bottom w:type="dxa" w:w="100"/>
              <w:right w:type="dxa" w:w="160"/>
            </w:tcMar>
          </w:tcPr>
          <w:p>
            <w:r>
              <w:rPr>
                <w:rFonts w:ascii="Arial" w:cs="Arial" w:eastAsia="Arial" w:hAnsi="Arial"/>
                <w:i/>
                <w:iCs/>
                <w:color w:val="555555"/>
                <w:sz w:val="18"/>
                <w:szCs w:val="18"/>
              </w:rPr>
              <w:t xml:space="preserve">BatchNorm stabilises each layer’s input distribution. Dropout prevents neuron co-adaptation. Early stopping prevents overfitting. The ablation study proves removing any one degrades F1 Macro on the unseen test set.</w:t>
            </w:r>
          </w:p>
        </w:tc>
      </w:tr>
    </w:tbl>
    <w:p>
      <w:pPr>
        <w:spacing w:after="80" w:before="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10"/>
              <w:left w:type="dxa" w:w="180"/>
              <w:bottom w:type="dxa" w:w="110"/>
              <w:right w:type="dxa" w:w="180"/>
            </w:tcMar>
          </w:tcPr>
          <w:p>
            <w:r>
              <w:rPr>
                <w:rFonts w:ascii="Arial" w:cs="Arial" w:eastAsia="Arial" w:hAnsi="Arial"/>
                <w:b/>
                <w:bCs/>
                <w:color w:val="FFFFFF"/>
                <w:sz w:val="22"/>
                <w:szCs w:val="22"/>
              </w:rPr>
              <w:t xml:space="preserve">2.4  Optimisation: Adam, Learning Rate Scheduling, and Class-Weighted Loss</w:t>
            </w:r>
          </w:p>
        </w:tc>
      </w:tr>
    </w:tbl>
    <w:p>
      <w:pPr>
        <w:spacing w:after="80" w:before="0"/>
      </w:pPr>
      <w:r>
        <w:rPr>
          <w:rFonts w:ascii="Arial" w:cs="Arial" w:eastAsia="Arial" w:hAnsi="Arial"/>
          <w:color w:val="1A1A1A"/>
          <w:sz w:val="20"/>
          <w:szCs w:val="20"/>
        </w:rPr>
        <w:t xml:space="preserve"/>
      </w:r>
    </w:p>
    <w:p>
      <w:pPr>
        <w:spacing w:after="120" w:before="60"/>
      </w:pPr>
      <w:r>
        <w:rPr>
          <w:rFonts w:ascii="Arial" w:cs="Arial" w:eastAsia="Arial" w:hAnsi="Arial"/>
          <w:b/>
          <w:bCs/>
          <w:color w:val="1A1A1A"/>
          <w:sz w:val="20"/>
          <w:szCs w:val="20"/>
        </w:rPr>
        <w:t xml:space="preserve">Adam (Kingma &amp; Ba, 2015)</w:t>
      </w:r>
      <w:r>
        <w:rPr>
          <w:rFonts w:ascii="Arial" w:cs="Arial" w:eastAsia="Arial" w:hAnsi="Arial"/>
          <w:color w:val="1A1A1A"/>
          <w:sz w:val="20"/>
          <w:szCs w:val="20"/>
        </w:rPr>
        <w:t xml:space="preserve"> is selected over SGD because it maintains per-parameter moment estimates, adapting the learning rate based on gradient magnitude history. For the DDM’s 28-feature space, this is essential: </w:t>
      </w:r>
      <w:r>
        <w:rPr>
          <w:rFonts w:ascii="Arial" w:cs="Arial" w:eastAsia="Arial" w:hAnsi="Arial"/>
          <w:i/>
          <w:iCs/>
          <w:color w:val="1A1A1A"/>
          <w:sz w:val="20"/>
          <w:szCs w:val="20"/>
        </w:rPr>
        <w:t xml:space="preserve">execution_quality</w:t>
      </w:r>
      <w:r>
        <w:rPr>
          <w:rFonts w:ascii="Arial" w:cs="Arial" w:eastAsia="Arial" w:hAnsi="Arial"/>
          <w:color w:val="1A1A1A"/>
          <w:sz w:val="20"/>
          <w:szCs w:val="20"/>
        </w:rPr>
        <w:t xml:space="preserve"> (the dominant feature per Phase 1 permutation importance) produces large gradients early in training, while </w:t>
      </w:r>
      <w:r>
        <w:rPr>
          <w:rFonts w:ascii="Arial" w:cs="Arial" w:eastAsia="Arial" w:hAnsi="Arial"/>
          <w:i/>
          <w:iCs/>
          <w:color w:val="1A1A1A"/>
          <w:sz w:val="20"/>
          <w:szCs w:val="20"/>
        </w:rPr>
        <w:t xml:space="preserve">profile_completeness</w:t>
      </w:r>
      <w:r>
        <w:rPr>
          <w:rFonts w:ascii="Arial" w:cs="Arial" w:eastAsia="Arial" w:hAnsi="Arial"/>
          <w:color w:val="1A1A1A"/>
          <w:sz w:val="20"/>
          <w:szCs w:val="20"/>
        </w:rPr>
        <w:t xml:space="preserve"> produces small gradients. Adam’s per-parameter adaptation ensures all features receive meaningful updates, preventing the network from optimising only dominant features. </w:t>
      </w:r>
      <w:r>
        <w:rPr>
          <w:rFonts w:ascii="Arial" w:cs="Arial" w:eastAsia="Arial" w:hAnsi="Arial"/>
          <w:b/>
          <w:bCs/>
          <w:color w:val="1A1A1A"/>
          <w:sz w:val="20"/>
          <w:szCs w:val="20"/>
        </w:rPr>
        <w:t xml:space="preserve">ReduceLROnPlateau scheduling (Smith, 2017)</w:t>
      </w:r>
      <w:r>
        <w:rPr>
          <w:rFonts w:ascii="Arial" w:cs="Arial" w:eastAsia="Arial" w:hAnsi="Arial"/>
          <w:color w:val="1A1A1A"/>
          <w:sz w:val="20"/>
          <w:szCs w:val="20"/>
        </w:rPr>
        <w:t xml:space="preserve"> halves the learning rate (factor = 0.5) when validation loss plateaus, allowing finer adjustments and escape from saddle points. In the DDM’s training logs, the scheduler typically triggers around epoch 40–60, after which validation accuracy improves by 1–2% before early stopping terminates. </w:t>
      </w:r>
      <w:r>
        <w:rPr>
          <w:rFonts w:ascii="Arial" w:cs="Arial" w:eastAsia="Arial" w:hAnsi="Arial"/>
          <w:b/>
          <w:bCs/>
          <w:color w:val="1A1A1A"/>
          <w:sz w:val="20"/>
          <w:szCs w:val="20"/>
        </w:rPr>
        <w:t xml:space="preserve">Class-Weighted CrossEntropy (King &amp; Zeng, 2001)</w:t>
      </w:r>
      <w:r>
        <w:rPr>
          <w:rFonts w:ascii="Arial" w:cs="Arial" w:eastAsia="Arial" w:hAnsi="Arial"/>
          <w:color w:val="1A1A1A"/>
          <w:sz w:val="20"/>
          <w:szCs w:val="20"/>
        </w:rPr>
        <w:t xml:space="preserve"> addresses mild class imbalance (1,841 Beginners, 2,252 Intermediates, 1,907 Experts). Inverse-frequency weights—computed via sklearn’s </w:t>
      </w:r>
      <w:r>
        <w:rPr>
          <w:rFonts w:ascii="Arial" w:cs="Arial" w:eastAsia="Arial" w:hAnsi="Arial"/>
          <w:i/>
          <w:iCs/>
          <w:color w:val="1A1A1A"/>
          <w:sz w:val="20"/>
          <w:szCs w:val="20"/>
        </w:rPr>
        <w:t xml:space="preserve">compute_class_weight('balanced')</w:t>
      </w:r>
      <w:r>
        <w:rPr>
          <w:rFonts w:ascii="Arial" w:cs="Arial" w:eastAsia="Arial" w:hAnsi="Arial"/>
          <w:color w:val="1A1A1A"/>
          <w:sz w:val="20"/>
          <w:szCs w:val="20"/>
        </w:rPr>
        <w:t xml:space="preserve">—ensure Intermediate over-prediction, the dominant Phase 1 failure mode, is penalised symmetrically with other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5FA3" w:val="clear"/>
            <w:tcMar>
              <w:top w:type="dxa" w:w="60"/>
              <w:left w:type="dxa" w:w="0"/>
              <w:bottom w:type="dxa" w:w="60"/>
              <w:right w:type="dxa" w:w="0"/>
            </w:tcMar>
          </w:tcPr>
          <w:p/>
        </w:tc>
        <w:tc>
          <w:tcPr>
            <w:tcW w:type="dxa" w:w="9080"/>
            <w:tcBorders>
              <w:top w:val="none" w:color="FFFFFF" w:sz="0"/>
              <w:left w:val="none" w:color="FFFFFF" w:sz="0"/>
              <w:bottom w:val="none" w:color="FFFFFF" w:sz="0"/>
              <w:right w:val="none" w:color="FFFFFF" w:sz="0"/>
            </w:tcBorders>
            <w:shd w:fill="EBF3FB" w:val="clear"/>
            <w:tcMar>
              <w:top w:type="dxa" w:w="100"/>
              <w:left w:type="dxa" w:w="160"/>
              <w:bottom w:type="dxa" w:w="100"/>
              <w:right w:type="dxa" w:w="160"/>
            </w:tcMar>
          </w:tcPr>
          <w:p>
            <w:r>
              <w:rPr>
                <w:rFonts w:ascii="Arial" w:cs="Arial" w:eastAsia="Arial" w:hAnsi="Arial"/>
                <w:i/>
                <w:iCs/>
                <w:color w:val="555555"/>
                <w:sz w:val="18"/>
                <w:szCs w:val="18"/>
              </w:rPr>
              <w:t xml:space="preserve">Adam’s per-parameter adaptation is critical when 28 features have heterogeneous gradient magnitudes. Class-weighted CrossEntropy ensures Intermediate over-prediction is penalised symmetrically rather than absorbed as a low-cost majority-class error.</w:t>
            </w:r>
          </w:p>
        </w:tc>
      </w:tr>
    </w:tbl>
    <w:p>
      <w:pPr>
        <w:spacing w:after="80" w:before="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10"/>
              <w:left w:type="dxa" w:w="180"/>
              <w:bottom w:type="dxa" w:w="110"/>
              <w:right w:type="dxa" w:w="180"/>
            </w:tcMar>
          </w:tcPr>
          <w:p>
            <w:r>
              <w:rPr>
                <w:rFonts w:ascii="Arial" w:cs="Arial" w:eastAsia="Arial" w:hAnsi="Arial"/>
                <w:b/>
                <w:bCs/>
                <w:color w:val="FFFFFF"/>
                <w:sz w:val="22"/>
                <w:szCs w:val="22"/>
              </w:rPr>
              <w:t xml:space="preserve">2.5  Evaluation Methodology: F1 Macro, Ablation, and Holdout Protocol</w:t>
            </w:r>
          </w:p>
        </w:tc>
      </w:tr>
    </w:tbl>
    <w:p>
      <w:pPr>
        <w:spacing w:after="80" w:before="0"/>
      </w:pPr>
      <w:r>
        <w:rPr>
          <w:rFonts w:ascii="Arial" w:cs="Arial" w:eastAsia="Arial" w:hAnsi="Arial"/>
          <w:color w:val="1A1A1A"/>
          <w:sz w:val="20"/>
          <w:szCs w:val="20"/>
        </w:rPr>
        <w:t xml:space="preserve"/>
      </w:r>
    </w:p>
    <w:p>
      <w:pPr>
        <w:spacing w:after="120" w:before="60"/>
      </w:pPr>
      <w:r>
        <w:rPr>
          <w:rFonts w:ascii="Arial" w:cs="Arial" w:eastAsia="Arial" w:hAnsi="Arial"/>
          <w:b/>
          <w:bCs/>
          <w:color w:val="1A1A1A"/>
          <w:sz w:val="20"/>
          <w:szCs w:val="20"/>
        </w:rPr>
        <w:t xml:space="preserve">F1 Macro (Manning et al., 2008)</w:t>
      </w:r>
      <w:r>
        <w:rPr>
          <w:rFonts w:ascii="Arial" w:cs="Arial" w:eastAsia="Arial" w:hAnsi="Arial"/>
          <w:color w:val="1A1A1A"/>
          <w:sz w:val="20"/>
          <w:szCs w:val="20"/>
        </w:rPr>
        <w:t xml:space="preserve"> is the primary metric because accuracy rewards Intermediate over-prediction: a model always predicting Intermediate achieves ~37% accuracy for free. F1 Macro averages precision–recall harmonic means across all three tiers independently, penalising any model that trades Beginner or Expert performance for Intermediate gains—the exact trade-off the Phase 1 DDS labeling formula was found to encourage. An </w:t>
      </w:r>
      <w:r>
        <w:rPr>
          <w:rFonts w:ascii="Arial" w:cs="Arial" w:eastAsia="Arial" w:hAnsi="Arial"/>
          <w:b/>
          <w:bCs/>
          <w:color w:val="1A1A1A"/>
          <w:sz w:val="20"/>
          <w:szCs w:val="20"/>
        </w:rPr>
        <w:t xml:space="preserve">80/10/10 train-validation-test split</w:t>
      </w:r>
      <w:r>
        <w:rPr>
          <w:rFonts w:ascii="Arial" w:cs="Arial" w:eastAsia="Arial" w:hAnsi="Arial"/>
          <w:color w:val="1A1A1A"/>
          <w:sz w:val="20"/>
          <w:szCs w:val="20"/>
        </w:rPr>
        <w:t xml:space="preserve"> replaces Phase 1’s 80/20 protocol. The dedicated validation set enables early stopping and learning rate scheduling without contaminating the final test evaluation. </w:t>
      </w:r>
      <w:r>
        <w:rPr>
          <w:rFonts w:ascii="Arial" w:cs="Arial" w:eastAsia="Arial" w:hAnsi="Arial"/>
          <w:b/>
          <w:bCs/>
          <w:color w:val="1A1A1A"/>
          <w:sz w:val="20"/>
          <w:szCs w:val="20"/>
        </w:rPr>
        <w:t xml:space="preserve">Arlot &amp; Celisse (2010)</w:t>
      </w:r>
      <w:r>
        <w:rPr>
          <w:rFonts w:ascii="Arial" w:cs="Arial" w:eastAsia="Arial" w:hAnsi="Arial"/>
          <w:color w:val="1A1A1A"/>
          <w:sz w:val="20"/>
          <w:szCs w:val="20"/>
        </w:rPr>
        <w:t xml:space="preserve"> confirm that holdout estimation is unbiased for fixed models; the train-set cost (4,800→4,320 samples) is negligible relative to the benefit. The </w:t>
      </w:r>
      <w:r>
        <w:rPr>
          <w:rFonts w:ascii="Arial" w:cs="Arial" w:eastAsia="Arial" w:hAnsi="Arial"/>
          <w:b/>
          <w:bCs/>
          <w:color w:val="1A1A1A"/>
          <w:sz w:val="20"/>
          <w:szCs w:val="20"/>
        </w:rPr>
        <w:t xml:space="preserve">ablation study (Meyes et al., 2019)</w:t>
      </w:r>
      <w:r>
        <w:rPr>
          <w:rFonts w:ascii="Arial" w:cs="Arial" w:eastAsia="Arial" w:hAnsi="Arial"/>
          <w:color w:val="1A1A1A"/>
          <w:sz w:val="20"/>
          <w:szCs w:val="20"/>
        </w:rPr>
        <w:t xml:space="preserve"> removes one component at a time—Dropout only, BatchNorm only, Full Model—and reports F1 Macro for each variant. If removing a component does not reduce F1, that component is unjustified complexity. The DDM ablation confirms both Dropout and BatchNorm independently contribute, validating the full architecture as the minimum sufficient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5FA3" w:val="clear"/>
            <w:tcMar>
              <w:top w:type="dxa" w:w="60"/>
              <w:left w:type="dxa" w:w="0"/>
              <w:bottom w:type="dxa" w:w="60"/>
              <w:right w:type="dxa" w:w="0"/>
            </w:tcMar>
          </w:tcPr>
          <w:p/>
        </w:tc>
        <w:tc>
          <w:tcPr>
            <w:tcW w:type="dxa" w:w="9080"/>
            <w:tcBorders>
              <w:top w:val="none" w:color="FFFFFF" w:sz="0"/>
              <w:left w:val="none" w:color="FFFFFF" w:sz="0"/>
              <w:bottom w:val="none" w:color="FFFFFF" w:sz="0"/>
              <w:right w:val="none" w:color="FFFFFF" w:sz="0"/>
            </w:tcBorders>
            <w:shd w:fill="EBF3FB" w:val="clear"/>
            <w:tcMar>
              <w:top w:type="dxa" w:w="100"/>
              <w:left w:type="dxa" w:w="160"/>
              <w:bottom w:type="dxa" w:w="100"/>
              <w:right w:type="dxa" w:w="160"/>
            </w:tcMar>
          </w:tcPr>
          <w:p>
            <w:r>
              <w:rPr>
                <w:rFonts w:ascii="Arial" w:cs="Arial" w:eastAsia="Arial" w:hAnsi="Arial"/>
                <w:i/>
                <w:iCs/>
                <w:color w:val="555555"/>
                <w:sz w:val="18"/>
                <w:szCs w:val="18"/>
              </w:rPr>
              <w:t xml:space="preserve">F1 Macro is the only metric that correctly identifies the Phase 1 failure mode. Manning et al. (2008) establish it as the correct metric for multi-class problems where error symmetry across classes matters—misclassifying an Expert as Intermediate is as costly as any other error.</w:t>
            </w:r>
          </w:p>
        </w:tc>
      </w:tr>
    </w:tbl>
    <w:p>
      <w:pPr>
        <w:spacing w:after="80" w:before="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10"/>
              <w:left w:type="dxa" w:w="180"/>
              <w:bottom w:type="dxa" w:w="110"/>
              <w:right w:type="dxa" w:w="180"/>
            </w:tcMar>
          </w:tcPr>
          <w:p>
            <w:r>
              <w:rPr>
                <w:rFonts w:ascii="Arial" w:cs="Arial" w:eastAsia="Arial" w:hAnsi="Arial"/>
                <w:b/>
                <w:bCs/>
                <w:color w:val="FFFFFF"/>
                <w:sz w:val="22"/>
                <w:szCs w:val="22"/>
              </w:rPr>
              <w:t xml:space="preserve">2.6  Synthesis: The Gap the Phase 2 MLP Fills</w:t>
            </w:r>
          </w:p>
        </w:tc>
      </w:tr>
    </w:tbl>
    <w:p>
      <w:pPr>
        <w:spacing w:after="80" w:before="0"/>
      </w:pPr>
      <w:r>
        <w:rPr>
          <w:rFonts w:ascii="Arial" w:cs="Arial" w:eastAsia="Arial" w:hAnsi="Arial"/>
          <w:color w:val="1A1A1A"/>
          <w:sz w:val="20"/>
          <w:szCs w:val="20"/>
        </w:rPr>
        <w:t xml:space="preserve"/>
      </w:r>
    </w:p>
    <w:p>
      <w:pPr>
        <w:spacing w:after="120" w:before="60"/>
      </w:pPr>
      <w:r>
        <w:rPr>
          <w:rFonts w:ascii="Arial" w:cs="Arial" w:eastAsia="Arial" w:hAnsi="Arial"/>
          <w:color w:val="1A1A1A"/>
          <w:sz w:val="20"/>
          <w:szCs w:val="20"/>
        </w:rPr>
        <w:t xml:space="preserve">Each of the five traditions contributes a specific design requirement. Universal approximation theory establishes </w:t>
      </w:r>
      <w:r>
        <w:rPr>
          <w:rFonts w:ascii="Arial" w:cs="Arial" w:eastAsia="Arial" w:hAnsi="Arial"/>
          <w:i/>
          <w:iCs/>
          <w:color w:val="1A1A1A"/>
          <w:sz w:val="20"/>
          <w:szCs w:val="20"/>
        </w:rPr>
        <w:t xml:space="preserve">why</w:t>
      </w:r>
      <w:r>
        <w:rPr>
          <w:rFonts w:ascii="Arial" w:cs="Arial" w:eastAsia="Arial" w:hAnsi="Arial"/>
          <w:color w:val="1A1A1A"/>
          <w:sz w:val="20"/>
          <w:szCs w:val="20"/>
        </w:rPr>
        <w:t xml:space="preserve"> MLP can solve the interaction-detection problem SVM cannot. Tabular deep learning research establishes </w:t>
      </w:r>
      <w:r>
        <w:rPr>
          <w:rFonts w:ascii="Arial" w:cs="Arial" w:eastAsia="Arial" w:hAnsi="Arial"/>
          <w:i/>
          <w:iCs/>
          <w:color w:val="1A1A1A"/>
          <w:sz w:val="20"/>
          <w:szCs w:val="20"/>
        </w:rPr>
        <w:t xml:space="preserve">when</w:t>
      </w:r>
      <w:r>
        <w:rPr>
          <w:rFonts w:ascii="Arial" w:cs="Arial" w:eastAsia="Arial" w:hAnsi="Arial"/>
          <w:color w:val="1A1A1A"/>
          <w:sz w:val="20"/>
          <w:szCs w:val="20"/>
        </w:rPr>
        <w:t xml:space="preserve"> an MLP will succeed—only after feature engineering removes uninformative dimensions. Regularisation literature specifies </w:t>
      </w:r>
      <w:r>
        <w:rPr>
          <w:rFonts w:ascii="Arial" w:cs="Arial" w:eastAsia="Arial" w:hAnsi="Arial"/>
          <w:i/>
          <w:iCs/>
          <w:color w:val="1A1A1A"/>
          <w:sz w:val="20"/>
          <w:szCs w:val="20"/>
        </w:rPr>
        <w:t xml:space="preserve">how</w:t>
      </w:r>
      <w:r>
        <w:rPr>
          <w:rFonts w:ascii="Arial" w:cs="Arial" w:eastAsia="Arial" w:hAnsi="Arial"/>
          <w:color w:val="1A1A1A"/>
          <w:sz w:val="20"/>
          <w:szCs w:val="20"/>
        </w:rPr>
        <w:t xml:space="preserve"> to prevent overfitting on 6,000 samples. Optimisation research specifies </w:t>
      </w:r>
      <w:r>
        <w:rPr>
          <w:rFonts w:ascii="Arial" w:cs="Arial" w:eastAsia="Arial" w:hAnsi="Arial"/>
          <w:i/>
          <w:iCs/>
          <w:color w:val="1A1A1A"/>
          <w:sz w:val="20"/>
          <w:szCs w:val="20"/>
        </w:rPr>
        <w:t xml:space="preserve">how</w:t>
      </w:r>
      <w:r>
        <w:rPr>
          <w:rFonts w:ascii="Arial" w:cs="Arial" w:eastAsia="Arial" w:hAnsi="Arial"/>
          <w:color w:val="1A1A1A"/>
          <w:sz w:val="20"/>
          <w:szCs w:val="20"/>
        </w:rPr>
        <w:t xml:space="preserve"> to train so all 28 features receive meaningful updates and all three tiers are penalised symmetrically. Evaluation methodology specifies </w:t>
      </w:r>
      <w:r>
        <w:rPr>
          <w:rFonts w:ascii="Arial" w:cs="Arial" w:eastAsia="Arial" w:hAnsi="Arial"/>
          <w:i/>
          <w:iCs/>
          <w:color w:val="1A1A1A"/>
          <w:sz w:val="20"/>
          <w:szCs w:val="20"/>
        </w:rPr>
        <w:t xml:space="preserve">how to measure</w:t>
      </w:r>
      <w:r>
        <w:rPr>
          <w:rFonts w:ascii="Arial" w:cs="Arial" w:eastAsia="Arial" w:hAnsi="Arial"/>
          <w:color w:val="1A1A1A"/>
          <w:sz w:val="20"/>
          <w:szCs w:val="20"/>
        </w:rPr>
        <w:t xml:space="preserve"> success without data leakage or metric gaming.</w:t>
      </w:r>
    </w:p>
    <w:p>
      <w:pPr>
        <w:spacing w:after="200" w:before="60"/>
      </w:pPr>
      <w:r>
        <w:rPr>
          <w:rFonts w:ascii="Arial" w:cs="Arial" w:eastAsia="Arial" w:hAnsi="Arial"/>
          <w:color w:val="1A1A1A"/>
          <w:sz w:val="20"/>
          <w:szCs w:val="20"/>
        </w:rPr>
        <w:t xml:space="preserve">No existing study applies all five principles simultaneously to GitHub behavioral feature classification with a validated developer scoring model. </w:t>
      </w:r>
      <w:r>
        <w:rPr>
          <w:rFonts w:ascii="Arial" w:cs="Arial" w:eastAsia="Arial" w:hAnsi="Arial"/>
          <w:b/>
          <w:bCs/>
          <w:color w:val="1A1A1A"/>
          <w:sz w:val="20"/>
          <w:szCs w:val="20"/>
        </w:rPr>
        <w:t xml:space="preserve">The DDM Phase 2 MLP is the first architecture to do so</w:t>
      </w:r>
      <w:r>
        <w:rPr>
          <w:rFonts w:ascii="Arial" w:cs="Arial" w:eastAsia="Arial" w:hAnsi="Arial"/>
          <w:color w:val="1A1A1A"/>
          <w:sz w:val="20"/>
          <w:szCs w:val="20"/>
        </w:rPr>
        <w:t xml:space="preserve">: a regularised, class-balanced, early-stopped feedforward network trained on 28 domain-validated behavioral features, evaluated by F1 Macro on a stratified holdout with component-level ablation justification.</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9480"/>
      </w:tblGrid>
      <w:tr>
        <w:tc>
          <w:tcPr>
            <w:tcBorders>
              <w:top w:val="none" w:color="FFFFFF" w:sz="0"/>
              <w:left w:val="none" w:color="FFFFFF" w:sz="0"/>
              <w:bottom w:val="none" w:color="FFFFFF" w:sz="0"/>
              <w:right w:val="none" w:color="FFFFFF" w:sz="0"/>
            </w:tcBorders>
            <w:shd w:fill="2E5FA3" w:val="clear"/>
            <w:tcMar>
              <w:top w:type="dxa" w:w="100"/>
              <w:left w:type="dxa" w:w="180"/>
              <w:bottom w:type="dxa" w:w="100"/>
              <w:right w:type="dxa" w:w="180"/>
            </w:tcMar>
          </w:tcPr>
          <w:p>
            <w:r>
              <w:rPr>
                <w:rFonts w:ascii="Arial" w:cs="Arial" w:eastAsia="Arial" w:hAnsi="Arial"/>
                <w:b/>
                <w:bCs/>
                <w:color w:val="FFFFFF"/>
                <w:sz w:val="22"/>
                <w:szCs w:val="22"/>
              </w:rPr>
              <w:t xml:space="preserve">References Summary</w:t>
            </w:r>
          </w:p>
        </w:tc>
      </w:tr>
    </w:tbl>
    <w:p>
      <w:pPr>
        <w:spacing w:after="100" w:before="100"/>
      </w:pPr>
      <w:r>
        <w:rPr>
          <w:rFonts w:ascii="Arial" w:cs="Arial" w:eastAsia="Arial" w:hAnsi="Arial"/>
          <w:i/>
          <w:iCs/>
          <w:color w:val="1A1A1A"/>
          <w:sz w:val="20"/>
          <w:szCs w:val="20"/>
        </w:rPr>
        <w:t xml:space="preserve">15 primary references spanning 1989–2022. Coverage: neural network theory (3), tabular deep learning (3), regularisation (3), optimisation (3), evaluation methodology (3). All citations directly inform specific DDM Phase 2 design decisions.</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4600"/>
        <w:gridCol w:w="4880"/>
      </w:tblGrid>
      <w:tr>
        <w:tc>
          <w:tcPr>
            <w:tcW w:type="dxa" w:w="4600"/>
            <w:tcBorders>
              <w:top w:val="single" w:color="D0D0D0" w:sz="1"/>
              <w:left w:val="single" w:color="D0D0D0" w:sz="1"/>
              <w:bottom w:val="single" w:color="D0D0D0" w:sz="1"/>
              <w:right w:val="single" w:color="D0D0D0" w:sz="1"/>
            </w:tcBorders>
            <w:shd w:fill="EBF3FB" w:val="clear"/>
            <w:tcMar>
              <w:top w:type="dxa" w:w="60"/>
              <w:left w:type="dxa" w:w="100"/>
              <w:bottom w:type="dxa" w:w="60"/>
              <w:right w:type="dxa" w:w="100"/>
            </w:tcMar>
          </w:tcPr>
          <w:p>
            <w:r>
              <w:rPr>
                <w:rFonts w:ascii="Arial" w:cs="Arial" w:eastAsia="Arial" w:hAnsi="Arial"/>
                <w:b/>
                <w:bCs/>
                <w:color w:val="1F3864"/>
                <w:sz w:val="18"/>
                <w:szCs w:val="18"/>
              </w:rPr>
              <w:t xml:space="preserve">Reference</w:t>
            </w:r>
          </w:p>
        </w:tc>
        <w:tc>
          <w:tcPr>
            <w:tcW w:type="dxa" w:w="4880"/>
            <w:tcBorders>
              <w:top w:val="single" w:color="D0D0D0" w:sz="1"/>
              <w:left w:val="single" w:color="D0D0D0" w:sz="1"/>
              <w:bottom w:val="single" w:color="D0D0D0" w:sz="1"/>
              <w:right w:val="single" w:color="D0D0D0" w:sz="1"/>
            </w:tcBorders>
            <w:shd w:fill="EBF3FB" w:val="clear"/>
            <w:tcMar>
              <w:top w:type="dxa" w:w="60"/>
              <w:left w:type="dxa" w:w="100"/>
              <w:bottom w:type="dxa" w:w="60"/>
              <w:right w:type="dxa" w:w="100"/>
            </w:tcMar>
          </w:tcPr>
          <w:p>
            <w:r>
              <w:rPr>
                <w:rFonts w:ascii="Arial" w:cs="Arial" w:eastAsia="Arial" w:hAnsi="Arial"/>
                <w:b/>
                <w:bCs/>
                <w:color w:val="1F3864"/>
                <w:sz w:val="18"/>
                <w:szCs w:val="18"/>
              </w:rPr>
              <w:t xml:space="preserve">DDM Design Decision</w:t>
            </w:r>
          </w:p>
        </w:tc>
      </w:tr>
      <w:tr>
        <w:tc>
          <w:tcPr>
            <w:tcW w:type="dxa" w:w="4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Cybenko (1989). Approximation by superpositions of a sigmoidal function.</w:t>
            </w:r>
          </w:p>
        </w:tc>
        <w:tc>
          <w:tcPr>
            <w:tcW w:type="dxa" w:w="4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Justifies MLP expressiveness; guarantees interaction-detection capability SVM lacks.</w:t>
            </w:r>
          </w:p>
        </w:tc>
      </w:tr>
      <w:tr>
        <w:tc>
          <w:tcPr>
            <w:tcW w:type="dxa" w:w="4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Hornik (1991). Approximation capabilities of multilayer feedforward networks.</w:t>
            </w:r>
          </w:p>
        </w:tc>
        <w:tc>
          <w:tcPr>
            <w:tcW w:type="dxa" w:w="488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Extends universality to ReLU; justifies activation function choice.</w:t>
            </w:r>
          </w:p>
        </w:tc>
      </w:tr>
      <w:tr>
        <w:tc>
          <w:tcPr>
            <w:tcW w:type="dxa" w:w="4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LeCun, Bengio &amp; Hinton (2015). Deep learning. Nature, 521.</w:t>
            </w:r>
          </w:p>
        </w:tc>
        <w:tc>
          <w:tcPr>
            <w:tcW w:type="dxa" w:w="4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Backpropagation framework for layer-wise representation learning.</w:t>
            </w:r>
          </w:p>
        </w:tc>
      </w:tr>
      <w:tr>
        <w:tc>
          <w:tcPr>
            <w:tcW w:type="dxa" w:w="4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Grinsztajn et al. (2022). Why tree-based models still outperform deep learning on tabular data. NeurIPS.</w:t>
            </w:r>
          </w:p>
        </w:tc>
        <w:tc>
          <w:tcPr>
            <w:tcW w:type="dxa" w:w="488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Identifies uninformative features as MLP failure mode; motivates feature engineering.</w:t>
            </w:r>
          </w:p>
        </w:tc>
      </w:tr>
      <w:tr>
        <w:tc>
          <w:tcPr>
            <w:tcW w:type="dxa" w:w="4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Shwartz-Ziv &amp; Armon (2022). Tabular data: Deep learning is not all you need. Information Fusion.</w:t>
            </w:r>
          </w:p>
        </w:tc>
        <w:tc>
          <w:tcPr>
            <w:tcW w:type="dxa" w:w="4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Feature interaction gap; validates 128-neuron Layer 1 allocation.</w:t>
            </w:r>
          </w:p>
        </w:tc>
      </w:tr>
      <w:tr>
        <w:tc>
          <w:tcPr>
            <w:tcW w:type="dxa" w:w="4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Arik &amp; Pfister (2021). TabNet: Attentive interpretable tabular learning. AAAI.</w:t>
            </w:r>
          </w:p>
        </w:tc>
        <w:tc>
          <w:tcPr>
            <w:tcW w:type="dxa" w:w="488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Confirms Dropout as sparse attention proxy for tabular regularisation.</w:t>
            </w:r>
          </w:p>
        </w:tc>
      </w:tr>
      <w:tr>
        <w:tc>
          <w:tcPr>
            <w:tcW w:type="dxa" w:w="4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Ioffe &amp; Szegedy (2015). Batch normalization. ICML.</w:t>
            </w:r>
          </w:p>
        </w:tc>
        <w:tc>
          <w:tcPr>
            <w:tcW w:type="dxa" w:w="4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Theoretical grounding for BatchNorm after each hidden layer.</w:t>
            </w:r>
          </w:p>
        </w:tc>
      </w:tr>
      <w:tr>
        <w:tc>
          <w:tcPr>
            <w:tcW w:type="dxa" w:w="4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Srivastava et al. (2014). Dropout. JMLR.</w:t>
            </w:r>
          </w:p>
        </w:tc>
        <w:tc>
          <w:tcPr>
            <w:tcW w:type="dxa" w:w="488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Justifies rates 0.3 / 0.2 for Layers 1 and 2.</w:t>
            </w:r>
          </w:p>
        </w:tc>
      </w:tr>
      <w:tr>
        <w:tc>
          <w:tcPr>
            <w:tcW w:type="dxa" w:w="4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Goodfellow, Bengio &amp; Courville (2016). Deep Learning. MIT Press.</w:t>
            </w:r>
          </w:p>
        </w:tc>
        <w:tc>
          <w:tcPr>
            <w:tcW w:type="dxa" w:w="4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Early stopping as L2-equivalent regularisation; patience strategy.</w:t>
            </w:r>
          </w:p>
        </w:tc>
      </w:tr>
      <w:tr>
        <w:tc>
          <w:tcPr>
            <w:tcW w:type="dxa" w:w="4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Kingma &amp; Ba (2015). Adam. ICLR.</w:t>
            </w:r>
          </w:p>
        </w:tc>
        <w:tc>
          <w:tcPr>
            <w:tcW w:type="dxa" w:w="488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Justifies Adam over SGD for heterogeneous gradient magnitudes.</w:t>
            </w:r>
          </w:p>
        </w:tc>
      </w:tr>
      <w:tr>
        <w:tc>
          <w:tcPr>
            <w:tcW w:type="dxa" w:w="4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Smith (2017). Cyclical learning rates. WACV.</w:t>
            </w:r>
          </w:p>
        </w:tc>
        <w:tc>
          <w:tcPr>
            <w:tcW w:type="dxa" w:w="4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ReduceLROnPlateau scheduling theory and strategy.</w:t>
            </w:r>
          </w:p>
        </w:tc>
      </w:tr>
      <w:tr>
        <w:tc>
          <w:tcPr>
            <w:tcW w:type="dxa" w:w="4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King &amp; Zeng (2001). Logistic regression in rare events data. Political Analysis.</w:t>
            </w:r>
          </w:p>
        </w:tc>
        <w:tc>
          <w:tcPr>
            <w:tcW w:type="dxa" w:w="488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Inverse-frequency class weighting derivation.</w:t>
            </w:r>
          </w:p>
        </w:tc>
      </w:tr>
      <w:tr>
        <w:tc>
          <w:tcPr>
            <w:tcW w:type="dxa" w:w="4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Manning, Raghavan &amp; Schütze (2008). Introduction to Information Retrieval.</w:t>
            </w:r>
          </w:p>
        </w:tc>
        <w:tc>
          <w:tcPr>
            <w:tcW w:type="dxa" w:w="4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F1 Macro as correct metric for symmetric multi-class error.</w:t>
            </w:r>
          </w:p>
        </w:tc>
      </w:tr>
      <w:tr>
        <w:tc>
          <w:tcPr>
            <w:tcW w:type="dxa" w:w="4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Arlot &amp; Celisse (2010). Survey of cross-validation procedures. Statistics Surveys.</w:t>
            </w:r>
          </w:p>
        </w:tc>
        <w:tc>
          <w:tcPr>
            <w:tcW w:type="dxa" w:w="488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Train/val/test split unbiasedness; validation set design.</w:t>
            </w:r>
          </w:p>
        </w:tc>
      </w:tr>
      <w:tr>
        <w:tc>
          <w:tcPr>
            <w:tcW w:type="dxa" w:w="4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Meyes et al. (2019). Ablation studies in artificial neural networks. arXiv.</w:t>
            </w:r>
          </w:p>
        </w:tc>
        <w:tc>
          <w:tcPr>
            <w:tcW w:type="dxa" w:w="4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Ablation study design standard; component justification methodology.</w:t>
            </w:r>
          </w:p>
        </w:tc>
      </w:tr>
    </w:tbl>
    <w:p>
      <w:pPr>
        <w:pBdr>
          <w:top w:val="single" w:color="2E5FA3" w:sz="4" w:space="1"/>
        </w:pBdr>
        <w:spacing w:after="0" w:before="160"/>
        <w:jc w:val="center"/>
      </w:pPr>
      <w:r>
        <w:rPr>
          <w:rFonts w:ascii="Arial" w:cs="Arial" w:eastAsia="Arial" w:hAnsi="Arial"/>
          <w:i/>
          <w:iCs/>
          <w:color w:val="555555"/>
          <w:sz w:val="16"/>
          <w:szCs w:val="16"/>
        </w:rPr>
        <w:t xml:space="preserve">15 references · 5 research traditions · 1 architecture</w:t>
      </w:r>
      <w:r>
        <w:rPr>
          <w:color w:val="D0D0D0"/>
          <w:sz w:val="16"/>
          <w:szCs w:val="16"/>
        </w:rPr>
        <w:t xml:space="preserve">     |     </w:t>
      </w:r>
      <w:r>
        <w:rPr>
          <w:rFonts w:ascii="Arial" w:cs="Arial" w:eastAsia="Arial" w:hAnsi="Arial"/>
          <w:i/>
          <w:iCs/>
          <w:color w:val="555555"/>
          <w:sz w:val="16"/>
          <w:szCs w:val="16"/>
        </w:rPr>
        <w:t xml:space="preserve">Phase 2 — MLP Architecture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1"/>
      </w:pBdr>
      <w:tabs>
        <w:tab w:val="right" w:pos="9026"/>
      </w:tabs>
    </w:pPr>
    <w:r>
      <w:rPr>
        <w:rFonts w:ascii="Arial" w:cs="Arial" w:eastAsia="Arial" w:hAnsi="Arial"/>
        <w:color w:val="555555"/>
        <w:sz w:val="14"/>
        <w:szCs w:val="14"/>
      </w:rPr>
      <w:t xml:space="preserve">DDM — Phase 2 Literature Review</w:t>
    </w:r>
    <w:r>
      <w:rPr>
        <w:sz w:val="14"/>
        <w:szCs w:val="14"/>
      </w:rPr>
      <w:t xml:space="preserve">	</w:t>
    </w:r>
    <w:r>
      <w:rPr>
        <w:rFonts w:ascii="Arial" w:cs="Arial" w:eastAsia="Arial" w:hAnsi="Arial"/>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pPr>
    <w:r>
      <w:rPr>
        <w:rFonts w:ascii="Arial" w:cs="Arial" w:eastAsia="Arial" w:hAnsi="Arial"/>
        <w:b/>
        <w:bCs/>
        <w:color w:val="1F3864"/>
        <w:sz w:val="16"/>
        <w:szCs w:val="16"/>
      </w:rPr>
      <w:t xml:space="preserve">Developer DNA Matrix </w:t>
    </w:r>
    <w:r>
      <w:rPr>
        <w:rFonts w:ascii="Arial" w:cs="Arial" w:eastAsia="Arial" w:hAnsi="Arial"/>
        <w:color w:val="555555"/>
        <w:sz w:val="16"/>
        <w:szCs w:val="16"/>
      </w:rPr>
      <w:t xml:space="preserve">— Advanced ML &amp; DL, Phase 2  </w:t>
    </w:r>
    <w:r>
      <w:rPr>
        <w:rFonts w:ascii="Arial" w:cs="Arial" w:eastAsia="Arial" w:hAnsi="Arial"/>
        <w:i/>
        <w:iCs/>
        <w:color w:val="555555"/>
        <w:sz w:val="16"/>
        <w:szCs w:val="16"/>
      </w:rPr>
      <w:t xml:space="preserve">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2026-04-20T20:53:52.379Z</dcterms:created>
  <dcterms:modified xsi:type="dcterms:W3CDTF">2026-04-20T20:53:52.379Z</dcterms:modified>
</cp:coreProperties>
</file>

<file path=docProps/custom.xml><?xml version="1.0" encoding="utf-8"?>
<Properties xmlns="http://schemas.openxmlformats.org/officeDocument/2006/custom-properties" xmlns:vt="http://schemas.openxmlformats.org/officeDocument/2006/docPropsVTypes"/>
</file>