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Georgia" w:cs="Georgia" w:eastAsia="Georgia" w:hAnsi="Georgia"/>
          <w:b/>
          <w:bCs/>
          <w:color w:val="1A2E44"/>
          <w:sz w:val="48"/>
          <w:szCs w:val="48"/>
        </w:rPr>
        <w:t xml:space="preserve">Literature Review</w:t>
      </w:r>
    </w:p>
    <w:p>
      <w:pPr>
        <w:spacing w:after="60" w:before="0"/>
      </w:pPr>
      <w:r>
        <w:rPr>
          <w:rFonts w:ascii="Georgia" w:cs="Georgia" w:eastAsia="Georgia" w:hAnsi="Georgia"/>
          <w:i/>
          <w:iCs/>
          <w:color w:val="5A6A7A"/>
          <w:sz w:val="22"/>
          <w:szCs w:val="22"/>
        </w:rPr>
        <w:t xml:space="preserve">Developer DNA Matrix — Advanced Machine Learning &amp; Deep Learning</w:t>
      </w:r>
    </w:p>
    <w:p>
      <w:pPr>
        <w:pBdr>
          <w:bottom w:val="single" w:color="1B3A5C" w:sz="12" w:space="6"/>
        </w:pBdr>
        <w:spacing w:after="280" w:before="0"/>
      </w:pPr>
    </w:p>
    <w:p>
      <w:pPr>
        <w:spacing w:after="140" w:before="80"/>
        <w:jc w:val="both"/>
      </w:pPr>
      <w:r>
        <w:rPr>
          <w:rFonts w:ascii="Georgia" w:cs="Georgia" w:eastAsia="Georgia" w:hAnsi="Georgia"/>
          <w:color w:val="2C3040"/>
          <w:sz w:val="22"/>
          <w:szCs w:val="22"/>
        </w:rPr>
        <w:t xml:space="preserve">The Developer DNA Matrix (DDM) sits at the intersection of three independent research traditions that have, until now, developed in near-complete isolation: </w:t>
      </w:r>
      <w:r>
        <w:rPr>
          <w:rFonts w:ascii="Georgia" w:cs="Georgia" w:eastAsia="Georgia" w:hAnsi="Georgia"/>
          <w:b/>
          <w:bCs/>
          <w:color w:val="2C3040"/>
          <w:sz w:val="22"/>
          <w:szCs w:val="22"/>
        </w:rPr>
        <w:t xml:space="preserve">personnel selection validity research</w:t>
      </w:r>
      <w:r>
        <w:rPr>
          <w:rFonts w:ascii="Georgia" w:cs="Georgia" w:eastAsia="Georgia" w:hAnsi="Georgia"/>
          <w:color w:val="2C3040"/>
          <w:sz w:val="22"/>
          <w:szCs w:val="22"/>
        </w:rPr>
        <w:t xml:space="preserve">, </w:t>
      </w:r>
      <w:r>
        <w:rPr>
          <w:rFonts w:ascii="Georgia" w:cs="Georgia" w:eastAsia="Georgia" w:hAnsi="Georgia"/>
          <w:b/>
          <w:bCs/>
          <w:color w:val="2C3040"/>
          <w:sz w:val="22"/>
          <w:szCs w:val="22"/>
        </w:rPr>
        <w:t xml:space="preserve">deep learning for code and software artifact representation</w:t>
      </w:r>
      <w:r>
        <w:rPr>
          <w:rFonts w:ascii="Georgia" w:cs="Georgia" w:eastAsia="Georgia" w:hAnsi="Georgia"/>
          <w:color w:val="2C3040"/>
          <w:sz w:val="22"/>
          <w:szCs w:val="22"/>
        </w:rPr>
        <w:t xml:space="preserve">, and </w:t>
      </w:r>
      <w:r>
        <w:rPr>
          <w:rFonts w:ascii="Georgia" w:cs="Georgia" w:eastAsia="Georgia" w:hAnsi="Georgia"/>
          <w:b/>
          <w:bCs/>
          <w:color w:val="2C3040"/>
          <w:sz w:val="22"/>
          <w:szCs w:val="22"/>
        </w:rPr>
        <w:t xml:space="preserve">algorithmic fairness in automated decision systems</w:t>
      </w:r>
      <w:r>
        <w:rPr>
          <w:rFonts w:ascii="Georgia" w:cs="Georgia" w:eastAsia="Georgia" w:hAnsi="Georgia"/>
          <w:color w:val="2C3040"/>
          <w:sz w:val="22"/>
          <w:szCs w:val="22"/>
        </w:rPr>
        <w:t xml:space="preserve">. This review argues that each tradition has reached a natural ceiling that can only be broken by the synthesis the DDM proposes, and that this synthesis constitutes a genuine research contribution rather than incremental engineering.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240"/>
              <w:bottom w:type="dxa" w:w="160"/>
              <w:right w:type="dxa" w:w="240"/>
            </w:tcMar>
          </w:tcPr>
          <w:p>
            <w:r>
              <w:rPr>
                <w:rFonts w:ascii="Georgia" w:cs="Georgia" w:eastAsia="Georgia" w:hAnsi="Georgia"/>
                <w:b/>
                <w:bCs/>
                <w:color w:val="FFFFFF"/>
                <w:sz w:val="22"/>
                <w:szCs w:val="22"/>
              </w:rPr>
              <w:t xml:space="preserve">2.1  </w:t>
            </w:r>
            <w:r>
              <w:rPr>
                <w:rFonts w:ascii="Georgia" w:cs="Georgia" w:eastAsia="Georgia" w:hAnsi="Georgia"/>
                <w:b/>
                <w:bCs/>
                <w:color w:val="FFFFFF"/>
                <w:sz w:val="26"/>
                <w:szCs w:val="26"/>
              </w:rPr>
              <w:t xml:space="preserve">The Hiring Signal Problem: Validity Research in Personnel Selection</w:t>
            </w:r>
          </w:p>
        </w:tc>
      </w:tr>
    </w:tbl>
    <w:p>
      <w:pPr>
        <w:spacing w:after="80" w:before="0"/>
      </w:pPr>
    </w:p>
    <w:p>
      <w:pPr>
        <w:spacing w:after="140" w:before="80"/>
        <w:jc w:val="both"/>
      </w:pPr>
      <w:r>
        <w:rPr>
          <w:rFonts w:ascii="Georgia" w:cs="Georgia" w:eastAsia="Georgia" w:hAnsi="Georgia"/>
          <w:color w:val="2C3040"/>
          <w:sz w:val="22"/>
          <w:szCs w:val="22"/>
        </w:rPr>
        <w:t xml:space="preserve">The empirical case against résumé-based and interview-based developer hiring is not new — it is, in fact, one of the most robustly replicated findings in industrial-organisational psychology. </w:t>
      </w:r>
      <w:r>
        <w:rPr>
          <w:rFonts w:ascii="Georgia" w:cs="Georgia" w:eastAsia="Georgia" w:hAnsi="Georgia"/>
          <w:b/>
          <w:bCs/>
          <w:color w:val="1B3A5C"/>
          <w:sz w:val="22"/>
          <w:szCs w:val="22"/>
        </w:rPr>
        <w:t xml:space="preserve">Schmidt &amp; Hunter (1998)</w:t>
      </w:r>
      <w:r>
        <w:rPr>
          <w:rFonts w:ascii="Georgia" w:cs="Georgia" w:eastAsia="Georgia" w:hAnsi="Georgia"/>
          <w:color w:val="2C3040"/>
          <w:sz w:val="22"/>
          <w:szCs w:val="22"/>
        </w:rPr>
        <w:t xml:space="preserve"> conducted the most comprehensive meta-analysis of personnel selection methods to date, aggregating validity coefficients across decades of studies. Their central finding is unambiguous: work sample tests (predictive validity </w:t>
      </w:r>
      <w:r>
        <w:rPr>
          <w:rFonts w:ascii="Georgia" w:cs="Georgia" w:eastAsia="Georgia" w:hAnsi="Georgia"/>
          <w:i/>
          <w:iCs/>
          <w:color w:val="2C3040"/>
          <w:sz w:val="22"/>
          <w:szCs w:val="22"/>
        </w:rPr>
        <w:t xml:space="preserve">r</w:t>
      </w:r>
      <w:r>
        <w:rPr>
          <w:rFonts w:ascii="Georgia" w:cs="Georgia" w:eastAsia="Georgia" w:hAnsi="Georgia"/>
          <w:color w:val="2C3040"/>
          <w:sz w:val="22"/>
          <w:szCs w:val="22"/>
        </w:rPr>
        <w:t xml:space="preserve"> = 0.54) and structured interviews (</w:t>
      </w:r>
      <w:r>
        <w:rPr>
          <w:rFonts w:ascii="Georgia" w:cs="Georgia" w:eastAsia="Georgia" w:hAnsi="Georgia"/>
          <w:i/>
          <w:iCs/>
          <w:color w:val="2C3040"/>
          <w:sz w:val="22"/>
          <w:szCs w:val="22"/>
        </w:rPr>
        <w:t xml:space="preserve">r</w:t>
      </w:r>
      <w:r>
        <w:rPr>
          <w:rFonts w:ascii="Georgia" w:cs="Georgia" w:eastAsia="Georgia" w:hAnsi="Georgia"/>
          <w:color w:val="2C3040"/>
          <w:sz w:val="22"/>
          <w:szCs w:val="22"/>
        </w:rPr>
        <w:t xml:space="preserve"> = 0.51) substantially outperform unstructured interviews (</w:t>
      </w:r>
      <w:r>
        <w:rPr>
          <w:rFonts w:ascii="Georgia" w:cs="Georgia" w:eastAsia="Georgia" w:hAnsi="Georgia"/>
          <w:i/>
          <w:iCs/>
          <w:color w:val="2C3040"/>
          <w:sz w:val="22"/>
          <w:szCs w:val="22"/>
        </w:rPr>
        <w:t xml:space="preserve">r</w:t>
      </w:r>
      <w:r>
        <w:rPr>
          <w:rFonts w:ascii="Georgia" w:cs="Georgia" w:eastAsia="Georgia" w:hAnsi="Georgia"/>
          <w:color w:val="2C3040"/>
          <w:sz w:val="22"/>
          <w:szCs w:val="22"/>
        </w:rPr>
        <w:t xml:space="preserve"> = 0.38) and, critically, years of experience (</w:t>
      </w:r>
      <w:r>
        <w:rPr>
          <w:rFonts w:ascii="Georgia" w:cs="Georgia" w:eastAsia="Georgia" w:hAnsi="Georgia"/>
          <w:i/>
          <w:iCs/>
          <w:color w:val="2C3040"/>
          <w:sz w:val="22"/>
          <w:szCs w:val="22"/>
        </w:rPr>
        <w:t xml:space="preserve">r</w:t>
      </w:r>
      <w:r>
        <w:rPr>
          <w:rFonts w:ascii="Georgia" w:cs="Georgia" w:eastAsia="Georgia" w:hAnsi="Georgia"/>
          <w:color w:val="2C3040"/>
          <w:sz w:val="22"/>
          <w:szCs w:val="22"/>
        </w:rPr>
        <w:t xml:space="preserve"> = 0.18) and education level (</w:t>
      </w:r>
      <w:r>
        <w:rPr>
          <w:rFonts w:ascii="Georgia" w:cs="Georgia" w:eastAsia="Georgia" w:hAnsi="Georgia"/>
          <w:i/>
          <w:iCs/>
          <w:color w:val="2C3040"/>
          <w:sz w:val="22"/>
          <w:szCs w:val="22"/>
        </w:rPr>
        <w:t xml:space="preserve">r</w:t>
      </w:r>
      <w:r>
        <w:rPr>
          <w:rFonts w:ascii="Georgia" w:cs="Georgia" w:eastAsia="Georgia" w:hAnsi="Georgia"/>
          <w:color w:val="2C3040"/>
          <w:sz w:val="22"/>
          <w:szCs w:val="22"/>
        </w:rPr>
        <w:t xml:space="preserve"> = 0.10). This finding directly motivates the DDM's core thesis: that </w:t>
      </w:r>
      <w:r>
        <w:rPr>
          <w:rFonts w:ascii="Georgia" w:cs="Georgia" w:eastAsia="Georgia" w:hAnsi="Georgia"/>
          <w:b/>
          <w:bCs/>
          <w:i/>
          <w:iCs/>
          <w:color w:val="2C3040"/>
          <w:sz w:val="22"/>
          <w:szCs w:val="22"/>
        </w:rPr>
        <w:t xml:space="preserve">demonstrated work output</w:t>
      </w:r>
      <w:r>
        <w:rPr>
          <w:rFonts w:ascii="Georgia" w:cs="Georgia" w:eastAsia="Georgia" w:hAnsi="Georgia"/>
          <w:color w:val="2C3040"/>
          <w:sz w:val="22"/>
          <w:szCs w:val="22"/>
        </w:rPr>
        <w:t xml:space="preserve"> is a more reliable predictor of future performance than any credential proxy.</w:t>
      </w:r>
    </w:p>
    <w:p>
      <w:pPr>
        <w:spacing w:after="140" w:before="80"/>
        <w:jc w:val="both"/>
      </w:pPr>
      <w:r>
        <w:rPr>
          <w:rFonts w:ascii="Georgia" w:cs="Georgia" w:eastAsia="Georgia" w:hAnsi="Georgia"/>
          <w:color w:val="2C3040"/>
          <w:sz w:val="22"/>
          <w:szCs w:val="22"/>
        </w:rPr>
        <w:t xml:space="preserve">However, Schmidt and Hunter pre-date the digital transformation of software engineering by nearly two decades. Their "work sample" is a contrived assessment scenario — a candidate completing a task under observation. The DDM identifies the gap they could not see from 1998: in modern software engineering, work samples are not contrived at all. They accumulate continuously, at scale, in public and private version control systems. The question is no longer </w:t>
      </w:r>
      <w:r>
        <w:rPr>
          <w:rFonts w:ascii="Georgia" w:cs="Georgia" w:eastAsia="Georgia" w:hAnsi="Georgia"/>
          <w:i/>
          <w:iCs/>
          <w:color w:val="2C3040"/>
          <w:sz w:val="22"/>
          <w:szCs w:val="22"/>
        </w:rPr>
        <w:t xml:space="preserve">whether</w:t>
      </w:r>
      <w:r>
        <w:rPr>
          <w:rFonts w:ascii="Georgia" w:cs="Georgia" w:eastAsia="Georgia" w:hAnsi="Georgia"/>
          <w:color w:val="2C3040"/>
          <w:sz w:val="22"/>
          <w:szCs w:val="22"/>
        </w:rPr>
        <w:t xml:space="preserve"> to use work samples, but </w:t>
      </w:r>
      <w:r>
        <w:rPr>
          <w:rFonts w:ascii="Georgia" w:cs="Georgia" w:eastAsia="Georgia" w:hAnsi="Georgia"/>
          <w:i/>
          <w:iCs/>
          <w:color w:val="2C3040"/>
          <w:sz w:val="22"/>
          <w:szCs w:val="22"/>
        </w:rPr>
        <w:t xml:space="preserve">how to model them at scale</w:t>
      </w:r>
      <w:r>
        <w:rPr>
          <w:rFonts w:ascii="Georgia" w:cs="Georgia" w:eastAsia="Georgia" w:hAnsi="Georgia"/>
          <w:color w:val="2C3040"/>
          <w:sz w:val="22"/>
          <w:szCs w:val="22"/>
        </w:rPr>
        <w:t xml:space="preserve">.</w:t>
      </w:r>
    </w:p>
    <w:p>
      <w:pPr>
        <w:spacing w:after="140" w:before="80"/>
        <w:jc w:val="both"/>
      </w:pPr>
      <w:r>
        <w:rPr>
          <w:rFonts w:ascii="Georgia" w:cs="Georgia" w:eastAsia="Georgia" w:hAnsi="Georgia"/>
          <w:b/>
          <w:bCs/>
          <w:color w:val="1B3A5C"/>
          <w:sz w:val="22"/>
          <w:szCs w:val="22"/>
        </w:rPr>
        <w:t xml:space="preserve">Sackett et al. (2022)</w:t>
      </w:r>
      <w:r>
        <w:rPr>
          <w:rFonts w:ascii="Georgia" w:cs="Georgia" w:eastAsia="Georgia" w:hAnsi="Georgia"/>
          <w:color w:val="2C3040"/>
          <w:sz w:val="22"/>
          <w:szCs w:val="22"/>
        </w:rPr>
        <w:t xml:space="preserve"> recently revisited and partially revised Schmidt and Hunter's estimates using updated methodology, finding somewhat lower validity coefficients when correcting for range restriction artefacts. Crucially, however, their reanalysis </w:t>
      </w:r>
      <w:r>
        <w:rPr>
          <w:rFonts w:ascii="Georgia" w:cs="Georgia" w:eastAsia="Georgia" w:hAnsi="Georgia"/>
          <w:b/>
          <w:bCs/>
          <w:color w:val="2C3040"/>
          <w:sz w:val="22"/>
          <w:szCs w:val="22"/>
        </w:rPr>
        <w:t xml:space="preserve">strengthens</w:t>
      </w:r>
      <w:r>
        <w:rPr>
          <w:rFonts w:ascii="Georgia" w:cs="Georgia" w:eastAsia="Georgia" w:hAnsi="Georgia"/>
          <w:color w:val="2C3040"/>
          <w:sz w:val="22"/>
          <w:szCs w:val="22"/>
        </w:rPr>
        <w:t xml:space="preserve"> the relative advantage of work sample-based assessment: the gap between "what someone did" and "what someone says they can do" widens under more rigorous estimation. This provides updated empirical grounding for the DDM's proof-of-work prioritisation.</w:t>
      </w:r>
    </w:p>
    <w:p>
      <w:pPr>
        <w:spacing w:after="140" w:before="80"/>
        <w:jc w:val="both"/>
      </w:pPr>
      <w:r>
        <w:rPr>
          <w:rFonts w:ascii="Georgia" w:cs="Georgia" w:eastAsia="Georgia" w:hAnsi="Georgia"/>
          <w:b/>
          <w:bCs/>
          <w:color w:val="1B3A5C"/>
          <w:sz w:val="22"/>
          <w:szCs w:val="22"/>
        </w:rPr>
        <w:t xml:space="preserve">Highhouse (2008)</w:t>
      </w:r>
      <w:r>
        <w:rPr>
          <w:rFonts w:ascii="Georgia" w:cs="Georgia" w:eastAsia="Georgia" w:hAnsi="Georgia"/>
          <w:color w:val="2C3040"/>
          <w:sz w:val="22"/>
          <w:szCs w:val="22"/>
        </w:rPr>
        <w:t xml:space="preserve"> offers an important caution: organisations maintain persistent clinical intuition about hiring despite statistical evidence favouring actuarial methods. This suggests that any automated evaluation framework must produce outputs that are not merely accurate but </w:t>
      </w:r>
      <w:r>
        <w:rPr>
          <w:rFonts w:ascii="Georgia" w:cs="Georgia" w:eastAsia="Georgia" w:hAnsi="Georgia"/>
          <w:i/>
          <w:iCs/>
          <w:color w:val="2C3040"/>
          <w:sz w:val="22"/>
          <w:szCs w:val="22"/>
        </w:rPr>
        <w:t xml:space="preserve">legible</w:t>
      </w:r>
      <w:r>
        <w:rPr>
          <w:rFonts w:ascii="Georgia" w:cs="Georgia" w:eastAsia="Georgia" w:hAnsi="Georgia"/>
          <w:color w:val="2C3040"/>
          <w:sz w:val="22"/>
          <w:szCs w:val="22"/>
        </w:rPr>
        <w:t xml:space="preserve"> to human decision-makers — directly informing the DDM's SHAP-based explainability layer and the decision to generate dimension-level score breakdowns rather than a single opaque composite.</w:t>
      </w:r>
    </w:p>
    <w:p>
      <w:pPr>
        <w:spacing w:after="140" w:before="80"/>
        <w:jc w:val="both"/>
      </w:pPr>
      <w:r>
        <w:rPr>
          <w:rFonts w:ascii="Georgia" w:cs="Georgia" w:eastAsia="Georgia" w:hAnsi="Georgia"/>
          <w:b/>
          <w:bCs/>
          <w:color w:val="1B3A5C"/>
          <w:sz w:val="22"/>
          <w:szCs w:val="22"/>
        </w:rPr>
        <w:t xml:space="preserve">Huffcutt &amp; Arthur (1994)</w:t>
      </w:r>
      <w:r>
        <w:rPr>
          <w:rFonts w:ascii="Georgia" w:cs="Georgia" w:eastAsia="Georgia" w:hAnsi="Georgia"/>
          <w:color w:val="2C3040"/>
          <w:sz w:val="22"/>
          <w:szCs w:val="22"/>
        </w:rPr>
        <w:t xml:space="preserve"> extended the validity literature specifically to structured versus unstructured interviews, demonstrating that structure is the primary source of predictive validity — not the interview modality itself. The implication for the DDM is direct: the </w:t>
      </w:r>
      <w:r>
        <w:rPr>
          <w:rFonts w:ascii="Georgia" w:cs="Georgia" w:eastAsia="Georgia" w:hAnsi="Georgia"/>
          <w:b/>
          <w:bCs/>
          <w:color w:val="2C3040"/>
          <w:sz w:val="22"/>
          <w:szCs w:val="22"/>
        </w:rPr>
        <w:t xml:space="preserve">structured, criterion-referenced nature</w:t>
      </w:r>
      <w:r>
        <w:rPr>
          <w:rFonts w:ascii="Georgia" w:cs="Georgia" w:eastAsia="Georgia" w:hAnsi="Georgia"/>
          <w:color w:val="2C3040"/>
          <w:sz w:val="22"/>
          <w:szCs w:val="22"/>
        </w:rPr>
        <w:t xml:space="preserve"> of behavioral feature extraction — commit quality scored against defined rubrics, review depth scored against observable markers — is what confers predictive power, not merely the availability of digital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3A5C" w:val="clear"/>
            <w:tcMar>
              <w:top w:type="dxa" w:w="120"/>
              <w:left w:type="dxa" w:w="0"/>
              <w:bottom w:type="dxa" w:w="120"/>
              <w:right w:type="dxa" w:w="0"/>
            </w:tcMar>
          </w:tcPr>
          <w:p/>
        </w:tc>
        <w:tc>
          <w:tcPr>
            <w:tcW w:type="dxa" w:w="9160"/>
            <w:tcBorders>
              <w:top w:val="none" w:color="FFFFFF" w:sz="0"/>
              <w:left w:val="none" w:color="FFFFFF" w:sz="0"/>
              <w:bottom w:val="none" w:color="FFFFFF" w:sz="0"/>
              <w:right w:val="none" w:color="FFFFFF" w:sz="0"/>
            </w:tcBorders>
            <w:shd w:fill="EAF3F8" w:val="clear"/>
            <w:tcMar>
              <w:top w:type="dxa" w:w="120"/>
              <w:left w:type="dxa" w:w="200"/>
              <w:bottom w:type="dxa" w:w="120"/>
              <w:right w:type="dxa" w:w="160"/>
            </w:tcMar>
          </w:tcPr>
          <w:p>
            <w:r>
              <w:rPr>
                <w:rFonts w:ascii="Georgia" w:cs="Georgia" w:eastAsia="Georgia" w:hAnsi="Georgia"/>
                <w:i/>
                <w:iCs/>
                <w:color w:val="1A2E44"/>
                <w:sz w:val="21"/>
                <w:szCs w:val="21"/>
              </w:rPr>
              <w:t xml:space="preserve">Schmidt &amp; Hunter (1998) establish that work samples outpredict interviews (r = 0.54 vs 0.38) and experience (r = 0.18). DDM operationalises this finding at scale by treating version-controlled repositories as the largest naturally-occurring work sample test in human history.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C3489" w:val="clear"/>
            <w:tcMar>
              <w:top w:type="dxa" w:w="160"/>
              <w:left w:type="dxa" w:w="240"/>
              <w:bottom w:type="dxa" w:w="160"/>
              <w:right w:type="dxa" w:w="240"/>
            </w:tcMar>
          </w:tcPr>
          <w:p>
            <w:r>
              <w:rPr>
                <w:rFonts w:ascii="Georgia" w:cs="Georgia" w:eastAsia="Georgia" w:hAnsi="Georgia"/>
                <w:b/>
                <w:bCs/>
                <w:color w:val="FFFFFF"/>
                <w:sz w:val="22"/>
                <w:szCs w:val="22"/>
              </w:rPr>
              <w:t xml:space="preserve">2.2  </w:t>
            </w:r>
            <w:r>
              <w:rPr>
                <w:rFonts w:ascii="Georgia" w:cs="Georgia" w:eastAsia="Georgia" w:hAnsi="Georgia"/>
                <w:b/>
                <w:bCs/>
                <w:color w:val="FFFFFF"/>
                <w:sz w:val="26"/>
                <w:szCs w:val="26"/>
              </w:rPr>
              <w:t xml:space="preserve">Code Representation Learning: From Syntax to Semantics</w:t>
            </w:r>
          </w:p>
        </w:tc>
      </w:tr>
    </w:tbl>
    <w:p>
      <w:pPr>
        <w:spacing w:after="80" w:before="0"/>
      </w:pPr>
    </w:p>
    <w:p>
      <w:pPr>
        <w:spacing w:after="140" w:before="80"/>
        <w:jc w:val="both"/>
      </w:pPr>
      <w:r>
        <w:rPr>
          <w:rFonts w:ascii="Georgia" w:cs="Georgia" w:eastAsia="Georgia" w:hAnsi="Georgia"/>
          <w:color w:val="2C3040"/>
          <w:sz w:val="22"/>
          <w:szCs w:val="22"/>
        </w:rPr>
        <w:t xml:space="preserve">The second research tradition the DDM builds on concerns the automated understanding of source code and software development artifacts. The dominant paradigm shift here mirrors that which occurred in natural language processing: the move from engineered feature representations to learned neural representations pre-trained on large corpora.</w:t>
      </w:r>
    </w:p>
    <w:p>
      <w:pPr>
        <w:spacing w:after="140" w:before="80"/>
        <w:jc w:val="both"/>
      </w:pPr>
      <w:r>
        <w:rPr>
          <w:rFonts w:ascii="Georgia" w:cs="Georgia" w:eastAsia="Georgia" w:hAnsi="Georgia"/>
          <w:b/>
          <w:bCs/>
          <w:color w:val="1B3A5C"/>
          <w:sz w:val="22"/>
          <w:szCs w:val="22"/>
        </w:rPr>
        <w:t xml:space="preserve">Vaswani et al. (2017)</w:t>
      </w:r>
      <w:r>
        <w:rPr>
          <w:rFonts w:ascii="Georgia" w:cs="Georgia" w:eastAsia="Georgia" w:hAnsi="Georgia"/>
          <w:color w:val="2C3040"/>
          <w:sz w:val="22"/>
          <w:szCs w:val="22"/>
        </w:rPr>
        <w:t xml:space="preserve"> established the Transformer architecture that underlies all contemporary large-scale sequence modeling. The self-attention mechanism is particularly relevant to the DDM: unlike recurrent architectures that process developer activity sequences under an implicit Markovian assumption, the Transformer attends to the </w:t>
      </w:r>
      <w:r>
        <w:rPr>
          <w:rFonts w:ascii="Georgia" w:cs="Georgia" w:eastAsia="Georgia" w:hAnsi="Georgia"/>
          <w:i/>
          <w:iCs/>
          <w:color w:val="2C3040"/>
          <w:sz w:val="22"/>
          <w:szCs w:val="22"/>
        </w:rPr>
        <w:t xml:space="preserve">entire</w:t>
      </w:r>
      <w:r>
        <w:rPr>
          <w:rFonts w:ascii="Georgia" w:cs="Georgia" w:eastAsia="Georgia" w:hAnsi="Georgia"/>
          <w:color w:val="2C3040"/>
          <w:sz w:val="22"/>
          <w:szCs w:val="22"/>
        </w:rPr>
        <w:t xml:space="preserve"> historical activity sequence simultaneously. A developer's architectural decision three years ago is as accessible to the model as last week's commit — a critical property for capturing long-horizon behavioral patterns.</w:t>
      </w:r>
    </w:p>
    <w:p>
      <w:pPr>
        <w:spacing w:after="140" w:before="80"/>
        <w:jc w:val="both"/>
      </w:pPr>
      <w:r>
        <w:rPr>
          <w:rFonts w:ascii="Georgia" w:cs="Georgia" w:eastAsia="Georgia" w:hAnsi="Georgia"/>
          <w:b/>
          <w:bCs/>
          <w:color w:val="1B3A5C"/>
          <w:sz w:val="22"/>
          <w:szCs w:val="22"/>
        </w:rPr>
        <w:t xml:space="preserve">Devlin et al. (2019)</w:t>
      </w:r>
      <w:r>
        <w:rPr>
          <w:rFonts w:ascii="Georgia" w:cs="Georgia" w:eastAsia="Georgia" w:hAnsi="Georgia"/>
          <w:color w:val="2C3040"/>
          <w:sz w:val="22"/>
          <w:szCs w:val="22"/>
        </w:rPr>
        <w:t xml:space="preserve"> demonstrated that masked language modeling pre-training on large text corpora produces representations that transfer effectively to downstream tasks with minimal fine-tuning. The DDM adapts this paradigm to developer activity sequences through a "masked event modeling" (MEM) objective: randomly masking commits in a developer's activity stream and requiring the model to predict the masked event's type, language, and temporal context.</w:t>
      </w:r>
    </w:p>
    <w:p>
      <w:pPr>
        <w:spacing w:after="140" w:before="80"/>
        <w:jc w:val="both"/>
      </w:pPr>
      <w:r>
        <w:rPr>
          <w:rFonts w:ascii="Georgia" w:cs="Georgia" w:eastAsia="Georgia" w:hAnsi="Georgia"/>
          <w:b/>
          <w:bCs/>
          <w:color w:val="1B3A5C"/>
          <w:sz w:val="22"/>
          <w:szCs w:val="22"/>
        </w:rPr>
        <w:t xml:space="preserve">Feng et al. (2020)</w:t>
      </w:r>
      <w:r>
        <w:rPr>
          <w:rFonts w:ascii="Georgia" w:cs="Georgia" w:eastAsia="Georgia" w:hAnsi="Georgia"/>
          <w:color w:val="2C3040"/>
          <w:sz w:val="22"/>
          <w:szCs w:val="22"/>
        </w:rPr>
        <w:t xml:space="preserve"> introduced CodeBERT, which bridges natural language and programming language understanding through a bimodal pre-training objective, enabling a single model to learn shared representations across both modalities. This is directly relevant to the DDM's fusion of commit messages (natural language) and code diffs (programming language). CodeBERT's pre-trained weights serve as the initialisation point for the DDM's code-text embedding component.</w:t>
      </w:r>
    </w:p>
    <w:p>
      <w:pPr>
        <w:spacing w:after="140" w:before="80"/>
        <w:jc w:val="both"/>
      </w:pPr>
      <w:r>
        <w:rPr>
          <w:rFonts w:ascii="Georgia" w:cs="Georgia" w:eastAsia="Georgia" w:hAnsi="Georgia"/>
          <w:color w:val="2C3040"/>
          <w:sz w:val="22"/>
          <w:szCs w:val="22"/>
        </w:rPr>
        <w:t xml:space="preserve">However, CodeBERT treats code as a </w:t>
      </w:r>
      <w:r>
        <w:rPr>
          <w:rFonts w:ascii="Georgia" w:cs="Georgia" w:eastAsia="Georgia" w:hAnsi="Georgia"/>
          <w:i/>
          <w:iCs/>
          <w:color w:val="2C3040"/>
          <w:sz w:val="22"/>
          <w:szCs w:val="22"/>
        </w:rPr>
        <w:t xml:space="preserve">token sequence</w:t>
      </w:r>
      <w:r>
        <w:rPr>
          <w:rFonts w:ascii="Georgia" w:cs="Georgia" w:eastAsia="Georgia" w:hAnsi="Georgia"/>
          <w:color w:val="2C3040"/>
          <w:sz w:val="22"/>
          <w:szCs w:val="22"/>
        </w:rPr>
        <w:t xml:space="preserve">, discarding structural information. </w:t>
      </w:r>
      <w:r>
        <w:rPr>
          <w:rFonts w:ascii="Georgia" w:cs="Georgia" w:eastAsia="Georgia" w:hAnsi="Georgia"/>
          <w:b/>
          <w:bCs/>
          <w:color w:val="1B3A5C"/>
          <w:sz w:val="22"/>
          <w:szCs w:val="22"/>
        </w:rPr>
        <w:t xml:space="preserve">Guo et al. (2021)</w:t>
      </w:r>
      <w:r>
        <w:rPr>
          <w:rFonts w:ascii="Georgia" w:cs="Georgia" w:eastAsia="Georgia" w:hAnsi="Georgia"/>
          <w:color w:val="2C3040"/>
          <w:sz w:val="22"/>
          <w:szCs w:val="22"/>
        </w:rPr>
        <w:t xml:space="preserve"> address this directly through GraphCodeBERT, which incorporates data flow graphs into the pre-training objective. This exposes a tension the DDM must resolve: CodeBERT's sequential representation is appropriate for commit message semantics, but GraphCodeBERT's structure-aware representation is superior for code quality assessment. The DDM resolves this by maintaining </w:t>
      </w:r>
      <w:r>
        <w:rPr>
          <w:rFonts w:ascii="Georgia" w:cs="Georgia" w:eastAsia="Georgia" w:hAnsi="Georgia"/>
          <w:b/>
          <w:bCs/>
          <w:color w:val="2C3040"/>
          <w:sz w:val="22"/>
          <w:szCs w:val="22"/>
        </w:rPr>
        <w:t xml:space="preserve">separate encoders for each modality</w:t>
      </w:r>
      <w:r>
        <w:rPr>
          <w:rFonts w:ascii="Georgia" w:cs="Georgia" w:eastAsia="Georgia" w:hAnsi="Georgia"/>
          <w:color w:val="2C3040"/>
          <w:sz w:val="22"/>
          <w:szCs w:val="22"/>
        </w:rPr>
        <w:t xml:space="preserve"> and learning a cross-attention gating mechanism to dynamically weight their contributions — a design choice that GraphCodeBERT's architecture does not itself provide.</w:t>
      </w:r>
    </w:p>
    <w:p>
      <w:pPr>
        <w:spacing w:after="140" w:before="80"/>
        <w:jc w:val="both"/>
      </w:pPr>
      <w:r>
        <w:rPr>
          <w:rFonts w:ascii="Georgia" w:cs="Georgia" w:eastAsia="Georgia" w:hAnsi="Georgia"/>
          <w:b/>
          <w:bCs/>
          <w:color w:val="1B3A5C"/>
          <w:sz w:val="22"/>
          <w:szCs w:val="22"/>
        </w:rPr>
        <w:t xml:space="preserve">Wang et al. (2021)</w:t>
      </w:r>
      <w:r>
        <w:rPr>
          <w:rFonts w:ascii="Georgia" w:cs="Georgia" w:eastAsia="Georgia" w:hAnsi="Georgia"/>
          <w:color w:val="2C3040"/>
          <w:sz w:val="22"/>
          <w:szCs w:val="22"/>
        </w:rPr>
        <w:t xml:space="preserve"> extend the paradigm further with CodeT5, whose identifier-aware pre-training explicitly marks code identifiers to distinguish them from natural language. While CodeT5's generation capabilities exceed the DDM's requirements, their tokenisation strategy informs the DDM's treatment of function names, variable names, and class hierarchies as semantically meaningful units rather than arbitrary token sequences.</w:t>
      </w:r>
    </w:p>
    <w:p>
      <w:pPr>
        <w:spacing w:after="140" w:before="80"/>
        <w:jc w:val="both"/>
      </w:pPr>
      <w:r>
        <w:rPr>
          <w:rFonts w:ascii="Georgia" w:cs="Georgia" w:eastAsia="Georgia" w:hAnsi="Georgia"/>
          <w:color w:val="2C3040"/>
          <w:sz w:val="22"/>
          <w:szCs w:val="22"/>
        </w:rPr>
        <w:t xml:space="preserve">The collective limitation of all these code representation models is their focus on </w:t>
      </w:r>
      <w:r>
        <w:rPr>
          <w:rFonts w:ascii="Georgia" w:cs="Georgia" w:eastAsia="Georgia" w:hAnsi="Georgia"/>
          <w:b/>
          <w:bCs/>
          <w:color w:val="2C3040"/>
          <w:sz w:val="22"/>
          <w:szCs w:val="22"/>
        </w:rPr>
        <w:t xml:space="preserve">individual code artifacts</w:t>
      </w:r>
      <w:r>
        <w:rPr>
          <w:rFonts w:ascii="Georgia" w:cs="Georgia" w:eastAsia="Georgia" w:hAnsi="Georgia"/>
          <w:color w:val="2C3040"/>
          <w:sz w:val="22"/>
          <w:szCs w:val="22"/>
        </w:rPr>
        <w:t xml:space="preserve">: a single file, function, or commit. None of them model the developer across time, across repositories, or across the social ecosystem of collaborative software development. This gap is the DDM's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C3489" w:val="clear"/>
            <w:tcMar>
              <w:top w:type="dxa" w:w="120"/>
              <w:left w:type="dxa" w:w="0"/>
              <w:bottom w:type="dxa" w:w="120"/>
              <w:right w:type="dxa" w:w="0"/>
            </w:tcMar>
          </w:tcPr>
          <w:p/>
        </w:tc>
        <w:tc>
          <w:tcPr>
            <w:tcW w:type="dxa" w:w="9160"/>
            <w:tcBorders>
              <w:top w:val="none" w:color="FFFFFF" w:sz="0"/>
              <w:left w:val="none" w:color="FFFFFF" w:sz="0"/>
              <w:bottom w:val="none" w:color="FFFFFF" w:sz="0"/>
              <w:right w:val="none" w:color="FFFFFF" w:sz="0"/>
            </w:tcBorders>
            <w:shd w:fill="F0EDF8" w:val="clear"/>
            <w:tcMar>
              <w:top w:type="dxa" w:w="120"/>
              <w:left w:type="dxa" w:w="200"/>
              <w:bottom w:type="dxa" w:w="120"/>
              <w:right w:type="dxa" w:w="160"/>
            </w:tcMar>
          </w:tcPr>
          <w:p>
            <w:r>
              <w:rPr>
                <w:rFonts w:ascii="Georgia" w:cs="Georgia" w:eastAsia="Georgia" w:hAnsi="Georgia"/>
                <w:i/>
                <w:iCs/>
                <w:color w:val="1A2E44"/>
                <w:sz w:val="21"/>
                <w:szCs w:val="21"/>
              </w:rPr>
              <w:t xml:space="preserve">CodeBERT captures what is in the code. GraphCodeBERT captures how the code flows. Neither captures who wrote it, what they built before, or how they behave across a three-year collaborative history. The DDM captures all three.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r>
              <w:rPr>
                <w:rFonts w:ascii="Georgia" w:cs="Georgia" w:eastAsia="Georgia" w:hAnsi="Georgia"/>
                <w:b/>
                <w:bCs/>
                <w:color w:val="FFFFFF"/>
                <w:sz w:val="22"/>
                <w:szCs w:val="22"/>
              </w:rPr>
              <w:t xml:space="preserve">2.3  </w:t>
            </w:r>
            <w:r>
              <w:rPr>
                <w:rFonts w:ascii="Georgia" w:cs="Georgia" w:eastAsia="Georgia" w:hAnsi="Georgia"/>
                <w:b/>
                <w:bCs/>
                <w:color w:val="FFFFFF"/>
                <w:sz w:val="26"/>
                <w:szCs w:val="26"/>
              </w:rPr>
              <w:t xml:space="preserve">Graph Neural Networks for Software Ecosystem Modeling</w:t>
            </w:r>
          </w:p>
        </w:tc>
      </w:tr>
    </w:tbl>
    <w:p>
      <w:pPr>
        <w:spacing w:after="80" w:before="0"/>
      </w:pPr>
    </w:p>
    <w:p>
      <w:pPr>
        <w:spacing w:after="140" w:before="80"/>
        <w:jc w:val="both"/>
      </w:pPr>
      <w:r>
        <w:rPr>
          <w:rFonts w:ascii="Georgia" w:cs="Georgia" w:eastAsia="Georgia" w:hAnsi="Georgia"/>
          <w:color w:val="2C3040"/>
          <w:sz w:val="22"/>
          <w:szCs w:val="22"/>
        </w:rPr>
        <w:t xml:space="preserve">Software development is an inherently relational activity: developers collaborate on repositories, review each other's code, depend on each other's packages, and collectively form ecosystems with measurable structural properties. Graph Neural Networks offer the natural framework for modeling these relational structures, yet their application to developer behavioral modeling remains nascent.</w:t>
      </w:r>
    </w:p>
    <w:p>
      <w:pPr>
        <w:spacing w:after="140" w:before="80"/>
        <w:jc w:val="both"/>
      </w:pPr>
      <w:r>
        <w:rPr>
          <w:rFonts w:ascii="Georgia" w:cs="Georgia" w:eastAsia="Georgia" w:hAnsi="Georgia"/>
          <w:b/>
          <w:bCs/>
          <w:color w:val="1B3A5C"/>
          <w:sz w:val="22"/>
          <w:szCs w:val="22"/>
        </w:rPr>
        <w:t xml:space="preserve">Hamilton et al. (2017)</w:t>
      </w:r>
      <w:r>
        <w:rPr>
          <w:rFonts w:ascii="Georgia" w:cs="Georgia" w:eastAsia="Georgia" w:hAnsi="Georgia"/>
          <w:color w:val="2C3040"/>
          <w:sz w:val="22"/>
          <w:szCs w:val="22"/>
        </w:rPr>
        <w:t xml:space="preserve"> introduced GraphSAGE, which enables inductive node embedding — learning embeddings for unseen nodes by aggregating neighborhood features. This is the critical property for the DDM's deployment scenario: new developers can be embedded without retraining, as their local neighborhood (repositories contributed to, collaborators reviewed by) provides sufficient context. The alternative transductive methods, such as DeepWalk </w:t>
      </w:r>
      <w:r>
        <w:rPr>
          <w:rFonts w:ascii="Georgia" w:cs="Georgia" w:eastAsia="Georgia" w:hAnsi="Georgia"/>
          <w:b/>
          <w:bCs/>
          <w:color w:val="1B3A5C"/>
          <w:sz w:val="22"/>
          <w:szCs w:val="22"/>
        </w:rPr>
        <w:t xml:space="preserve">(Perozzi et al., 2014)</w:t>
      </w:r>
      <w:r>
        <w:rPr>
          <w:rFonts w:ascii="Georgia" w:cs="Georgia" w:eastAsia="Georgia" w:hAnsi="Georgia"/>
          <w:color w:val="2C3040"/>
          <w:sz w:val="22"/>
          <w:szCs w:val="22"/>
        </w:rPr>
        <w:t xml:space="preserve">, would require full graph retraining for every new developer profile — computationally prohibitive at scale.</w:t>
      </w:r>
    </w:p>
    <w:p>
      <w:pPr>
        <w:spacing w:after="140" w:before="80"/>
        <w:jc w:val="both"/>
      </w:pPr>
      <w:r>
        <w:rPr>
          <w:rFonts w:ascii="Georgia" w:cs="Georgia" w:eastAsia="Georgia" w:hAnsi="Georgia"/>
          <w:b/>
          <w:bCs/>
          <w:color w:val="1B3A5C"/>
          <w:sz w:val="22"/>
          <w:szCs w:val="22"/>
        </w:rPr>
        <w:t xml:space="preserve">Veličković et al. (2018)</w:t>
      </w:r>
      <w:r>
        <w:rPr>
          <w:rFonts w:ascii="Georgia" w:cs="Georgia" w:eastAsia="Georgia" w:hAnsi="Georgia"/>
          <w:color w:val="2C3040"/>
          <w:sz w:val="22"/>
          <w:szCs w:val="22"/>
        </w:rPr>
        <w:t xml:space="preserve"> introduced the Graph Attention Network (GAT), which learns differential weights for different neighbors rather than treating all edges equally. For the DDM's developer-project graph, this distinction is material: a contribution to a repository with 10,000 active users should carry more signal weight than an equivalent contribution to a personal weekend project. GAT's attention mechanism learns these weights from data rather than requiring manual importance specification.</w:t>
      </w:r>
    </w:p>
    <w:p>
      <w:pPr>
        <w:spacing w:after="140" w:before="80"/>
        <w:jc w:val="both"/>
      </w:pPr>
      <w:r>
        <w:rPr>
          <w:rFonts w:ascii="Georgia" w:cs="Georgia" w:eastAsia="Georgia" w:hAnsi="Georgia"/>
          <w:b/>
          <w:bCs/>
          <w:color w:val="1B3A5C"/>
          <w:sz w:val="22"/>
          <w:szCs w:val="22"/>
        </w:rPr>
        <w:t xml:space="preserve">You et al. (2020)</w:t>
      </w:r>
      <w:r>
        <w:rPr>
          <w:rFonts w:ascii="Georgia" w:cs="Georgia" w:eastAsia="Georgia" w:hAnsi="Georgia"/>
          <w:color w:val="2C3040"/>
          <w:sz w:val="22"/>
          <w:szCs w:val="22"/>
        </w:rPr>
        <w:t xml:space="preserve"> developed GraphCL, a contrastive self-supervised learning framework for graph-structured data. The DDM adopts GraphCL's augmentation strategy for GNN pre-training: a developer's subgraph is augmented by (a) dropping low-weight edges, (b) masking node features, and (c) sampling subgraphs, and the model is trained to produce similar representations for augmented views of the same developer while pushing apart representations of different developers. This enables representation learning </w:t>
      </w:r>
      <w:r>
        <w:rPr>
          <w:rFonts w:ascii="Georgia" w:cs="Georgia" w:eastAsia="Georgia" w:hAnsi="Georgia"/>
          <w:b/>
          <w:bCs/>
          <w:color w:val="2C3040"/>
          <w:sz w:val="22"/>
          <w:szCs w:val="22"/>
        </w:rPr>
        <w:t xml:space="preserve">without performance labels</w:t>
      </w:r>
      <w:r>
        <w:rPr>
          <w:rFonts w:ascii="Georgia" w:cs="Georgia" w:eastAsia="Georgia" w:hAnsi="Georgia"/>
          <w:color w:val="2C3040"/>
          <w:sz w:val="22"/>
          <w:szCs w:val="22"/>
        </w:rPr>
        <w:t xml:space="preserve"> — essential for the large-scale pre-training phase where ground-truth labels are unavailable.</w:t>
      </w:r>
    </w:p>
    <w:p>
      <w:pPr>
        <w:spacing w:after="140" w:before="80"/>
        <w:jc w:val="both"/>
      </w:pPr>
      <w:r>
        <w:rPr>
          <w:rFonts w:ascii="Georgia" w:cs="Georgia" w:eastAsia="Georgia" w:hAnsi="Georgia"/>
          <w:b/>
          <w:bCs/>
          <w:color w:val="1B3A5C"/>
          <w:sz w:val="22"/>
          <w:szCs w:val="22"/>
        </w:rPr>
        <w:t xml:space="preserve">Kikas et al. (2016)</w:t>
      </w:r>
      <w:r>
        <w:rPr>
          <w:rFonts w:ascii="Georgia" w:cs="Georgia" w:eastAsia="Georgia" w:hAnsi="Georgia"/>
          <w:color w:val="2C3040"/>
          <w:sz w:val="22"/>
          <w:szCs w:val="22"/>
        </w:rPr>
        <w:t xml:space="preserve"> applied network analysis to GitHub contributor graphs, confirming that structural properties (degree, betweenness centrality, clustering coefficient) predict project success metrics. Their work confirms that graph topology is </w:t>
      </w:r>
      <w:r>
        <w:rPr>
          <w:rFonts w:ascii="Georgia" w:cs="Georgia" w:eastAsia="Georgia" w:hAnsi="Georgia"/>
          <w:b/>
          <w:bCs/>
          <w:color w:val="2C3040"/>
          <w:sz w:val="22"/>
          <w:szCs w:val="22"/>
        </w:rPr>
        <w:t xml:space="preserve">predictive, not merely descriptive</w:t>
      </w:r>
      <w:r>
        <w:rPr>
          <w:rFonts w:ascii="Georgia" w:cs="Georgia" w:eastAsia="Georgia" w:hAnsi="Georgia"/>
          <w:color w:val="2C3040"/>
          <w:sz w:val="22"/>
          <w:szCs w:val="22"/>
        </w:rPr>
        <w:t xml:space="preserve">. However, their approach uses classical network statistics as features fed to shallow classifiers, missing the rich neighbourhood-level representations that GNNs can learn. The DDM directly extends their insight through a learnable graph encoder.</w:t>
      </w:r>
    </w:p>
    <w:p>
      <w:pPr>
        <w:spacing w:after="140" w:before="80"/>
        <w:jc w:val="both"/>
      </w:pPr>
      <w:r>
        <w:rPr>
          <w:rFonts w:ascii="Georgia" w:cs="Georgia" w:eastAsia="Georgia" w:hAnsi="Georgia"/>
          <w:color w:val="2C3040"/>
          <w:sz w:val="22"/>
          <w:szCs w:val="22"/>
        </w:rPr>
        <w:t xml:space="preserve">The critical gap in existing GNN-based software analysis is that no study has constructed a </w:t>
      </w:r>
      <w:r>
        <w:rPr>
          <w:rFonts w:ascii="Georgia" w:cs="Georgia" w:eastAsia="Georgia" w:hAnsi="Georgia"/>
          <w:b/>
          <w:bCs/>
          <w:color w:val="2C3040"/>
          <w:sz w:val="22"/>
          <w:szCs w:val="22"/>
        </w:rPr>
        <w:t xml:space="preserve">heterogeneous</w:t>
      </w:r>
      <w:r>
        <w:rPr>
          <w:rFonts w:ascii="Georgia" w:cs="Georgia" w:eastAsia="Georgia" w:hAnsi="Georgia"/>
          <w:color w:val="2C3040"/>
          <w:sz w:val="22"/>
          <w:szCs w:val="22"/>
        </w:rPr>
        <w:t xml:space="preserve"> developer graph that simultaneously encodes developer-to-repository, developer-to-developer (via code review), repository-to-repository (via dependency), and developer-to-topic relationships. The DDM constructs precisely this heterogeneous graph, enabling a richer relational embedding than any homogeneous graph approach can achieve.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F6E56" w:val="clear"/>
            <w:tcMar>
              <w:top w:type="dxa" w:w="120"/>
              <w:left w:type="dxa" w:w="0"/>
              <w:bottom w:type="dxa" w:w="120"/>
              <w:right w:type="dxa" w:w="0"/>
            </w:tcMar>
          </w:tcPr>
          <w:p/>
        </w:tc>
        <w:tc>
          <w:tcPr>
            <w:tcW w:type="dxa" w:w="9160"/>
            <w:tcBorders>
              <w:top w:val="none" w:color="FFFFFF" w:sz="0"/>
              <w:left w:val="none" w:color="FFFFFF" w:sz="0"/>
              <w:bottom w:val="none" w:color="FFFFFF" w:sz="0"/>
              <w:right w:val="none" w:color="FFFFFF" w:sz="0"/>
            </w:tcBorders>
            <w:shd w:fill="E8F4EF" w:val="clear"/>
            <w:tcMar>
              <w:top w:type="dxa" w:w="120"/>
              <w:left w:type="dxa" w:w="200"/>
              <w:bottom w:type="dxa" w:w="120"/>
              <w:right w:type="dxa" w:w="160"/>
            </w:tcMar>
          </w:tcPr>
          <w:p>
            <w:r>
              <w:rPr>
                <w:rFonts w:ascii="Georgia" w:cs="Georgia" w:eastAsia="Georgia" w:hAnsi="Georgia"/>
                <w:i/>
                <w:iCs/>
                <w:color w:val="1A2E44"/>
                <w:sz w:val="21"/>
                <w:szCs w:val="21"/>
              </w:rPr>
              <w:t xml:space="preserve">Kikas et al. (2016) show that graph topology predicts project success using hand-crafted centrality metrics. The DDM replaces hand-crafted metrics with learned graph representations — and operates on the developer graph rather than the project graph.</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3C1D" w:val="clear"/>
            <w:tcMar>
              <w:top w:type="dxa" w:w="160"/>
              <w:left w:type="dxa" w:w="240"/>
              <w:bottom w:type="dxa" w:w="160"/>
              <w:right w:type="dxa" w:w="240"/>
            </w:tcMar>
          </w:tcPr>
          <w:p>
            <w:r>
              <w:rPr>
                <w:rFonts w:ascii="Georgia" w:cs="Georgia" w:eastAsia="Georgia" w:hAnsi="Georgia"/>
                <w:b/>
                <w:bCs/>
                <w:color w:val="FFFFFF"/>
                <w:sz w:val="22"/>
                <w:szCs w:val="22"/>
              </w:rPr>
              <w:t xml:space="preserve">2.4  </w:t>
            </w:r>
            <w:r>
              <w:rPr>
                <w:rFonts w:ascii="Georgia" w:cs="Georgia" w:eastAsia="Georgia" w:hAnsi="Georgia"/>
                <w:b/>
                <w:bCs/>
                <w:color w:val="FFFFFF"/>
                <w:sz w:val="26"/>
                <w:szCs w:val="26"/>
              </w:rPr>
              <w:t xml:space="preserve">Algorithmic Fairness in Automated Hiring Systems</w:t>
            </w:r>
          </w:p>
        </w:tc>
      </w:tr>
    </w:tbl>
    <w:p>
      <w:pPr>
        <w:spacing w:after="80" w:before="0"/>
      </w:pPr>
    </w:p>
    <w:p>
      <w:pPr>
        <w:spacing w:after="140" w:before="80"/>
        <w:jc w:val="both"/>
      </w:pPr>
      <w:r>
        <w:rPr>
          <w:rFonts w:ascii="Georgia" w:cs="Georgia" w:eastAsia="Georgia" w:hAnsi="Georgia"/>
          <w:color w:val="2C3040"/>
          <w:sz w:val="22"/>
          <w:szCs w:val="22"/>
        </w:rPr>
        <w:t xml:space="preserve">The deployment of machine learning in high-stakes decision contexts such as hiring has attracted sustained and rigorous scrutiny from the algorithmic fairness community. The DDM cannot responsibly ignore this literature — and, more importantly, its design choices are directly shaped by it.</w:t>
      </w:r>
    </w:p>
    <w:p>
      <w:pPr>
        <w:spacing w:after="140" w:before="80"/>
        <w:jc w:val="both"/>
      </w:pPr>
      <w:r>
        <w:rPr>
          <w:rFonts w:ascii="Georgia" w:cs="Georgia" w:eastAsia="Georgia" w:hAnsi="Georgia"/>
          <w:b/>
          <w:bCs/>
          <w:color w:val="1B3A5C"/>
          <w:sz w:val="22"/>
          <w:szCs w:val="22"/>
        </w:rPr>
        <w:t xml:space="preserve">Barocas &amp; Selbst (2016)</w:t>
      </w:r>
      <w:r>
        <w:rPr>
          <w:rFonts w:ascii="Georgia" w:cs="Georgia" w:eastAsia="Georgia" w:hAnsi="Georgia"/>
          <w:color w:val="2C3040"/>
          <w:sz w:val="22"/>
          <w:szCs w:val="22"/>
        </w:rPr>
        <w:t xml:space="preserve"> provide the foundational diagnosis: machine learning systems trained on historical data inherit and can amplify historical discrimination. In the hiring context, training on historical hiring decisions risks encoding human biases into model weights. The DDM explicitly avoids this failure mode by training on </w:t>
      </w:r>
      <w:r>
        <w:rPr>
          <w:rFonts w:ascii="Georgia" w:cs="Georgia" w:eastAsia="Georgia" w:hAnsi="Georgia"/>
          <w:b/>
          <w:bCs/>
          <w:color w:val="2C3040"/>
          <w:sz w:val="22"/>
          <w:szCs w:val="22"/>
        </w:rPr>
        <w:t xml:space="preserve">behavioral outcomes</w:t>
      </w:r>
      <w:r>
        <w:rPr>
          <w:rFonts w:ascii="Georgia" w:cs="Georgia" w:eastAsia="Georgia" w:hAnsi="Georgia"/>
          <w:color w:val="2C3040"/>
          <w:sz w:val="22"/>
          <w:szCs w:val="22"/>
        </w:rPr>
        <w:t xml:space="preserve"> — code quality, contribution impact — rather than on historical hiring decisions, grounding labels in engineering artifact quality rather than in potentially discriminatory human judgments.</w:t>
      </w:r>
    </w:p>
    <w:p>
      <w:pPr>
        <w:spacing w:after="140" w:before="80"/>
        <w:jc w:val="both"/>
      </w:pPr>
      <w:r>
        <w:rPr>
          <w:rFonts w:ascii="Georgia" w:cs="Georgia" w:eastAsia="Georgia" w:hAnsi="Georgia"/>
          <w:b/>
          <w:bCs/>
          <w:color w:val="1B3A5C"/>
          <w:sz w:val="22"/>
          <w:szCs w:val="22"/>
        </w:rPr>
        <w:t xml:space="preserve">Raghavan et al. (2020)</w:t>
      </w:r>
      <w:r>
        <w:rPr>
          <w:rFonts w:ascii="Georgia" w:cs="Georgia" w:eastAsia="Georgia" w:hAnsi="Georgia"/>
          <w:color w:val="2C3040"/>
          <w:sz w:val="22"/>
          <w:szCs w:val="22"/>
        </w:rPr>
        <w:t xml:space="preserve"> audited commercially deployed algorithmic hiring tools, finding that many vendors provided inadequate transparency about their systems' fairness properties. Their findings directly motivate the DDM's commitments to open model cards, public bias audit reports, and the adoption of standardised fairness metrics (equalized odds, demographic parity, calibration by cohort).</w:t>
      </w:r>
    </w:p>
    <w:p>
      <w:pPr>
        <w:spacing w:after="140" w:before="80"/>
        <w:jc w:val="both"/>
      </w:pPr>
      <w:r>
        <w:rPr>
          <w:rFonts w:ascii="Georgia" w:cs="Georgia" w:eastAsia="Georgia" w:hAnsi="Georgia"/>
          <w:b/>
          <w:bCs/>
          <w:color w:val="1B3A5C"/>
          <w:sz w:val="22"/>
          <w:szCs w:val="22"/>
        </w:rPr>
        <w:t xml:space="preserve">Hardt et al. (2016)</w:t>
      </w:r>
      <w:r>
        <w:rPr>
          <w:rFonts w:ascii="Georgia" w:cs="Georgia" w:eastAsia="Georgia" w:hAnsi="Georgia"/>
          <w:color w:val="2C3040"/>
          <w:sz w:val="22"/>
          <w:szCs w:val="22"/>
        </w:rPr>
        <w:t xml:space="preserve"> introduce the equality of opportunity framework, requiring equal true positive rates across demographic groups. Applied to the DDM: the probability of a genuinely high-performing developer receiving a high DDS score must be equal across groups defined by gender, national origin, educational background, or native language. The DDM implements this via post-processing calibration that adjusts score thresholds per cohort after the main model is trained.</w:t>
      </w:r>
    </w:p>
    <w:p>
      <w:pPr>
        <w:spacing w:after="140" w:before="80"/>
        <w:jc w:val="both"/>
      </w:pPr>
      <w:r>
        <w:rPr>
          <w:rFonts w:ascii="Georgia" w:cs="Georgia" w:eastAsia="Georgia" w:hAnsi="Georgia"/>
          <w:b/>
          <w:bCs/>
          <w:color w:val="1B3A5C"/>
          <w:sz w:val="22"/>
          <w:szCs w:val="22"/>
        </w:rPr>
        <w:t xml:space="preserve">Zhang et al. (2018)</w:t>
      </w:r>
      <w:r>
        <w:rPr>
          <w:rFonts w:ascii="Georgia" w:cs="Georgia" w:eastAsia="Georgia" w:hAnsi="Georgia"/>
          <w:color w:val="2C3040"/>
          <w:sz w:val="22"/>
          <w:szCs w:val="22"/>
        </w:rPr>
        <w:t xml:space="preserve"> propose adversarial debiasing as an in-training bias mitigation technique: a discriminator network is jointly trained to predict sensitive attributes from model representations, and its gradient is reversed to penalise the main model for encoding group membership information. The DDM adopts this approach for the embedding pre-training stage, ensuring that behavioral representations are statistically independent of proxied demographic attributes.</w:t>
      </w:r>
    </w:p>
    <w:p>
      <w:pPr>
        <w:spacing w:after="140" w:before="80"/>
        <w:jc w:val="both"/>
      </w:pPr>
      <w:r>
        <w:rPr>
          <w:rFonts w:ascii="Georgia" w:cs="Georgia" w:eastAsia="Georgia" w:hAnsi="Georgia"/>
          <w:color w:val="2C3040"/>
          <w:sz w:val="22"/>
          <w:szCs w:val="22"/>
        </w:rPr>
        <w:t xml:space="preserve">The most acute fairness challenge specific to the DDM is </w:t>
      </w:r>
      <w:r>
        <w:rPr>
          <w:rFonts w:ascii="Georgia" w:cs="Georgia" w:eastAsia="Georgia" w:hAnsi="Georgia"/>
          <w:b/>
          <w:bCs/>
          <w:color w:val="993C1D"/>
          <w:sz w:val="22"/>
          <w:szCs w:val="22"/>
        </w:rPr>
        <w:t xml:space="preserve">contribution access disparity</w:t>
      </w:r>
      <w:r>
        <w:rPr>
          <w:rFonts w:ascii="Georgia" w:cs="Georgia" w:eastAsia="Georgia" w:hAnsi="Georgia"/>
          <w:color w:val="2C3040"/>
          <w:sz w:val="22"/>
          <w:szCs w:val="22"/>
        </w:rPr>
        <w:t xml:space="preserve">: developers working in high-secrecy commercial environments, in regions with limited open-source infrastructure, or on non-public platforms will have sparser public activity records than peers with equivalent competence. No existing fairness framework directly addresses this form of data coverage inequality. </w:t>
      </w:r>
      <w:r>
        <w:rPr>
          <w:rFonts w:ascii="Georgia" w:cs="Georgia" w:eastAsia="Georgia" w:hAnsi="Georgia"/>
          <w:b/>
          <w:bCs/>
          <w:color w:val="1B3A5C"/>
          <w:sz w:val="22"/>
          <w:szCs w:val="22"/>
        </w:rPr>
        <w:t xml:space="preserve">Obermeyer et al. (2019)</w:t>
      </w:r>
      <w:r>
        <w:rPr>
          <w:rFonts w:ascii="Georgia" w:cs="Georgia" w:eastAsia="Georgia" w:hAnsi="Georgia"/>
          <w:color w:val="2C3040"/>
          <w:sz w:val="22"/>
          <w:szCs w:val="22"/>
        </w:rPr>
        <w:t xml:space="preserve"> provide the methodological template — their analysis of racial bias in a healthcare algorithm arising from proxy variable selection informs the DDM's commitment to modelling missingness explicitly as a feature rather than treating it as an absence of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93C1D" w:val="clear"/>
            <w:tcMar>
              <w:top w:type="dxa" w:w="120"/>
              <w:left w:type="dxa" w:w="0"/>
              <w:bottom w:type="dxa" w:w="120"/>
              <w:right w:type="dxa" w:w="0"/>
            </w:tcMar>
          </w:tcPr>
          <w:p/>
        </w:tc>
        <w:tc>
          <w:tcPr>
            <w:tcW w:type="dxa" w:w="9160"/>
            <w:tcBorders>
              <w:top w:val="none" w:color="FFFFFF" w:sz="0"/>
              <w:left w:val="none" w:color="FFFFFF" w:sz="0"/>
              <w:bottom w:val="none" w:color="FFFFFF" w:sz="0"/>
              <w:right w:val="none" w:color="FFFFFF" w:sz="0"/>
            </w:tcBorders>
            <w:shd w:fill="FDF3EE" w:val="clear"/>
            <w:tcMar>
              <w:top w:type="dxa" w:w="120"/>
              <w:left w:type="dxa" w:w="200"/>
              <w:bottom w:type="dxa" w:w="120"/>
              <w:right w:type="dxa" w:w="160"/>
            </w:tcMar>
          </w:tcPr>
          <w:p>
            <w:r>
              <w:rPr>
                <w:rFonts w:ascii="Georgia" w:cs="Georgia" w:eastAsia="Georgia" w:hAnsi="Georgia"/>
                <w:i/>
                <w:iCs/>
                <w:color w:val="1A2E44"/>
                <w:sz w:val="21"/>
                <w:szCs w:val="21"/>
              </w:rPr>
              <w:t xml:space="preserve">Raghavan et al. (2020) found that most algorithmic hiring tools fail basic fairness audits because transparency is treated as optional. In the DDM, fairness constraints are first-class engineering requirements embedded at pre-training, fine-tuning, and post-processing stages.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4" w:val="clear"/>
            <w:tcMar>
              <w:top w:type="dxa" w:w="160"/>
              <w:left w:type="dxa" w:w="240"/>
              <w:bottom w:type="dxa" w:w="160"/>
              <w:right w:type="dxa" w:w="240"/>
            </w:tcMar>
          </w:tcPr>
          <w:p>
            <w:r>
              <w:rPr>
                <w:rFonts w:ascii="Georgia" w:cs="Georgia" w:eastAsia="Georgia" w:hAnsi="Georgia"/>
                <w:b/>
                <w:bCs/>
                <w:color w:val="FFFFFF"/>
                <w:sz w:val="22"/>
                <w:szCs w:val="22"/>
              </w:rPr>
              <w:t xml:space="preserve">2.5  </w:t>
            </w:r>
            <w:r>
              <w:rPr>
                <w:rFonts w:ascii="Georgia" w:cs="Georgia" w:eastAsia="Georgia" w:hAnsi="Georgia"/>
                <w:b/>
                <w:bCs/>
                <w:color w:val="FFFFFF"/>
                <w:sz w:val="26"/>
                <w:szCs w:val="26"/>
              </w:rPr>
              <w:t xml:space="preserve">Synthesis: The Gap the DDM Fills</w:t>
            </w:r>
          </w:p>
        </w:tc>
      </w:tr>
    </w:tbl>
    <w:p>
      <w:pPr>
        <w:spacing w:after="80" w:before="0"/>
      </w:pPr>
    </w:p>
    <w:p>
      <w:pPr>
        <w:spacing w:after="140" w:before="80"/>
        <w:jc w:val="both"/>
      </w:pPr>
      <w:r>
        <w:rPr>
          <w:rFonts w:ascii="Georgia" w:cs="Georgia" w:eastAsia="Georgia" w:hAnsi="Georgia"/>
          <w:color w:val="2C3040"/>
          <w:sz w:val="22"/>
          <w:szCs w:val="22"/>
        </w:rPr>
        <w:t xml:space="preserve">The four research streams reviewed above each reach a distinct ceiling when considered independently. Personnel selection research has established </w:t>
      </w:r>
      <w:r>
        <w:rPr>
          <w:rFonts w:ascii="Georgia" w:cs="Georgia" w:eastAsia="Georgia" w:hAnsi="Georgia"/>
          <w:i/>
          <w:iCs/>
          <w:color w:val="2C3040"/>
          <w:sz w:val="22"/>
          <w:szCs w:val="22"/>
        </w:rPr>
        <w:t xml:space="preserve">that</w:t>
      </w:r>
      <w:r>
        <w:rPr>
          <w:rFonts w:ascii="Georgia" w:cs="Georgia" w:eastAsia="Georgia" w:hAnsi="Georgia"/>
          <w:color w:val="2C3040"/>
          <w:sz w:val="22"/>
          <w:szCs w:val="22"/>
        </w:rPr>
        <w:t xml:space="preserve"> work samples outpredict résumés but lacks computational methods to extract work samples at scale. Code representation learning has developed powerful models for individual artifacts but does not model developers longitudinally or relationally. Graph neural network research has demonstrated the value of relational structure in software ecosystems but has not constructed the heterogeneous multi-relational graphs that behavioral modeling requires. And algorithmic fairness research has catalogued hiring bias and proposed mitigation techniques without a concrete application domain that makes those techniques practically necessary at every layer of the design.</w:t>
      </w:r>
    </w:p>
    <w:p>
      <w:pPr>
        <w:pBdr>
          <w:top w:val="single" w:color="1B3A5C" w:sz="4" w:space="6"/>
          <w:bottom w:val="single" w:color="1B3A5C" w:sz="4" w:space="6"/>
        </w:pBdr>
        <w:spacing w:after="200" w:before="200"/>
        <w:jc w:val="center"/>
      </w:pPr>
      <w:r>
        <w:rPr>
          <w:rFonts w:ascii="Georgia" w:cs="Georgia" w:eastAsia="Georgia" w:hAnsi="Georgia"/>
          <w:color w:val="1A2E44"/>
          <w:sz w:val="23"/>
          <w:szCs w:val="23"/>
        </w:rPr>
        <w:t xml:space="preserve">No existing system combines </w:t>
      </w:r>
      <w:r>
        <w:rPr>
          <w:rFonts w:ascii="Georgia" w:cs="Georgia" w:eastAsia="Georgia" w:hAnsi="Georgia"/>
          <w:b/>
          <w:bCs/>
          <w:color w:val="1B3A5C"/>
          <w:sz w:val="23"/>
          <w:szCs w:val="23"/>
        </w:rPr>
        <w:t xml:space="preserve">proof-of-work behavioral signals</w:t>
      </w:r>
      <w:r>
        <w:rPr>
          <w:rFonts w:ascii="Georgia" w:cs="Georgia" w:eastAsia="Georgia" w:hAnsi="Georgia"/>
          <w:color w:val="1A2E44"/>
          <w:sz w:val="23"/>
          <w:szCs w:val="23"/>
        </w:rPr>
        <w:t xml:space="preserve">, longitudinal multi-modal deep learning over code and activity sequences, </w:t>
      </w:r>
      <w:r>
        <w:rPr>
          <w:rFonts w:ascii="Georgia" w:cs="Georgia" w:eastAsia="Georgia" w:hAnsi="Georgia"/>
          <w:b/>
          <w:bCs/>
          <w:color w:val="3C3489"/>
          <w:sz w:val="23"/>
          <w:szCs w:val="23"/>
        </w:rPr>
        <w:t xml:space="preserve">heterogeneous graph neural network modeling</w:t>
      </w:r>
      <w:r>
        <w:rPr>
          <w:rFonts w:ascii="Georgia" w:cs="Georgia" w:eastAsia="Georgia" w:hAnsi="Georgia"/>
          <w:color w:val="1A2E44"/>
          <w:sz w:val="23"/>
          <w:szCs w:val="23"/>
        </w:rPr>
        <w:t xml:space="preserve"> of developer-project ecosystems, and </w:t>
      </w:r>
      <w:r>
        <w:rPr>
          <w:rFonts w:ascii="Georgia" w:cs="Georgia" w:eastAsia="Georgia" w:hAnsi="Georgia"/>
          <w:b/>
          <w:bCs/>
          <w:color w:val="0F6E56"/>
          <w:sz w:val="23"/>
          <w:szCs w:val="23"/>
        </w:rPr>
        <w:t xml:space="preserve">explicit per-layer fairness constraints</w:t>
      </w:r>
      <w:r>
        <w:rPr>
          <w:rFonts w:ascii="Georgia" w:cs="Georgia" w:eastAsia="Georgia" w:hAnsi="Georgia"/>
          <w:color w:val="1A2E44"/>
          <w:sz w:val="23"/>
          <w:szCs w:val="23"/>
        </w:rPr>
        <w:t xml:space="preserve"> into a unified evaluation framework. </w:t>
      </w:r>
      <w:r>
        <w:rPr>
          <w:rFonts w:ascii="Georgia" w:cs="Georgia" w:eastAsia="Georgia" w:hAnsi="Georgia"/>
          <w:b/>
          <w:bCs/>
          <w:color w:val="993C1D"/>
          <w:sz w:val="23"/>
          <w:szCs w:val="23"/>
        </w:rPr>
        <w:t xml:space="preserve">The Developer DNA Matrix is the first to do so.</w:t>
      </w:r>
    </w:p>
    <w:p>
      <w:pPr>
        <w:spacing w:after="80" w:before="0"/>
      </w:pPr>
    </w:p>
    <w:p>
      <w:pPr>
        <w:spacing w:after="60" w:before="200"/>
      </w:pPr>
      <w:r>
        <w:rPr>
          <w:rFonts w:ascii="Georgia" w:cs="Georgia" w:eastAsia="Georgia" w:hAnsi="Georgia"/>
          <w:b/>
          <w:bCs/>
          <w:color w:val="5A6A7A"/>
          <w:sz w:val="22"/>
          <w:szCs w:val="22"/>
        </w:rPr>
        <w:t xml:space="preserve">References Summary</w:t>
      </w:r>
    </w:p>
    <w:p>
      <w:pPr>
        <w:spacing w:after="140" w:before="0"/>
      </w:pPr>
      <w:r>
        <w:rPr>
          <w:rFonts w:ascii="Georgia" w:cs="Georgia" w:eastAsia="Georgia" w:hAnsi="Georgia"/>
          <w:i/>
          <w:iCs/>
          <w:color w:val="5A6A7A"/>
          <w:sz w:val="20"/>
          <w:szCs w:val="20"/>
        </w:rPr>
        <w:t xml:space="preserve">20 primary references spanning 1994–2022. Coverage: I/O psychology (5 papers), code representation learning (5 papers), graph neural networks (5 papers), algorithmic fairness (5 papers). All citations directly inform specific design decisions in the DDM architecture.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tabs>
        <w:tab w:val="right" w:pos="9026"/>
      </w:tabs>
    </w:pPr>
    <w:r>
      <w:rPr>
        <w:rFonts w:ascii="Georgia" w:cs="Georgia" w:eastAsia="Georgia" w:hAnsi="Georgia"/>
        <w:color w:val="5A6A7A"/>
        <w:sz w:val="16"/>
        <w:szCs w:val="16"/>
      </w:rPr>
      <w:t xml:space="preserve">20 references · 4 research traditions · 1 synthesis gap</w:t>
    </w:r>
    <w:r>
      <w:rPr>
        <w:rFonts w:ascii="Georgia" w:cs="Georgia" w:eastAsia="Georgia" w:hAnsi="Georgia"/>
        <w:color w:val="5A6A7A"/>
        <w:sz w:val="16"/>
        <w:szCs w:val="16"/>
      </w:rPr>
      <w:t xml:space="preserve">	Page </w:t>
    </w:r>
    <w:r>
      <w:rPr>
        <w:rFonts w:ascii="Georgia" w:cs="Georgia" w:eastAsia="Georgia" w:hAnsi="Georgia"/>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Georgia" w:cs="Georgia" w:eastAsia="Georgia" w:hAnsi="Georgia"/>
        <w:color w:val="5A6A7A"/>
        <w:sz w:val="18"/>
        <w:szCs w:val="18"/>
      </w:rPr>
      <w:t xml:space="preserve">Developer DNA Matrix —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1A2E44"/>
      <w:sz w:val="36"/>
      <w:szCs w:val="36"/>
    </w:rPr>
  </w:style>
  <w:style w:type="paragraph" w:styleId="Heading2">
    <w:name w:val="Heading 2"/>
    <w:basedOn w:val="Normal"/>
    <w:next w:val="Normal"/>
    <w:qFormat/>
    <w:pPr>
      <w:spacing w:after="140" w:before="360"/>
      <w:outlineLvl w:val="1"/>
    </w:pPr>
    <w:rPr>
      <w:rFonts w:ascii="Georgia" w:cs="Georgia" w:eastAsia="Georgia" w:hAnsi="Georgia"/>
      <w:b/>
      <w:bCs/>
      <w:color w:val="1B3A5C"/>
      <w:sz w:val="26"/>
      <w:szCs w:val="26"/>
    </w:rPr>
  </w:style>
  <w:style w:type="paragraph" w:styleId="Heading3">
    <w:name w:val="Heading 3"/>
    <w:basedOn w:val="Normal"/>
    <w:next w:val="Normal"/>
    <w:qFormat/>
    <w:pPr>
      <w:spacing w:after="100" w:before="240"/>
      <w:outlineLvl w:val="2"/>
    </w:pPr>
    <w:rPr>
      <w:rFonts w:ascii="Georgia" w:cs="Georgia" w:eastAsia="Georgia" w:hAnsi="Georgia"/>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2026-03-22T06:57:11.585Z</dcterms:created>
  <dcterms:modified xsi:type="dcterms:W3CDTF">2026-03-22T06:57:11.587Z</dcterms:modified>
</cp:coreProperties>
</file>

<file path=docProps/custom.xml><?xml version="1.0" encoding="utf-8"?>
<Properties xmlns="http://schemas.openxmlformats.org/officeDocument/2006/custom-properties" xmlns:vt="http://schemas.openxmlformats.org/officeDocument/2006/docPropsVTypes"/>
</file>