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D8EB8" w14:textId="77777777" w:rsidR="00AE7983" w:rsidRPr="00997780" w:rsidRDefault="00000000" w:rsidP="00997780">
      <w:pPr>
        <w:spacing w:after="65"/>
        <w:ind w:left="-5"/>
        <w:jc w:val="center"/>
        <w:rPr>
          <w:sz w:val="14"/>
          <w:szCs w:val="18"/>
        </w:rPr>
      </w:pPr>
      <w:r w:rsidRPr="00997780">
        <w:rPr>
          <w:b/>
          <w:sz w:val="28"/>
          <w:szCs w:val="18"/>
        </w:rPr>
        <w:t>SYNTHÈSE DU RAPPORT DE CONSOMMATION</w:t>
      </w:r>
    </w:p>
    <w:p w14:paraId="0778E2FE" w14:textId="35E7E211" w:rsidR="00AE7983" w:rsidRPr="00997780" w:rsidRDefault="00000000" w:rsidP="00997780">
      <w:pPr>
        <w:spacing w:after="204"/>
        <w:ind w:left="-5"/>
        <w:jc w:val="center"/>
        <w:rPr>
          <w:sz w:val="14"/>
          <w:szCs w:val="18"/>
        </w:rPr>
      </w:pPr>
      <w:r w:rsidRPr="00997780">
        <w:rPr>
          <w:b/>
          <w:sz w:val="28"/>
          <w:szCs w:val="18"/>
        </w:rPr>
        <w:t>ÉLECTRIQUE</w:t>
      </w:r>
      <w:r w:rsidR="00997780">
        <w:rPr>
          <w:b/>
          <w:sz w:val="28"/>
          <w:szCs w:val="18"/>
        </w:rPr>
        <w:t xml:space="preserve"> agence BEACH</w:t>
      </w:r>
    </w:p>
    <w:p w14:paraId="400AE387" w14:textId="77777777" w:rsidR="00AE7983" w:rsidRDefault="00000000">
      <w:pPr>
        <w:pStyle w:val="Titre2"/>
        <w:ind w:left="-5"/>
      </w:pPr>
      <w:r>
        <w:t>1. Contexte</w:t>
      </w:r>
    </w:p>
    <w:p w14:paraId="7CC77B3F" w14:textId="1BD876BA" w:rsidR="00AE7983" w:rsidRDefault="00000000">
      <w:pPr>
        <w:spacing w:after="69"/>
        <w:ind w:left="-5"/>
      </w:pPr>
      <w:r>
        <w:t>Au cours du dernier mois, une augmentation anormale de la consommation électrique a été constatée au sein de l’agence B</w:t>
      </w:r>
      <w:r w:rsidR="00997780">
        <w:t>e</w:t>
      </w:r>
      <w:r>
        <w:t>ach. Après analyse technique des équipements et du fonctionnement des climatiseurs, il ressort que cette hausse est principalement liée à l’ajout et à la remise en service de plusieurs appareils de climatisation.</w:t>
      </w:r>
    </w:p>
    <w:p w14:paraId="0BD00B7D" w14:textId="738AA8B4" w:rsidR="00AE7983" w:rsidRDefault="00AE7983">
      <w:pPr>
        <w:spacing w:after="319"/>
        <w:ind w:left="0" w:right="-46" w:firstLine="0"/>
      </w:pPr>
    </w:p>
    <w:p w14:paraId="47556798" w14:textId="77777777" w:rsidR="00AE7983" w:rsidRPr="00997780" w:rsidRDefault="00000000">
      <w:pPr>
        <w:pStyle w:val="Titre1"/>
        <w:ind w:left="-5"/>
        <w:rPr>
          <w:sz w:val="24"/>
          <w:szCs w:val="20"/>
        </w:rPr>
      </w:pPr>
      <w:r w:rsidRPr="00997780">
        <w:rPr>
          <w:sz w:val="24"/>
          <w:szCs w:val="20"/>
        </w:rPr>
        <w:t>2. Constat effectué</w:t>
      </w:r>
    </w:p>
    <w:p w14:paraId="3273FA00" w14:textId="77777777" w:rsidR="00AE7983" w:rsidRDefault="00000000">
      <w:pPr>
        <w:spacing w:after="333"/>
        <w:ind w:left="-5"/>
      </w:pPr>
      <w:r>
        <w:t>L’investigation menée a permis de constater les points suivants :</w:t>
      </w:r>
    </w:p>
    <w:p w14:paraId="264AAC4A" w14:textId="77777777" w:rsidR="00AE7983" w:rsidRDefault="00000000">
      <w:pPr>
        <w:numPr>
          <w:ilvl w:val="0"/>
          <w:numId w:val="1"/>
        </w:numPr>
        <w:ind w:hanging="114"/>
      </w:pPr>
      <w:r>
        <w:t>Plusieurs climatiseurs installés n’étaient pas raccordés au compteur principal de suivi énergétique.</w:t>
      </w:r>
    </w:p>
    <w:p w14:paraId="19C06801" w14:textId="77777777" w:rsidR="00AE7983" w:rsidRDefault="00000000">
      <w:pPr>
        <w:numPr>
          <w:ilvl w:val="0"/>
          <w:numId w:val="1"/>
        </w:numPr>
        <w:ind w:hanging="114"/>
      </w:pPr>
      <w:r>
        <w:t>Des cartes électroniques ont été ajoutées et certains appareils ont été remis en fonctionnement.</w:t>
      </w:r>
    </w:p>
    <w:p w14:paraId="0562AF08" w14:textId="77777777" w:rsidR="00AE7983" w:rsidRDefault="00000000">
      <w:pPr>
        <w:numPr>
          <w:ilvl w:val="0"/>
          <w:numId w:val="1"/>
        </w:numPr>
        <w:ind w:hanging="114"/>
      </w:pPr>
      <w:r>
        <w:t>Deux climatiseurs hors service ont été dépannés puis remis en marche.</w:t>
      </w:r>
    </w:p>
    <w:p w14:paraId="35E17004" w14:textId="77777777" w:rsidR="00AE7983" w:rsidRDefault="00000000">
      <w:pPr>
        <w:numPr>
          <w:ilvl w:val="0"/>
          <w:numId w:val="1"/>
        </w:numPr>
        <w:ind w:hanging="114"/>
      </w:pPr>
      <w:r>
        <w:t>Chaque climatiseur possède une puissance moyenne estimée à environ 14 kW.</w:t>
      </w:r>
    </w:p>
    <w:p w14:paraId="24932671" w14:textId="77777777" w:rsidR="00AE7983" w:rsidRDefault="00000000">
      <w:pPr>
        <w:numPr>
          <w:ilvl w:val="0"/>
          <w:numId w:val="1"/>
        </w:numPr>
        <w:spacing w:after="69"/>
        <w:ind w:hanging="114"/>
      </w:pPr>
      <w:r>
        <w:t>Les appareils fonctionnent plusieurs heures par jour, entraînant une augmentation significative de la charge électrique de l’agence.</w:t>
      </w:r>
    </w:p>
    <w:p w14:paraId="3C36807D" w14:textId="2976E8F1" w:rsidR="00AE7983" w:rsidRDefault="00AE7983">
      <w:pPr>
        <w:spacing w:after="319"/>
        <w:ind w:left="0" w:right="-46" w:firstLine="0"/>
      </w:pPr>
    </w:p>
    <w:p w14:paraId="11EC012C" w14:textId="77777777" w:rsidR="00AE7983" w:rsidRPr="00997780" w:rsidRDefault="00000000">
      <w:pPr>
        <w:pStyle w:val="Titre1"/>
        <w:ind w:left="-5"/>
        <w:rPr>
          <w:sz w:val="24"/>
          <w:szCs w:val="20"/>
        </w:rPr>
      </w:pPr>
      <w:r w:rsidRPr="00997780">
        <w:rPr>
          <w:sz w:val="24"/>
          <w:szCs w:val="20"/>
        </w:rPr>
        <w:t>3. Analyse technique de l’augmentation de consommation</w:t>
      </w:r>
    </w:p>
    <w:p w14:paraId="25F5AC95" w14:textId="77777777" w:rsidR="00AE7983" w:rsidRDefault="00000000">
      <w:pPr>
        <w:spacing w:after="333"/>
        <w:ind w:left="-5"/>
      </w:pPr>
      <w:r>
        <w:t>L’augmentation de la facture électrique est directement liée à :</w:t>
      </w:r>
    </w:p>
    <w:p w14:paraId="5CEAA16D" w14:textId="77777777" w:rsidR="00AE7983" w:rsidRDefault="00000000">
      <w:pPr>
        <w:numPr>
          <w:ilvl w:val="0"/>
          <w:numId w:val="2"/>
        </w:numPr>
        <w:ind w:hanging="198"/>
      </w:pPr>
      <w:r>
        <w:t>L’ajout de nouveaux équipements de climatisation.</w:t>
      </w:r>
    </w:p>
    <w:p w14:paraId="303FAF83" w14:textId="77777777" w:rsidR="00AE7983" w:rsidRDefault="00000000">
      <w:pPr>
        <w:numPr>
          <w:ilvl w:val="0"/>
          <w:numId w:val="2"/>
        </w:numPr>
        <w:ind w:hanging="198"/>
      </w:pPr>
      <w:r>
        <w:t>La remise en service de climatiseurs précédemment arrêtés.</w:t>
      </w:r>
    </w:p>
    <w:p w14:paraId="163CF10F" w14:textId="77777777" w:rsidR="00AE7983" w:rsidRDefault="00000000">
      <w:pPr>
        <w:numPr>
          <w:ilvl w:val="0"/>
          <w:numId w:val="2"/>
        </w:numPr>
        <w:ind w:hanging="198"/>
      </w:pPr>
      <w:r>
        <w:t>L’utilisation prolongée des appareils durant les heures de travail.</w:t>
      </w:r>
    </w:p>
    <w:p w14:paraId="3AF89654" w14:textId="77777777" w:rsidR="00AE7983" w:rsidRDefault="00000000">
      <w:pPr>
        <w:numPr>
          <w:ilvl w:val="0"/>
          <w:numId w:val="2"/>
        </w:numPr>
        <w:spacing w:after="213"/>
        <w:ind w:hanging="198"/>
      </w:pPr>
      <w:r>
        <w:t>Le réglage des températures à des niveaux plus bas, augmentant l’effort des compresseurs.</w:t>
      </w:r>
    </w:p>
    <w:p w14:paraId="6DABF219" w14:textId="77777777" w:rsidR="00AE7983" w:rsidRDefault="00000000">
      <w:pPr>
        <w:spacing w:after="69"/>
        <w:ind w:left="-5"/>
      </w:pPr>
      <w:r>
        <w:t>Les climatiseurs étant des équipements à forte consommation énergétique, toute augmentation du nombre d’appareils en fonctionnement entraîne automatiquement une hausse importante de la consommation électrique globale.</w:t>
      </w:r>
    </w:p>
    <w:p w14:paraId="7873A443" w14:textId="2E80C4A4" w:rsidR="00AE7983" w:rsidRDefault="00AE7983">
      <w:pPr>
        <w:spacing w:after="319"/>
        <w:ind w:left="0" w:right="-46" w:firstLine="0"/>
      </w:pPr>
    </w:p>
    <w:p w14:paraId="07718FDC" w14:textId="77777777" w:rsidR="00AE7983" w:rsidRPr="00997780" w:rsidRDefault="00000000">
      <w:pPr>
        <w:pStyle w:val="Titre1"/>
        <w:spacing w:after="206"/>
        <w:ind w:left="-5"/>
        <w:rPr>
          <w:sz w:val="24"/>
          <w:szCs w:val="20"/>
        </w:rPr>
      </w:pPr>
      <w:r w:rsidRPr="00997780">
        <w:rPr>
          <w:sz w:val="24"/>
          <w:szCs w:val="20"/>
        </w:rPr>
        <w:t>4. Estimation financière du surplus énergétique</w:t>
      </w:r>
    </w:p>
    <w:p w14:paraId="2AA8A598" w14:textId="77777777" w:rsidR="00AE7983" w:rsidRDefault="00000000">
      <w:pPr>
        <w:pStyle w:val="Titre2"/>
        <w:ind w:left="-5"/>
      </w:pPr>
      <w:r>
        <w:t>Hypothèses de calcul</w:t>
      </w:r>
    </w:p>
    <w:p w14:paraId="22E57450" w14:textId="77777777" w:rsidR="00AE7983" w:rsidRDefault="00000000">
      <w:pPr>
        <w:numPr>
          <w:ilvl w:val="0"/>
          <w:numId w:val="3"/>
        </w:numPr>
        <w:ind w:hanging="114"/>
      </w:pPr>
      <w:r>
        <w:t>Nombre de climatiseurs remis en service : 2</w:t>
      </w:r>
    </w:p>
    <w:p w14:paraId="57ABEE76" w14:textId="77777777" w:rsidR="00AE7983" w:rsidRDefault="00000000">
      <w:pPr>
        <w:numPr>
          <w:ilvl w:val="0"/>
          <w:numId w:val="3"/>
        </w:numPr>
        <w:ind w:hanging="114"/>
      </w:pPr>
      <w:r>
        <w:t>Puissance moyenne par climatiseur : 14 kW</w:t>
      </w:r>
    </w:p>
    <w:p w14:paraId="79E8170E" w14:textId="77777777" w:rsidR="00AE7983" w:rsidRDefault="00000000">
      <w:pPr>
        <w:numPr>
          <w:ilvl w:val="0"/>
          <w:numId w:val="3"/>
        </w:numPr>
        <w:ind w:hanging="114"/>
      </w:pPr>
      <w:r>
        <w:t>Temps moyen de fonctionnement : 190 heures par mois</w:t>
      </w:r>
    </w:p>
    <w:p w14:paraId="57C96D65" w14:textId="77777777" w:rsidR="00AE7983" w:rsidRDefault="00000000">
      <w:pPr>
        <w:numPr>
          <w:ilvl w:val="0"/>
          <w:numId w:val="3"/>
        </w:numPr>
        <w:ind w:hanging="114"/>
      </w:pPr>
      <w:r>
        <w:t>Nombre de jours de fonctionnement : 30 jours</w:t>
      </w:r>
    </w:p>
    <w:p w14:paraId="65769887" w14:textId="77777777" w:rsidR="00AE7983" w:rsidRDefault="00000000">
      <w:pPr>
        <w:numPr>
          <w:ilvl w:val="0"/>
          <w:numId w:val="3"/>
        </w:numPr>
        <w:spacing w:after="278"/>
        <w:ind w:hanging="114"/>
      </w:pPr>
      <w:r>
        <w:t>Tarif moyen de l’énergie : 120 FCFA/kWh</w:t>
      </w:r>
    </w:p>
    <w:p w14:paraId="11C64EE8" w14:textId="77777777" w:rsidR="00AE7983" w:rsidRDefault="00000000">
      <w:pPr>
        <w:pStyle w:val="Titre2"/>
        <w:ind w:left="-5"/>
      </w:pPr>
      <w:r>
        <w:t>Calcul de la consommation supplémentaire</w:t>
      </w:r>
    </w:p>
    <w:p w14:paraId="7FCDE847" w14:textId="77777777" w:rsidR="00AE7983" w:rsidRDefault="00000000">
      <w:pPr>
        <w:spacing w:after="333"/>
        <w:ind w:left="-5"/>
      </w:pPr>
      <w:r>
        <w:t>Consommation d’un climatiseur :</w:t>
      </w:r>
    </w:p>
    <w:p w14:paraId="1954EF5F" w14:textId="77777777" w:rsidR="00AE7983" w:rsidRDefault="00000000">
      <w:pPr>
        <w:spacing w:after="333"/>
        <w:ind w:left="-5"/>
      </w:pPr>
      <w:r>
        <w:t>14 kW × 190 h = 2 660 kWh/mois</w:t>
      </w:r>
    </w:p>
    <w:p w14:paraId="6A6FC17D" w14:textId="77777777" w:rsidR="00AE7983" w:rsidRDefault="00000000">
      <w:pPr>
        <w:spacing w:after="333"/>
        <w:ind w:left="-5"/>
      </w:pPr>
      <w:r>
        <w:lastRenderedPageBreak/>
        <w:t>Pour 2 climatiseurs :</w:t>
      </w:r>
    </w:p>
    <w:p w14:paraId="5C5EB82B" w14:textId="77777777" w:rsidR="00AE7983" w:rsidRDefault="00000000">
      <w:pPr>
        <w:spacing w:after="333"/>
        <w:ind w:left="-5"/>
      </w:pPr>
      <w:r>
        <w:t>2 660 × 2 = 5 320 kWh/mois</w:t>
      </w:r>
    </w:p>
    <w:p w14:paraId="38CC28B5" w14:textId="77777777" w:rsidR="00AE7983" w:rsidRDefault="00000000">
      <w:pPr>
        <w:spacing w:after="333"/>
        <w:ind w:left="-5"/>
      </w:pPr>
      <w:r>
        <w:t>Consommation mensuelle supplémentaire :</w:t>
      </w:r>
    </w:p>
    <w:p w14:paraId="0B426E7D" w14:textId="77777777" w:rsidR="00AE7983" w:rsidRDefault="00000000">
      <w:pPr>
        <w:spacing w:after="368"/>
        <w:ind w:left="-5"/>
      </w:pPr>
      <w:r>
        <w:t>5 320 kWh/mois</w:t>
      </w:r>
    </w:p>
    <w:p w14:paraId="0E9576DF" w14:textId="77777777" w:rsidR="00AE7983" w:rsidRDefault="00000000">
      <w:pPr>
        <w:spacing w:after="214"/>
        <w:ind w:left="-5"/>
      </w:pPr>
      <w:r>
        <w:rPr>
          <w:b/>
          <w:sz w:val="21"/>
        </w:rPr>
        <w:t>Coût financier estimatif</w:t>
      </w:r>
    </w:p>
    <w:p w14:paraId="16FE0B1A" w14:textId="77777777" w:rsidR="00AE7983" w:rsidRDefault="00000000">
      <w:pPr>
        <w:spacing w:after="368"/>
        <w:ind w:left="-5"/>
      </w:pPr>
      <w:r>
        <w:t>5 320 kWh × 120 FCFA = 638 400 FCFA</w:t>
      </w:r>
    </w:p>
    <w:p w14:paraId="2AFC9FDD" w14:textId="77777777" w:rsidR="00AE7983" w:rsidRDefault="00000000">
      <w:pPr>
        <w:pStyle w:val="Titre2"/>
        <w:ind w:left="-5"/>
      </w:pPr>
      <w:r>
        <w:t>Conclusion financière</w:t>
      </w:r>
    </w:p>
    <w:p w14:paraId="388DBCB3" w14:textId="77777777" w:rsidR="00AE7983" w:rsidRDefault="00000000">
      <w:pPr>
        <w:spacing w:after="532"/>
        <w:ind w:left="-5"/>
      </w:pPr>
      <w:r>
        <w:t>Le surplus observé sur la facture électrique est donc justifié par l’ajout et la remise en service des climatiseurs. L’augmentation estimée de la charge énergétique représente environ :</w:t>
      </w:r>
    </w:p>
    <w:p w14:paraId="308CE995" w14:textId="77777777" w:rsidR="00AE7983" w:rsidRPr="00997780" w:rsidRDefault="00000000">
      <w:pPr>
        <w:spacing w:after="102"/>
        <w:ind w:left="-5"/>
        <w:rPr>
          <w:sz w:val="12"/>
          <w:szCs w:val="16"/>
        </w:rPr>
      </w:pPr>
      <w:r w:rsidRPr="00997780">
        <w:rPr>
          <w:b/>
          <w:sz w:val="24"/>
          <w:szCs w:val="16"/>
        </w:rPr>
        <w:t>638 400 FCFA supplémentaires par mois</w:t>
      </w:r>
    </w:p>
    <w:p w14:paraId="2BC5777C" w14:textId="5A4F7B29" w:rsidR="00AE7983" w:rsidRDefault="00000000" w:rsidP="00997780">
      <w:pPr>
        <w:spacing w:after="69"/>
        <w:ind w:left="-5"/>
      </w:pPr>
      <w:r>
        <w:t>Cette hausse correspond directement à l’énergie consommée par les nouveaux appareils installés et remis en fonctionnement.</w:t>
      </w:r>
    </w:p>
    <w:p w14:paraId="51859E92" w14:textId="77777777" w:rsidR="00AE7983" w:rsidRDefault="00000000">
      <w:pPr>
        <w:pStyle w:val="Titre1"/>
        <w:ind w:left="-5"/>
      </w:pPr>
      <w:r>
        <w:t>5. Recommandations</w:t>
      </w:r>
    </w:p>
    <w:p w14:paraId="0E212EAB" w14:textId="77777777" w:rsidR="00AE7983" w:rsidRDefault="00000000">
      <w:pPr>
        <w:spacing w:after="333"/>
        <w:ind w:left="-5"/>
      </w:pPr>
      <w:r>
        <w:t>Afin de réduire les coûts énergétiques, il est recommandé de :</w:t>
      </w:r>
    </w:p>
    <w:p w14:paraId="2A08119E" w14:textId="77777777" w:rsidR="00AE7983" w:rsidRDefault="00000000">
      <w:pPr>
        <w:numPr>
          <w:ilvl w:val="0"/>
          <w:numId w:val="4"/>
        </w:numPr>
        <w:ind w:hanging="114"/>
      </w:pPr>
      <w:r>
        <w:t>Régler les climatiseurs entre 27 °C et 28 °C.</w:t>
      </w:r>
    </w:p>
    <w:p w14:paraId="1298966B" w14:textId="77777777" w:rsidR="00AE7983" w:rsidRDefault="00000000">
      <w:pPr>
        <w:numPr>
          <w:ilvl w:val="0"/>
          <w:numId w:val="4"/>
        </w:numPr>
        <w:ind w:hanging="114"/>
      </w:pPr>
      <w:r>
        <w:t>Éteindre les appareils inutilisés.</w:t>
      </w:r>
    </w:p>
    <w:p w14:paraId="02CF4D4F" w14:textId="77777777" w:rsidR="00AE7983" w:rsidRDefault="00000000">
      <w:pPr>
        <w:numPr>
          <w:ilvl w:val="0"/>
          <w:numId w:val="4"/>
        </w:numPr>
        <w:ind w:hanging="114"/>
      </w:pPr>
      <w:r>
        <w:t>Effectuer une maintenance régulière des climatiseurs.</w:t>
      </w:r>
    </w:p>
    <w:p w14:paraId="65D57948" w14:textId="77777777" w:rsidR="00AE7983" w:rsidRDefault="00000000">
      <w:pPr>
        <w:numPr>
          <w:ilvl w:val="0"/>
          <w:numId w:val="4"/>
        </w:numPr>
        <w:ind w:hanging="114"/>
      </w:pPr>
      <w:r>
        <w:t>Installer un système de suivi énergétique pour contrôler les consommations.</w:t>
      </w:r>
    </w:p>
    <w:p w14:paraId="4F9541A4" w14:textId="3C9C2745" w:rsidR="00AE7983" w:rsidRDefault="00000000" w:rsidP="00997780">
      <w:pPr>
        <w:numPr>
          <w:ilvl w:val="0"/>
          <w:numId w:val="4"/>
        </w:numPr>
        <w:spacing w:after="75"/>
        <w:ind w:hanging="114"/>
      </w:pPr>
      <w:r>
        <w:t>Sensibiliser le personnel à une utilisation rationnelle de l’énergie.</w:t>
      </w:r>
    </w:p>
    <w:p w14:paraId="2C041103" w14:textId="77777777" w:rsidR="00AE7983" w:rsidRDefault="00000000">
      <w:pPr>
        <w:pStyle w:val="Titre1"/>
        <w:ind w:left="-5"/>
      </w:pPr>
      <w:r>
        <w:t>6. Conclusion générale</w:t>
      </w:r>
    </w:p>
    <w:p w14:paraId="330D712A" w14:textId="77777777" w:rsidR="00AE7983" w:rsidRDefault="00000000">
      <w:pPr>
        <w:ind w:left="-5"/>
      </w:pPr>
      <w:r>
        <w:t>Après analyse, il est clairement établi que le surplus constaté sur la facture électrique de l’agence Bach provient principalement de l’ajout, de la remise en service et de l’utilisation intensive des climatiseurs.</w:t>
      </w:r>
    </w:p>
    <w:p w14:paraId="25BB2044" w14:textId="77777777" w:rsidR="00AE7983" w:rsidRDefault="00000000">
      <w:pPr>
        <w:spacing w:after="327"/>
        <w:ind w:left="-5"/>
      </w:pPr>
      <w:r>
        <w:t>Les estimations techniques et financières démontrent que ces équipements ont fortement augmenté la consommation énergétique globale du site.</w:t>
      </w:r>
    </w:p>
    <w:p w14:paraId="16D19989" w14:textId="40D74316" w:rsidR="00AE7983" w:rsidRDefault="00AE7983">
      <w:pPr>
        <w:ind w:left="-5"/>
      </w:pPr>
    </w:p>
    <w:sectPr w:rsidR="00AE7983">
      <w:footerReference w:type="even" r:id="rId7"/>
      <w:footerReference w:type="default" r:id="rId8"/>
      <w:footerReference w:type="first" r:id="rId9"/>
      <w:pgSz w:w="11906" w:h="16838"/>
      <w:pgMar w:top="1452" w:right="1606" w:bottom="1711" w:left="1560" w:header="720" w:footer="5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D6B87" w14:textId="77777777" w:rsidR="000B1FDC" w:rsidRDefault="000B1FDC">
      <w:pPr>
        <w:spacing w:after="0" w:line="240" w:lineRule="auto"/>
      </w:pPr>
      <w:r>
        <w:separator/>
      </w:r>
    </w:p>
  </w:endnote>
  <w:endnote w:type="continuationSeparator" w:id="0">
    <w:p w14:paraId="1C36D9CF" w14:textId="77777777" w:rsidR="000B1FDC" w:rsidRDefault="000B1F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D35E0B" w14:textId="77777777" w:rsidR="00AE7983" w:rsidRDefault="00000000">
    <w:pPr>
      <w:spacing w:after="0"/>
      <w:ind w:left="46"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FD68D" w14:textId="77777777" w:rsidR="00AE7983" w:rsidRDefault="00000000">
    <w:pPr>
      <w:spacing w:after="0"/>
      <w:ind w:left="46"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79F7C" w14:textId="77777777" w:rsidR="00AE7983" w:rsidRDefault="00000000">
    <w:pPr>
      <w:spacing w:after="0"/>
      <w:ind w:left="46" w:firstLine="0"/>
      <w:jc w:val="center"/>
    </w:pPr>
    <w:r>
      <w:fldChar w:fldCharType="begin"/>
    </w:r>
    <w:r>
      <w:instrText xml:space="preserve"> PAGE   \* MERGEFORMAT </w:instrText>
    </w:r>
    <w:r>
      <w:fldChar w:fldCharType="separate"/>
    </w:r>
    <w:r>
      <w:rPr>
        <w:color w:val="6E6E6E"/>
      </w:rPr>
      <w:t>1</w:t>
    </w:r>
    <w:r>
      <w:rPr>
        <w:color w:val="6E6E6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83D46" w14:textId="77777777" w:rsidR="000B1FDC" w:rsidRDefault="000B1FDC">
      <w:pPr>
        <w:spacing w:after="0" w:line="240" w:lineRule="auto"/>
      </w:pPr>
      <w:r>
        <w:separator/>
      </w:r>
    </w:p>
  </w:footnote>
  <w:footnote w:type="continuationSeparator" w:id="0">
    <w:p w14:paraId="56181184" w14:textId="77777777" w:rsidR="000B1FDC" w:rsidRDefault="000B1F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01087"/>
    <w:multiLevelType w:val="hybridMultilevel"/>
    <w:tmpl w:val="65DC0936"/>
    <w:lvl w:ilvl="0" w:tplc="D9263BC6">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7A28D358">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FF8EB26">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850CFE0">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88EBDDC">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44A0031C">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9D4D6B6">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C61A7518">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F88702E">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2ACA4C4F"/>
    <w:multiLevelType w:val="hybridMultilevel"/>
    <w:tmpl w:val="820200E2"/>
    <w:lvl w:ilvl="0" w:tplc="216EBC1C">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F444822C">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3D44C7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24CE5B64">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5E961820">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AEA2BB6">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39E4474">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7024A12">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197E4A96">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EF91556"/>
    <w:multiLevelType w:val="hybridMultilevel"/>
    <w:tmpl w:val="507062F2"/>
    <w:lvl w:ilvl="0" w:tplc="6FB84C26">
      <w:start w:val="1"/>
      <w:numFmt w:val="bullet"/>
      <w:lvlText w:val="•"/>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A84A3D0">
      <w:start w:val="1"/>
      <w:numFmt w:val="bullet"/>
      <w:lvlText w:val="o"/>
      <w:lvlJc w:val="left"/>
      <w:pPr>
        <w:ind w:left="15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570FE78">
      <w:start w:val="1"/>
      <w:numFmt w:val="bullet"/>
      <w:lvlText w:val="▪"/>
      <w:lvlJc w:val="left"/>
      <w:pPr>
        <w:ind w:left="22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D04A53BA">
      <w:start w:val="1"/>
      <w:numFmt w:val="bullet"/>
      <w:lvlText w:val="•"/>
      <w:lvlJc w:val="left"/>
      <w:pPr>
        <w:ind w:left="30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C3A7AA4">
      <w:start w:val="1"/>
      <w:numFmt w:val="bullet"/>
      <w:lvlText w:val="o"/>
      <w:lvlJc w:val="left"/>
      <w:pPr>
        <w:ind w:left="372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72E08A4A">
      <w:start w:val="1"/>
      <w:numFmt w:val="bullet"/>
      <w:lvlText w:val="▪"/>
      <w:lvlJc w:val="left"/>
      <w:pPr>
        <w:ind w:left="444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C7AEE13C">
      <w:start w:val="1"/>
      <w:numFmt w:val="bullet"/>
      <w:lvlText w:val="•"/>
      <w:lvlJc w:val="left"/>
      <w:pPr>
        <w:ind w:left="516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79A63C40">
      <w:start w:val="1"/>
      <w:numFmt w:val="bullet"/>
      <w:lvlText w:val="o"/>
      <w:lvlJc w:val="left"/>
      <w:pPr>
        <w:ind w:left="588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C4D84BE2">
      <w:start w:val="1"/>
      <w:numFmt w:val="bullet"/>
      <w:lvlText w:val="▪"/>
      <w:lvlJc w:val="left"/>
      <w:pPr>
        <w:ind w:left="660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7D58791F"/>
    <w:multiLevelType w:val="hybridMultilevel"/>
    <w:tmpl w:val="BE58E88C"/>
    <w:lvl w:ilvl="0" w:tplc="DC765E36">
      <w:start w:val="1"/>
      <w:numFmt w:val="decimal"/>
      <w:lvlText w:val="%1."/>
      <w:lvlJc w:val="left"/>
      <w:pPr>
        <w:ind w:left="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CB2D57E">
      <w:start w:val="1"/>
      <w:numFmt w:val="lowerLetter"/>
      <w:lvlText w:val="%2"/>
      <w:lvlJc w:val="left"/>
      <w:pPr>
        <w:ind w:left="14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D31C973C">
      <w:start w:val="1"/>
      <w:numFmt w:val="lowerRoman"/>
      <w:lvlText w:val="%3"/>
      <w:lvlJc w:val="left"/>
      <w:pPr>
        <w:ind w:left="22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018E1D0">
      <w:start w:val="1"/>
      <w:numFmt w:val="decimal"/>
      <w:lvlText w:val="%4"/>
      <w:lvlJc w:val="left"/>
      <w:pPr>
        <w:ind w:left="29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0CC4742">
      <w:start w:val="1"/>
      <w:numFmt w:val="lowerLetter"/>
      <w:lvlText w:val="%5"/>
      <w:lvlJc w:val="left"/>
      <w:pPr>
        <w:ind w:left="364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410D544">
      <w:start w:val="1"/>
      <w:numFmt w:val="lowerRoman"/>
      <w:lvlText w:val="%6"/>
      <w:lvlJc w:val="left"/>
      <w:pPr>
        <w:ind w:left="436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1D0B362">
      <w:start w:val="1"/>
      <w:numFmt w:val="decimal"/>
      <w:lvlText w:val="%7"/>
      <w:lvlJc w:val="left"/>
      <w:pPr>
        <w:ind w:left="508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6A829A16">
      <w:start w:val="1"/>
      <w:numFmt w:val="lowerLetter"/>
      <w:lvlText w:val="%8"/>
      <w:lvlJc w:val="left"/>
      <w:pPr>
        <w:ind w:left="580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5241CFE">
      <w:start w:val="1"/>
      <w:numFmt w:val="lowerRoman"/>
      <w:lvlText w:val="%9"/>
      <w:lvlJc w:val="left"/>
      <w:pPr>
        <w:ind w:left="6522"/>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1570312253">
    <w:abstractNumId w:val="0"/>
  </w:num>
  <w:num w:numId="2" w16cid:durableId="523054129">
    <w:abstractNumId w:val="3"/>
  </w:num>
  <w:num w:numId="3" w16cid:durableId="1674256464">
    <w:abstractNumId w:val="2"/>
  </w:num>
  <w:num w:numId="4" w16cid:durableId="3723166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983"/>
    <w:rsid w:val="000B1FDC"/>
    <w:rsid w:val="00997780"/>
    <w:rsid w:val="00AE7983"/>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1A46E"/>
  <w15:docId w15:val="{7ABB8273-4438-492F-ABB7-23DE73CE4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M" w:eastAsia="fr-CM"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
      <w:ind w:left="10" w:hanging="10"/>
    </w:pPr>
    <w:rPr>
      <w:rFonts w:ascii="Calibri" w:eastAsia="Calibri" w:hAnsi="Calibri" w:cs="Calibri"/>
      <w:color w:val="000000"/>
      <w:sz w:val="18"/>
    </w:rPr>
  </w:style>
  <w:style w:type="paragraph" w:styleId="Titre1">
    <w:name w:val="heading 1"/>
    <w:next w:val="Normal"/>
    <w:link w:val="Titre1Car"/>
    <w:uiPriority w:val="9"/>
    <w:qFormat/>
    <w:pPr>
      <w:keepNext/>
      <w:keepLines/>
      <w:spacing w:after="171"/>
      <w:ind w:left="10" w:hanging="10"/>
      <w:outlineLvl w:val="0"/>
    </w:pPr>
    <w:rPr>
      <w:rFonts w:ascii="Calibri" w:eastAsia="Calibri" w:hAnsi="Calibri" w:cs="Calibri"/>
      <w:b/>
      <w:color w:val="000000"/>
      <w:sz w:val="27"/>
    </w:rPr>
  </w:style>
  <w:style w:type="paragraph" w:styleId="Titre2">
    <w:name w:val="heading 2"/>
    <w:next w:val="Normal"/>
    <w:link w:val="Titre2Car"/>
    <w:uiPriority w:val="9"/>
    <w:unhideWhenUsed/>
    <w:qFormat/>
    <w:pPr>
      <w:keepNext/>
      <w:keepLines/>
      <w:spacing w:after="214"/>
      <w:ind w:left="10" w:hanging="10"/>
      <w:outlineLvl w:val="1"/>
    </w:pPr>
    <w:rPr>
      <w:rFonts w:ascii="Calibri" w:eastAsia="Calibri" w:hAnsi="Calibri" w:cs="Calibri"/>
      <w:b/>
      <w:color w:val="000000"/>
      <w:sz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color w:val="000000"/>
      <w:sz w:val="21"/>
    </w:rPr>
  </w:style>
  <w:style w:type="character" w:customStyle="1" w:styleId="Titre1Car">
    <w:name w:val="Titre 1 Car"/>
    <w:link w:val="Titre1"/>
    <w:rPr>
      <w:rFonts w:ascii="Calibri" w:eastAsia="Calibri" w:hAnsi="Calibri" w:cs="Calibri"/>
      <w:b/>
      <w:color w:val="000000"/>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499</Words>
  <Characters>2748</Characters>
  <Application>Microsoft Office Word</Application>
  <DocSecurity>0</DocSecurity>
  <Lines>22</Lines>
  <Paragraphs>6</Paragraphs>
  <ScaleCrop>false</ScaleCrop>
  <Company/>
  <LinksUpToDate>false</LinksUpToDate>
  <CharactersWithSpaces>3241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Synthese Rapport Consommation Climatiseurs Bach</dc:title>
  <dc:subject/>
  <dc:creator>ChatGPT Canvas</dc:creator>
  <cp:keywords/>
  <cp:lastModifiedBy>wylliam tcheutchoua</cp:lastModifiedBy>
  <cp:revision>2</cp:revision>
  <dcterms:created xsi:type="dcterms:W3CDTF">2026-05-21T08:36:00Z</dcterms:created>
  <dcterms:modified xsi:type="dcterms:W3CDTF">2026-05-21T08:36:00Z</dcterms:modified>
</cp:coreProperties>
</file>