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24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02">
      <w:pPr>
        <w:keepLines w:val="1"/>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experiment on student academic satisfaction found that overall, students at the institution were moderately satisfied with their academic experience. The survey results indicated that the quality of teaching, the availability of resources, and the support provided by the institution were the strongest predictors of student satisfaction. Based on these findings, recommendations were made for how the institution could improve the student academic experience to increase overall satisfaction.</w:t>
      </w:r>
    </w:p>
    <w:p w:rsidR="00000000" w:rsidDel="00000000" w:rsidP="00000000" w:rsidRDefault="00000000" w:rsidRPr="00000000" w14:paraId="00000003">
      <w:pPr>
        <w:keepLines w:val="1"/>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Lines w:val="1"/>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work could involve conducting follow-up surveys to evaluate the effectiveness of initiatives implemented in response to the findings of the experiment. Additionally, it may be beneficial to conduct more in-depth qualitative research, such as focus groups or interviews, to gather more detailed feedback from students about their academic experience. This could provide insights into specific areas that require improvement and help to identify any other factors that may be contributing to student dissatisfaction.</w:t>
      </w:r>
    </w:p>
    <w:p w:rsidR="00000000" w:rsidDel="00000000" w:rsidP="00000000" w:rsidRDefault="00000000" w:rsidRPr="00000000" w14:paraId="00000005">
      <w:pPr>
        <w:keepLines w:val="1"/>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