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Portfolio Website Features Documentation</w:t>
      </w:r>
    </w:p>
    <w:p>
      <w:r>
        <w:t>This document provides an overview of the key design and technical features implemented in the Sreerag T C Portfolio Website.</w:t>
      </w:r>
    </w:p>
    <w:p>
      <w:pPr>
        <w:pStyle w:val="Heading1"/>
      </w:pPr>
      <w:r>
        <w:t>1. Hero &amp; Branding Section</w:t>
      </w:r>
    </w:p>
    <w:p>
      <w:r>
        <w:t>The hero section uses a bold Neo-Brutalist design language. Key elements include:</w:t>
        <w:br/>
        <w:t>- High-contrast typography with rigid borders and sharp shadows.</w:t>
        <w:br/>
        <w:t>- A split layout showcasing the professional profile and core identity ("CSE STUDENT").</w:t>
        <w:br/>
        <w:t>- Dynamic interest tags (ISRO, DRDO, TECH, etc.) with unique color-coding and hover effects.</w:t>
      </w:r>
    </w:p>
    <w:p>
      <w:r>
        <w:drawing>
          <wp:inline xmlns:a="http://schemas.openxmlformats.org/drawingml/2006/main" xmlns:pic="http://schemas.openxmlformats.org/drawingml/2006/picture">
            <wp:extent cx="5486400" cy="37105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hero_177307906337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10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Technical Implementation (Hero)</w:t>
      </w:r>
    </w:p>
    <w:p>
      <w:pPr>
        <w:pStyle w:val="Heading3"/>
      </w:pPr>
      <w:r>
        <w:t>HTML Structure:</w:t>
      </w:r>
    </w:p>
    <w:p>
      <w:pPr>
        <w:pStyle w:val="NoSpacing"/>
      </w:pPr>
      <w:r>
        <w:t>&lt;div class="hero-image-container brutal-border brutal-shadow"&gt;</w:t>
        <w:br/>
        <w:t xml:space="preserve">    &lt;img src="profile.png" alt="..."&gt;</w:t>
        <w:br/>
        <w:t>&lt;/div&gt;</w:t>
      </w:r>
    </w:p>
    <w:p>
      <w:pPr>
        <w:pStyle w:val="Heading3"/>
      </w:pPr>
      <w:r>
        <w:t>CSS Logic:</w:t>
      </w:r>
    </w:p>
    <w:p>
      <w:pPr>
        <w:pStyle w:val="NoSpacing"/>
      </w:pPr>
      <w:r>
        <w:t>.brutal-border { border: var(--border-width) solid var(--border-color); }</w:t>
        <w:br/>
        <w:t>.brutal-shadow { box-shadow: var(--shadow-offset) var(--shadow-offset) 0 var(--border-color); }</w:t>
        <w:br/>
        <w:t>The use of CSS variables allowed for global consistency in border thickness and shadow offsets.</w:t>
      </w:r>
    </w:p>
    <w:p>
      <w:pPr>
        <w:pStyle w:val="Heading1"/>
      </w:pPr>
      <w:r>
        <w:t>2. Achievements Grid</w:t>
      </w:r>
    </w:p>
    <w:p>
      <w:r>
        <w:t>The Achievements section is designed for maximum impact and readability:</w:t>
        <w:br/>
        <w:t>- Uses a responsive flex/grid layout to display certification cards.</w:t>
        <w:br/>
        <w:t>- Each card features a "color-on-hover" effect, transitioning from high-contrast grayscale to full color.</w:t>
        <w:br/>
        <w:t>- "Neo-Brutalist" styling is consistent throughout with thick borders and brutalist offset shadows.</w:t>
      </w:r>
    </w:p>
    <w:p>
      <w:r>
        <w:drawing>
          <wp:inline xmlns:a="http://schemas.openxmlformats.org/drawingml/2006/main" xmlns:pic="http://schemas.openxmlformats.org/drawingml/2006/picture">
            <wp:extent cx="5486400" cy="32719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achievements_177307907384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1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Technical Implementation (Achievements)</w:t>
      </w:r>
    </w:p>
    <w:p>
      <w:pPr>
        <w:pStyle w:val="Heading3"/>
      </w:pPr>
      <w:r>
        <w:t>CSS Grid &amp; Flexbox:</w:t>
      </w:r>
    </w:p>
    <w:p>
      <w:pPr>
        <w:pStyle w:val="NoSpacing"/>
      </w:pPr>
      <w:r>
        <w:t>.grid { display: grid; grid-template-columns: repeat(auto-fit, minmax(320px, 1fr)); gap: 3rem; }</w:t>
        <w:br/>
        <w:t>This ensures the cards wrap perfectly on all screen sizes.</w:t>
      </w:r>
    </w:p>
    <w:p>
      <w:pPr>
        <w:pStyle w:val="Heading3"/>
      </w:pPr>
      <w:r>
        <w:t>Interactive Filters:</w:t>
      </w:r>
    </w:p>
    <w:p>
      <w:pPr>
        <w:pStyle w:val="NoSpacing"/>
      </w:pPr>
      <w:r>
        <w:t>.card-image img { filter: grayscale(100%) contrast(120%); mix-blend-mode: luminosity; }</w:t>
        <w:br/>
        <w:t>.card:hover .card-image img { filter: grayscale(0%) contrast(100%); mix-blend-mode: normal; }</w:t>
        <w:br/>
        <w:t>This creates a "pop" effect when users engage with your achievements.</w:t>
      </w:r>
    </w:p>
    <w:p>
      <w:pPr>
        <w:pStyle w:val="Heading1"/>
      </w:pPr>
      <w:r>
        <w:t>3. Photography &amp; Editing Showcase</w:t>
      </w:r>
    </w:p>
    <w:p>
      <w:r>
        <w:t>The Photography section features a creative masonry layout:</w:t>
        <w:br/>
        <w:t>- Implemented using CSS columns for a dynamic, asymmetrical look.</w:t>
        <w:br/>
        <w:t>- Images use a subtle grayscale-to-color transition on hover, accompanied by a slight scale and rotation transform.</w:t>
        <w:br/>
        <w:t>- Includes a personal "Introduction Note" that conveys the philosophy behind the photography work.</w:t>
      </w:r>
    </w:p>
    <w:p>
      <w:r>
        <w:drawing>
          <wp:inline xmlns:a="http://schemas.openxmlformats.org/drawingml/2006/main" xmlns:pic="http://schemas.openxmlformats.org/drawingml/2006/picture">
            <wp:extent cx="5486400" cy="32719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photography_177307908304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1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Technical Implementation (Photography)</w:t>
      </w:r>
    </w:p>
    <w:p>
      <w:pPr>
        <w:pStyle w:val="Heading3"/>
      </w:pPr>
      <w:r>
        <w:t>Masonry Columns:</w:t>
      </w:r>
    </w:p>
    <w:p>
      <w:pPr>
        <w:pStyle w:val="NoSpacing"/>
      </w:pPr>
      <w:r>
        <w:t>.photo-grid { columns: 3; column-gap: 1.5rem; }</w:t>
        <w:br/>
        <w:t>.photo-item { break-inside: avoid; display: inline-block; width: 100%; }</w:t>
        <w:br/>
        <w:t>Using CSS columns allows images of different heights to flow naturally without gaps.</w:t>
      </w:r>
    </w:p>
    <w:p>
      <w:pPr>
        <w:pStyle w:val="Heading3"/>
      </w:pPr>
      <w:r>
        <w:t>Physics-based Transforms:</w:t>
      </w:r>
    </w:p>
    <w:p>
      <w:pPr>
        <w:pStyle w:val="NoSpacing"/>
      </w:pPr>
      <w:r>
        <w:t>.photo-item:hover { transform: scale(1.03) rotate(1.5deg); box-shadow: 10px 10px 0 var(--border-color); }</w:t>
        <w:br/>
        <w:t>The scale and rotation make the items feel like physical objects being picked up.</w:t>
      </w:r>
    </w:p>
    <w:p>
      <w:pPr>
        <w:pStyle w:val="Heading1"/>
      </w:pPr>
      <w:r>
        <w:t>4. Professional Connection Section</w:t>
      </w:r>
    </w:p>
    <w:p>
      <w:r>
        <w:t>The Contact section is refined for professional networking and job outreach:</w:t>
        <w:br/>
        <w:t>- Features a clear "Let's Connect" call-to-action.</w:t>
        <w:br/>
        <w:t>- Direct email links and social platform integrations are styled with bold interactive elements.</w:t>
        <w:br/>
        <w:t>- Designed to be minimalist yet authoritative, focusing on ease of connection.</w:t>
      </w:r>
    </w:p>
    <w:p>
      <w:r>
        <w:drawing>
          <wp:inline xmlns:a="http://schemas.openxmlformats.org/drawingml/2006/main" xmlns:pic="http://schemas.openxmlformats.org/drawingml/2006/picture">
            <wp:extent cx="5486400" cy="32719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ontact_177307909255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1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Technical Implementation (Contact)</w:t>
      </w:r>
    </w:p>
    <w:p>
      <w:pPr>
        <w:pStyle w:val="Heading3"/>
      </w:pPr>
      <w:r>
        <w:t>Interactive Button Styling:</w:t>
      </w:r>
    </w:p>
    <w:p>
      <w:pPr>
        <w:pStyle w:val="NoSpacing"/>
      </w:pPr>
      <w:r>
        <w:t>.email-link { background-color: var(--accent); transform: rotate(2deg); transition: all 0.2s; }</w:t>
        <w:br/>
        <w:t>.email-link:hover { background-color: #fff; transform: rotate(0deg); }</w:t>
        <w:br/>
        <w:t>Motion is used to draw attention to the most important call-to-action on the page.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