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Méthodologie extraite de la vidéo</w:t>
      </w:r>
    </w:p>
    <w:p>
      <w:r>
        <w:t>1. Accéder à VEOS &gt; Comptabilité</w:t>
      </w:r>
    </w:p>
    <w:p>
      <w:r>
        <w:t>2. Vérifier les règlements en attente</w:t>
      </w:r>
    </w:p>
    <w:p>
      <w:r>
        <w:t>3. Effectuer l'imputation selon le type</w:t>
      </w:r>
    </w:p>
    <w:p>
      <w:r>
        <w:t>4. Valider les écritures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