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4E79"/>
          <w:sz w:val="60"/>
        </w:rPr>
        <w:t>AcadEval+</w:t>
      </w:r>
    </w:p>
    <w:p>
      <w:pPr>
        <w:jc w:val="center"/>
      </w:pPr>
      <w:r>
        <w:rPr>
          <w:b/>
          <w:sz w:val="38"/>
        </w:rPr>
        <w:t>Scoring Accuracy, Evidence-Based Evaluation,</w:t>
        <w:br/>
        <w:t>and Plagiarism Detection</w:t>
      </w:r>
    </w:p>
    <w:p>
      <w:pPr>
        <w:spacing w:before="240"/>
        <w:jc w:val="center"/>
      </w:pPr>
      <w:r>
        <w:rPr>
          <w:i/>
        </w:rPr>
        <w:t>A detailed, plain-language methodology and implementation plan</w:t>
      </w:r>
    </w:p>
    <w:p>
      <w:pPr>
        <w:spacing w:before="1000"/>
        <w:jc w:val="center"/>
      </w:pPr>
      <w:r>
        <w:rPr>
          <w:sz w:val="20"/>
        </w:rPr>
        <w:t>Prepared from the AcadEval+ workflow / publication plan and the scoring-method description provided by the project team.</w:t>
        <w:br/>
      </w:r>
      <w:r>
        <w:rPr>
          <w:b/>
        </w:rPr>
        <w:t>Important: This document distinguishes methods described in project materials from methods that must be verified in source code and measured on real evaluation data.</w:t>
      </w:r>
    </w:p>
    <w:p>
      <w:r>
        <w:br w:type="page"/>
      </w:r>
    </w:p>
    <w:p>
      <w:pPr>
        <w:pStyle w:val="Heading1"/>
      </w:pPr>
      <w:r>
        <w:t>How to use this document</w:t>
      </w:r>
    </w:p>
    <w:p>
      <w:r>
        <w:t>This document is intended for the development team, project guide, reviewers, and a future research paper. It explains what each score means, where its formula comes from, what data it needs, how a submission moves through the system, how plagiarism evidence should be generated, and how guide/reviewer ratings can be used to validate and improve the AI score.</w:t>
      </w:r>
    </w:p>
    <w:p>
      <w:r>
        <w:t>The source project document describes AcadEval_Corpus as running and several other datasets (taxonomy, feature knowledge base, project graph bank, trend base, faculty evaluation, NovelBench) as planned. A separate implementation description mentions a historical corpus, graph signals, and a frozen-corpus scoring step. These statuses may differ between planning documents and the live repository.</w:t>
      </w:r>
    </w:p>
    <w:p>
      <w:r>
        <w:t>Therefore, unless confirmed by running code, database contents, tests, and real records, use words such as “planned”, “proposed”, or “described in the design” rather than claiming a component is already implemented or empirically accurate.</w:t>
      </w:r>
    </w:p>
    <w:p>
      <w:pPr>
        <w:pStyle w:val="Heading1"/>
      </w:pPr>
      <w:r>
        <w:t>Executive summary</w:t>
      </w:r>
    </w:p>
    <w:p>
      <w:pPr>
        <w:pStyle w:val="ListBullet"/>
        <w:spacing w:after="40"/>
      </w:pPr>
      <w:r>
        <w:t>AcadEval+ should be presented as a decision-support system: it estimates and explains project quality/novelty; it does not replace faculty judgment.</w:t>
      </w:r>
    </w:p>
    <w:p>
      <w:pPr>
        <w:pStyle w:val="ListBullet"/>
        <w:spacing w:after="40"/>
      </w:pPr>
      <w:r>
        <w:t>A formula can be mathematically correct while its weights and signals are poor measures of academic quality. Accuracy must be measured against independent, human-reviewed reference data.</w:t>
      </w:r>
    </w:p>
    <w:p>
      <w:pPr>
        <w:pStyle w:val="ListBullet"/>
        <w:spacing w:after="40"/>
      </w:pPr>
      <w:r>
        <w:t>Similarity is not the same as plagiarism. A plagiarism report must identify the source, exact overlapping passages, comparison scope, and limitations; a human reviewer decides whether the overlap is improper.</w:t>
      </w:r>
    </w:p>
    <w:p>
      <w:pPr>
        <w:pStyle w:val="ListBullet"/>
        <w:spacing w:after="40"/>
      </w:pPr>
      <w:r>
        <w:t>Guide and reviewer marks should be collected independently and used as labelled reference data. They should not simply be added to the score and then used to claim that the same score agrees with the guide.</w:t>
      </w:r>
    </w:p>
    <w:p>
      <w:pPr>
        <w:pStyle w:val="ListBullet"/>
        <w:spacing w:after="40"/>
      </w:pPr>
      <w:r>
        <w:t>Keep three concepts separate: the AI score, the evidence/coverage indicator, and uncertainty/confidence. Do not call an uncalibrated number a probability of correctness.</w:t>
      </w:r>
    </w:p>
    <w:p>
      <w:pPr>
        <w:pStyle w:val="Heading1"/>
      </w:pPr>
      <w:r>
        <w:t>1. Scope and evidence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FE2F3"/>
          </w:tcPr>
          <w:p>
            <w:pPr>
              <w:spacing w:after="20"/>
            </w:pPr>
            <w:r/>
            <w:r>
              <w:rPr>
                <w:rFonts w:ascii="Aptos" w:hAnsi="Aptos"/>
                <w:b/>
                <w:sz w:val="17"/>
              </w:rPr>
              <w:t>Item</w:t>
            </w:r>
          </w:p>
        </w:tc>
        <w:tc>
          <w:tcPr>
            <w:tcW w:type="dxa" w:w="3389"/>
            <w:vAlign w:val="center"/>
            <w:shd w:fill="CFE2F3"/>
          </w:tcPr>
          <w:p>
            <w:pPr>
              <w:spacing w:after="20"/>
            </w:pPr>
            <w:r/>
            <w:r>
              <w:rPr>
                <w:rFonts w:ascii="Aptos" w:hAnsi="Aptos"/>
                <w:b/>
                <w:sz w:val="17"/>
              </w:rPr>
              <w:t>What the project materials describe</w:t>
            </w:r>
          </w:p>
        </w:tc>
        <w:tc>
          <w:tcPr>
            <w:tcW w:type="dxa" w:w="3389"/>
            <w:vAlign w:val="center"/>
            <w:shd w:fill="CFE2F3"/>
          </w:tcPr>
          <w:p>
            <w:pPr>
              <w:spacing w:after="20"/>
            </w:pPr>
            <w:r/>
            <w:r>
              <w:rPr>
                <w:rFonts w:ascii="Aptos" w:hAnsi="Aptos"/>
                <w:b/>
                <w:sz w:val="17"/>
              </w:rPr>
              <w:t>What must be verified before claiming it</w:t>
            </w:r>
          </w:p>
        </w:tc>
      </w:tr>
      <w:tr>
        <w:tc>
          <w:tcPr>
            <w:tcW w:type="dxa" w:w="3389"/>
            <w:vAlign w:val="center"/>
          </w:tcPr>
          <w:p>
            <w:pPr>
              <w:spacing w:after="20"/>
            </w:pPr>
            <w:r/>
            <w:r>
              <w:rPr>
                <w:rFonts w:ascii="Aptos" w:hAnsi="Aptos"/>
                <w:b w:val="0"/>
                <w:sz w:val="16"/>
              </w:rPr>
              <w:t>Main stack</w:t>
            </w:r>
          </w:p>
        </w:tc>
        <w:tc>
          <w:tcPr>
            <w:tcW w:type="dxa" w:w="3389"/>
            <w:vAlign w:val="center"/>
          </w:tcPr>
          <w:p>
            <w:pPr>
              <w:spacing w:after="20"/>
            </w:pPr>
            <w:r/>
            <w:r>
              <w:rPr>
                <w:rFonts w:ascii="Aptos" w:hAnsi="Aptos"/>
                <w:b w:val="0"/>
                <w:sz w:val="16"/>
              </w:rPr>
              <w:t>React/TypeScript frontend, FastAPI/Python, PostgreSQL, Neo4j/NetworkX, Sentence-Transformers, Celery/Redis.</w:t>
            </w:r>
          </w:p>
        </w:tc>
        <w:tc>
          <w:tcPr>
            <w:tcW w:type="dxa" w:w="3389"/>
            <w:vAlign w:val="center"/>
          </w:tcPr>
          <w:p>
            <w:pPr>
              <w:spacing w:after="20"/>
            </w:pPr>
            <w:r/>
            <w:r>
              <w:rPr>
                <w:rFonts w:ascii="Aptos" w:hAnsi="Aptos"/>
                <w:b w:val="0"/>
                <w:sz w:val="16"/>
              </w:rPr>
              <w:t>Actual deployed dependencies, migrations, tables, service calls, model versions, and whether Neo4j GDS is used.</w:t>
            </w:r>
          </w:p>
        </w:tc>
      </w:tr>
      <w:tr>
        <w:tc>
          <w:tcPr>
            <w:tcW w:type="dxa" w:w="3389"/>
            <w:vAlign w:val="center"/>
          </w:tcPr>
          <w:p>
            <w:pPr>
              <w:spacing w:after="20"/>
            </w:pPr>
            <w:r/>
            <w:r>
              <w:rPr>
                <w:rFonts w:ascii="Aptos" w:hAnsi="Aptos"/>
                <w:b w:val="0"/>
                <w:sz w:val="16"/>
              </w:rPr>
              <w:t>Historical corpus</w:t>
            </w:r>
          </w:p>
        </w:tc>
        <w:tc>
          <w:tcPr>
            <w:tcW w:type="dxa" w:w="3389"/>
            <w:vAlign w:val="center"/>
          </w:tcPr>
          <w:p>
            <w:pPr>
              <w:spacing w:after="20"/>
            </w:pPr>
            <w:r/>
            <w:r>
              <w:rPr>
                <w:rFonts w:ascii="Aptos" w:hAnsi="Aptos"/>
                <w:b w:val="0"/>
                <w:sz w:val="16"/>
              </w:rPr>
              <w:t>AcadEval_Corpus is described as the master repository of raw project proposals; a later implementation note describes a frozen snapshot before scoring.</w:t>
            </w:r>
          </w:p>
        </w:tc>
        <w:tc>
          <w:tcPr>
            <w:tcW w:type="dxa" w:w="3389"/>
            <w:vAlign w:val="center"/>
          </w:tcPr>
          <w:p>
            <w:pPr>
              <w:spacing w:after="20"/>
            </w:pPr>
            <w:r/>
            <w:r>
              <w:rPr>
                <w:rFonts w:ascii="Aptos" w:hAnsi="Aptos"/>
                <w:b w:val="0"/>
                <w:sz w:val="16"/>
              </w:rPr>
              <w:t>How many usable records exist, which fields are present, licenses/consent, deduplication, dates, and whether the score really uses this corpus.</w:t>
            </w:r>
          </w:p>
        </w:tc>
      </w:tr>
      <w:tr>
        <w:tc>
          <w:tcPr>
            <w:tcW w:type="dxa" w:w="3389"/>
            <w:vAlign w:val="center"/>
          </w:tcPr>
          <w:p>
            <w:pPr>
              <w:spacing w:after="20"/>
            </w:pPr>
            <w:r/>
            <w:r>
              <w:rPr>
                <w:rFonts w:ascii="Aptos" w:hAnsi="Aptos"/>
                <w:b w:val="0"/>
                <w:sz w:val="16"/>
              </w:rPr>
              <w:t>Graph novelty</w:t>
            </w:r>
          </w:p>
        </w:tc>
        <w:tc>
          <w:tcPr>
            <w:tcW w:type="dxa" w:w="3389"/>
            <w:vAlign w:val="center"/>
          </w:tcPr>
          <w:p>
            <w:pPr>
              <w:spacing w:after="20"/>
            </w:pPr>
            <w:r/>
            <w:r>
              <w:rPr>
                <w:rFonts w:ascii="Aptos" w:hAnsi="Aptos"/>
                <w:b w:val="0"/>
                <w:sz w:val="16"/>
              </w:rPr>
              <w:t>Five graph signals are described: graph distance, feature rarity, relationship rarity, graph-neighbourhood sparsity/density, and new-connection/Adamic–Adar signal.</w:t>
            </w:r>
          </w:p>
        </w:tc>
        <w:tc>
          <w:tcPr>
            <w:tcW w:type="dxa" w:w="3389"/>
            <w:vAlign w:val="center"/>
          </w:tcPr>
          <w:p>
            <w:pPr>
              <w:spacing w:after="20"/>
            </w:pPr>
            <w:r/>
            <w:r>
              <w:rPr>
                <w:rFonts w:ascii="Aptos" w:hAnsi="Aptos"/>
                <w:b w:val="0"/>
                <w:sz w:val="16"/>
              </w:rPr>
              <w:t>Exact formulas, normalization, weights, edge direction, empty-graph behaviour, and whether the candidate is excluded from the reference graph.</w:t>
            </w:r>
          </w:p>
        </w:tc>
      </w:tr>
      <w:tr>
        <w:tc>
          <w:tcPr>
            <w:tcW w:type="dxa" w:w="3389"/>
            <w:vAlign w:val="center"/>
          </w:tcPr>
          <w:p>
            <w:pPr>
              <w:spacing w:after="20"/>
            </w:pPr>
            <w:r/>
            <w:r>
              <w:rPr>
                <w:rFonts w:ascii="Aptos" w:hAnsi="Aptos"/>
                <w:b w:val="0"/>
                <w:sz w:val="16"/>
              </w:rPr>
              <w:t>Rubric score</w:t>
            </w:r>
          </w:p>
        </w:tc>
        <w:tc>
          <w:tcPr>
            <w:tcW w:type="dxa" w:w="3389"/>
            <w:vAlign w:val="center"/>
          </w:tcPr>
          <w:p>
            <w:pPr>
              <w:spacing w:after="20"/>
            </w:pPr>
            <w:r/>
            <w:r>
              <w:rPr>
                <w:rFonts w:ascii="Aptos" w:hAnsi="Aptos"/>
                <w:b w:val="0"/>
                <w:sz w:val="16"/>
              </w:rPr>
              <w:t>A seven-dimension weighted formula is described in the supplied scoring summary.</w:t>
            </w:r>
          </w:p>
        </w:tc>
        <w:tc>
          <w:tcPr>
            <w:tcW w:type="dxa" w:w="3389"/>
            <w:vAlign w:val="center"/>
          </w:tcPr>
          <w:p>
            <w:pPr>
              <w:spacing w:after="20"/>
            </w:pPr>
            <w:r/>
            <w:r>
              <w:rPr>
                <w:rFonts w:ascii="Aptos" w:hAnsi="Aptos"/>
                <w:b w:val="0"/>
                <w:sz w:val="16"/>
              </w:rPr>
              <w:t>Check formula in source code and confirm every dimension is scaled to 0–100 before combining.</w:t>
            </w:r>
          </w:p>
        </w:tc>
      </w:tr>
      <w:tr>
        <w:tc>
          <w:tcPr>
            <w:tcW w:type="dxa" w:w="3389"/>
            <w:vAlign w:val="center"/>
          </w:tcPr>
          <w:p>
            <w:pPr>
              <w:spacing w:after="20"/>
            </w:pPr>
            <w:r/>
            <w:r>
              <w:rPr>
                <w:rFonts w:ascii="Aptos" w:hAnsi="Aptos"/>
                <w:b w:val="0"/>
                <w:sz w:val="16"/>
              </w:rPr>
              <w:t>Plagiarism</w:t>
            </w:r>
          </w:p>
        </w:tc>
        <w:tc>
          <w:tcPr>
            <w:tcW w:type="dxa" w:w="3389"/>
            <w:vAlign w:val="center"/>
          </w:tcPr>
          <w:p>
            <w:pPr>
              <w:spacing w:after="20"/>
            </w:pPr>
            <w:r/>
            <w:r>
              <w:rPr>
                <w:rFonts w:ascii="Aptos" w:hAnsi="Aptos"/>
                <w:b w:val="0"/>
                <w:sz w:val="16"/>
              </w:rPr>
              <w:t>TF-IDF text similarity, BERT/SBERT semantic comparison, code fingerprints, and a combined 60/40 risk formula were described by the project team.</w:t>
            </w:r>
          </w:p>
        </w:tc>
        <w:tc>
          <w:tcPr>
            <w:tcW w:type="dxa" w:w="3389"/>
            <w:vAlign w:val="center"/>
          </w:tcPr>
          <w:p>
            <w:pPr>
              <w:spacing w:after="20"/>
            </w:pPr>
            <w:r/>
            <w:r>
              <w:rPr>
                <w:rFonts w:ascii="Aptos" w:hAnsi="Aptos"/>
                <w:b w:val="0"/>
                <w:sz w:val="16"/>
              </w:rPr>
              <w:t>Actual corpus, source attribution, exact passage storage, threshold behaviour, exclusion rules, and test results.</w:t>
            </w:r>
          </w:p>
        </w:tc>
      </w:tr>
      <w:tr>
        <w:tc>
          <w:tcPr>
            <w:tcW w:type="dxa" w:w="3389"/>
            <w:vAlign w:val="center"/>
          </w:tcPr>
          <w:p>
            <w:pPr>
              <w:spacing w:after="20"/>
            </w:pPr>
            <w:r/>
            <w:r>
              <w:rPr>
                <w:rFonts w:ascii="Aptos" w:hAnsi="Aptos"/>
                <w:b w:val="0"/>
                <w:sz w:val="16"/>
              </w:rPr>
              <w:t>Calibration</w:t>
            </w:r>
          </w:p>
        </w:tc>
        <w:tc>
          <w:tcPr>
            <w:tcW w:type="dxa" w:w="3389"/>
            <w:vAlign w:val="center"/>
          </w:tcPr>
          <w:p>
            <w:pPr>
              <w:spacing w:after="20"/>
            </w:pPr>
            <w:r/>
            <w:r>
              <w:rPr>
                <w:rFonts w:ascii="Aptos" w:hAnsi="Aptos"/>
                <w:b w:val="0"/>
                <w:sz w:val="16"/>
              </w:rPr>
              <w:t>The project team’s summary mentions Ridge Regression and faculty marks.</w:t>
            </w:r>
          </w:p>
        </w:tc>
        <w:tc>
          <w:tcPr>
            <w:tcW w:type="dxa" w:w="3389"/>
            <w:vAlign w:val="center"/>
          </w:tcPr>
          <w:p>
            <w:pPr>
              <w:spacing w:after="20"/>
            </w:pPr>
            <w:r/>
            <w:r>
              <w:rPr>
                <w:rFonts w:ascii="Aptos" w:hAnsi="Aptos"/>
                <w:b w:val="0"/>
                <w:sz w:val="16"/>
              </w:rPr>
              <w:t>Do not claim calibration is completed until there is a real labelled dataset, reproducible training run, held-out evaluation, saved model/version, and reported results.</w:t>
            </w:r>
          </w:p>
        </w:tc>
      </w:tr>
    </w:tbl>
    <w:p/>
    <w:p>
      <w:pPr>
        <w:pStyle w:val="Heading1"/>
      </w:pPr>
      <w:r>
        <w:t>2. What does “accuracy” mean here?</w:t>
      </w:r>
    </w:p>
    <w:p>
      <w:r>
        <w:t>There is no single accuracy percentage for a system that produces different outputs. AcadEval+ has several separate tasks, and each needs its own validation.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FE2F3"/>
          </w:tcPr>
          <w:p>
            <w:pPr>
              <w:spacing w:after="20"/>
            </w:pPr>
            <w:r/>
            <w:r>
              <w:rPr>
                <w:rFonts w:ascii="Aptos" w:hAnsi="Aptos"/>
                <w:b/>
                <w:sz w:val="17"/>
              </w:rPr>
              <w:t>Task</w:t>
            </w:r>
          </w:p>
        </w:tc>
        <w:tc>
          <w:tcPr>
            <w:tcW w:type="dxa" w:w="3389"/>
            <w:vAlign w:val="center"/>
            <w:shd w:fill="CFE2F3"/>
          </w:tcPr>
          <w:p>
            <w:pPr>
              <w:spacing w:after="20"/>
            </w:pPr>
            <w:r/>
            <w:r>
              <w:rPr>
                <w:rFonts w:ascii="Aptos" w:hAnsi="Aptos"/>
                <w:b/>
                <w:sz w:val="17"/>
              </w:rPr>
              <w:t>What we should test</w:t>
            </w:r>
          </w:p>
        </w:tc>
        <w:tc>
          <w:tcPr>
            <w:tcW w:type="dxa" w:w="3389"/>
            <w:vAlign w:val="center"/>
            <w:shd w:fill="CFE2F3"/>
          </w:tcPr>
          <w:p>
            <w:pPr>
              <w:spacing w:after="20"/>
            </w:pPr>
            <w:r/>
            <w:r>
              <w:rPr>
                <w:rFonts w:ascii="Aptos" w:hAnsi="Aptos"/>
                <w:b/>
                <w:sz w:val="17"/>
              </w:rPr>
              <w:t>Useful measures</w:t>
            </w:r>
          </w:p>
        </w:tc>
      </w:tr>
      <w:tr>
        <w:tc>
          <w:tcPr>
            <w:tcW w:type="dxa" w:w="3389"/>
            <w:vAlign w:val="center"/>
          </w:tcPr>
          <w:p>
            <w:pPr>
              <w:spacing w:after="20"/>
            </w:pPr>
            <w:r/>
            <w:r>
              <w:rPr>
                <w:rFonts w:ascii="Aptos" w:hAnsi="Aptos"/>
                <w:b w:val="0"/>
                <w:sz w:val="16"/>
              </w:rPr>
              <w:t>Text plagiarism matching</w:t>
            </w:r>
          </w:p>
        </w:tc>
        <w:tc>
          <w:tcPr>
            <w:tcW w:type="dxa" w:w="3389"/>
            <w:vAlign w:val="center"/>
          </w:tcPr>
          <w:p>
            <w:pPr>
              <w:spacing w:after="20"/>
            </w:pPr>
            <w:r/>
            <w:r>
              <w:rPr>
                <w:rFonts w:ascii="Aptos" w:hAnsi="Aptos"/>
                <w:b w:val="0"/>
                <w:sz w:val="16"/>
              </w:rPr>
              <w:t>Can the system retrieve known source passages and avoid flagging unrelated text?</w:t>
            </w:r>
          </w:p>
        </w:tc>
        <w:tc>
          <w:tcPr>
            <w:tcW w:type="dxa" w:w="3389"/>
            <w:vAlign w:val="center"/>
          </w:tcPr>
          <w:p>
            <w:pPr>
              <w:spacing w:after="20"/>
            </w:pPr>
            <w:r/>
            <w:r>
              <w:rPr>
                <w:rFonts w:ascii="Aptos" w:hAnsi="Aptos"/>
                <w:b w:val="0"/>
                <w:sz w:val="16"/>
              </w:rPr>
              <w:t>Precision, recall, F1, false-positive rate, source retrieval Precision@K/Recall@K.</w:t>
            </w:r>
          </w:p>
        </w:tc>
      </w:tr>
      <w:tr>
        <w:tc>
          <w:tcPr>
            <w:tcW w:type="dxa" w:w="3389"/>
            <w:vAlign w:val="center"/>
          </w:tcPr>
          <w:p>
            <w:pPr>
              <w:spacing w:after="20"/>
            </w:pPr>
            <w:r/>
            <w:r>
              <w:rPr>
                <w:rFonts w:ascii="Aptos" w:hAnsi="Aptos"/>
                <w:b w:val="0"/>
                <w:sz w:val="16"/>
              </w:rPr>
              <w:t>Code similarity</w:t>
            </w:r>
          </w:p>
        </w:tc>
        <w:tc>
          <w:tcPr>
            <w:tcW w:type="dxa" w:w="3389"/>
            <w:vAlign w:val="center"/>
          </w:tcPr>
          <w:p>
            <w:pPr>
              <w:spacing w:after="20"/>
            </w:pPr>
            <w:r/>
            <w:r>
              <w:rPr>
                <w:rFonts w:ascii="Aptos" w:hAnsi="Aptos"/>
                <w:b w:val="0"/>
                <w:sz w:val="16"/>
              </w:rPr>
              <w:t>Can it identify known copied/modified code while avoiding false matches from boilerplate?</w:t>
            </w:r>
          </w:p>
        </w:tc>
        <w:tc>
          <w:tcPr>
            <w:tcW w:type="dxa" w:w="3389"/>
            <w:vAlign w:val="center"/>
          </w:tcPr>
          <w:p>
            <w:pPr>
              <w:spacing w:after="20"/>
            </w:pPr>
            <w:r/>
            <w:r>
              <w:rPr>
                <w:rFonts w:ascii="Aptos" w:hAnsi="Aptos"/>
                <w:b w:val="0"/>
                <w:sz w:val="16"/>
              </w:rPr>
              <w:t>Precision, recall, F1 on labelled code pairs; performance by language and transformation.</w:t>
            </w:r>
          </w:p>
        </w:tc>
      </w:tr>
      <w:tr>
        <w:tc>
          <w:tcPr>
            <w:tcW w:type="dxa" w:w="3389"/>
            <w:vAlign w:val="center"/>
          </w:tcPr>
          <w:p>
            <w:pPr>
              <w:spacing w:after="20"/>
            </w:pPr>
            <w:r/>
            <w:r>
              <w:rPr>
                <w:rFonts w:ascii="Aptos" w:hAnsi="Aptos"/>
                <w:b w:val="0"/>
                <w:sz w:val="16"/>
              </w:rPr>
              <w:t>Novelty score</w:t>
            </w:r>
          </w:p>
        </w:tc>
        <w:tc>
          <w:tcPr>
            <w:tcW w:type="dxa" w:w="3389"/>
            <w:vAlign w:val="center"/>
          </w:tcPr>
          <w:p>
            <w:pPr>
              <w:spacing w:after="20"/>
            </w:pPr>
            <w:r/>
            <w:r>
              <w:rPr>
                <w:rFonts w:ascii="Aptos" w:hAnsi="Aptos"/>
                <w:b w:val="0"/>
                <w:sz w:val="16"/>
              </w:rPr>
              <w:t>Does the score rank projects similarly to independent expert ratings?</w:t>
            </w:r>
          </w:p>
        </w:tc>
        <w:tc>
          <w:tcPr>
            <w:tcW w:type="dxa" w:w="3389"/>
            <w:vAlign w:val="center"/>
          </w:tcPr>
          <w:p>
            <w:pPr>
              <w:spacing w:after="20"/>
            </w:pPr>
            <w:r/>
            <w:r>
              <w:rPr>
                <w:rFonts w:ascii="Aptos" w:hAnsi="Aptos"/>
                <w:b w:val="0"/>
                <w:sz w:val="16"/>
              </w:rPr>
              <w:t>Spearman correlation; Pearson correlation as a supplementary measure; MAE/RMSE after scale alignment.</w:t>
            </w:r>
          </w:p>
        </w:tc>
      </w:tr>
      <w:tr>
        <w:tc>
          <w:tcPr>
            <w:tcW w:type="dxa" w:w="3389"/>
            <w:vAlign w:val="center"/>
          </w:tcPr>
          <w:p>
            <w:pPr>
              <w:spacing w:after="20"/>
            </w:pPr>
            <w:r/>
            <w:r>
              <w:rPr>
                <w:rFonts w:ascii="Aptos" w:hAnsi="Aptos"/>
                <w:b w:val="0"/>
                <w:sz w:val="16"/>
              </w:rPr>
              <w:t>Each rubric dimension</w:t>
            </w:r>
          </w:p>
        </w:tc>
        <w:tc>
          <w:tcPr>
            <w:tcW w:type="dxa" w:w="3389"/>
            <w:vAlign w:val="center"/>
          </w:tcPr>
          <w:p>
            <w:pPr>
              <w:spacing w:after="20"/>
            </w:pPr>
            <w:r/>
            <w:r>
              <w:rPr>
                <w:rFonts w:ascii="Aptos" w:hAnsi="Aptos"/>
                <w:b w:val="0"/>
                <w:sz w:val="16"/>
              </w:rPr>
              <w:t>Does AI novelty, feasibility, completeness, etc. agree with human ratings for that same dimension?</w:t>
            </w:r>
          </w:p>
        </w:tc>
        <w:tc>
          <w:tcPr>
            <w:tcW w:type="dxa" w:w="3389"/>
            <w:vAlign w:val="center"/>
          </w:tcPr>
          <w:p>
            <w:pPr>
              <w:spacing w:after="20"/>
            </w:pPr>
            <w:r/>
            <w:r>
              <w:rPr>
                <w:rFonts w:ascii="Aptos" w:hAnsi="Aptos"/>
                <w:b w:val="0"/>
                <w:sz w:val="16"/>
              </w:rPr>
              <w:t>Per-dimension MAE/RMSE, rank correlation, agreement analysis, calibration plots if applicable.</w:t>
            </w:r>
          </w:p>
        </w:tc>
      </w:tr>
      <w:tr>
        <w:tc>
          <w:tcPr>
            <w:tcW w:type="dxa" w:w="3389"/>
            <w:vAlign w:val="center"/>
          </w:tcPr>
          <w:p>
            <w:pPr>
              <w:spacing w:after="20"/>
            </w:pPr>
            <w:r/>
            <w:r>
              <w:rPr>
                <w:rFonts w:ascii="Aptos" w:hAnsi="Aptos"/>
                <w:b w:val="0"/>
                <w:sz w:val="16"/>
              </w:rPr>
              <w:t>Entity extraction / graph construction</w:t>
            </w:r>
          </w:p>
        </w:tc>
        <w:tc>
          <w:tcPr>
            <w:tcW w:type="dxa" w:w="3389"/>
            <w:vAlign w:val="center"/>
          </w:tcPr>
          <w:p>
            <w:pPr>
              <w:spacing w:after="20"/>
            </w:pPr>
            <w:r/>
            <w:r>
              <w:rPr>
                <w:rFonts w:ascii="Aptos" w:hAnsi="Aptos"/>
                <w:b w:val="0"/>
                <w:sz w:val="16"/>
              </w:rPr>
              <w:t>Are algorithms, datasets, applications, technologies, and relationships extracted correctly?</w:t>
            </w:r>
          </w:p>
        </w:tc>
        <w:tc>
          <w:tcPr>
            <w:tcW w:type="dxa" w:w="3389"/>
            <w:vAlign w:val="center"/>
          </w:tcPr>
          <w:p>
            <w:pPr>
              <w:spacing w:after="20"/>
            </w:pPr>
            <w:r/>
            <w:r>
              <w:rPr>
                <w:rFonts w:ascii="Aptos" w:hAnsi="Aptos"/>
                <w:b w:val="0"/>
                <w:sz w:val="16"/>
              </w:rPr>
              <w:t>Precision, recall, F1 on manually annotated projects.</w:t>
            </w:r>
          </w:p>
        </w:tc>
      </w:tr>
      <w:tr>
        <w:tc>
          <w:tcPr>
            <w:tcW w:type="dxa" w:w="3389"/>
            <w:vAlign w:val="center"/>
          </w:tcPr>
          <w:p>
            <w:pPr>
              <w:spacing w:after="20"/>
            </w:pPr>
            <w:r/>
            <w:r>
              <w:rPr>
                <w:rFonts w:ascii="Aptos" w:hAnsi="Aptos"/>
                <w:b w:val="0"/>
                <w:sz w:val="16"/>
              </w:rPr>
              <w:t>Overall reviewer workflow</w:t>
            </w:r>
          </w:p>
        </w:tc>
        <w:tc>
          <w:tcPr>
            <w:tcW w:type="dxa" w:w="3389"/>
            <w:vAlign w:val="center"/>
          </w:tcPr>
          <w:p>
            <w:pPr>
              <w:spacing w:after="20"/>
            </w:pPr>
            <w:r/>
            <w:r>
              <w:rPr>
                <w:rFonts w:ascii="Aptos" w:hAnsi="Aptos"/>
                <w:b w:val="0"/>
                <w:sz w:val="16"/>
              </w:rPr>
              <w:t>Do reviewers understand and trust the evidence, and does the report help them make a decision?</w:t>
            </w:r>
          </w:p>
        </w:tc>
        <w:tc>
          <w:tcPr>
            <w:tcW w:type="dxa" w:w="3389"/>
            <w:vAlign w:val="center"/>
          </w:tcPr>
          <w:p>
            <w:pPr>
              <w:spacing w:after="20"/>
            </w:pPr>
            <w:r/>
            <w:r>
              <w:rPr>
                <w:rFonts w:ascii="Aptos" w:hAnsi="Aptos"/>
                <w:b w:val="0"/>
                <w:sz w:val="16"/>
              </w:rPr>
              <w:t>Structured usability study, reviewer agreement, completion time, error analysis.</w:t>
            </w:r>
          </w:p>
        </w:tc>
      </w:tr>
    </w:tbl>
    <w:p/>
    <w:p>
      <w:r>
        <w:t>Important distinction: mathematical correctness means the code implements its stated formula. Construct validity means the formula measures the concept it claims to measure. Empirical validity means the output has been tested against independent reference labels on data the model did not train on. These are three different claims.</w:t>
      </w:r>
    </w:p>
    <w:p>
      <w:pPr>
        <w:pStyle w:val="Heading1"/>
      </w:pPr>
      <w:r>
        <w:t>3. The end-to-end evaluation pipeline</w:t>
      </w:r>
    </w:p>
    <w:p>
      <w:pPr>
        <w:pStyle w:val="ListNumber"/>
        <w:spacing w:after="40"/>
      </w:pPr>
      <w:r>
        <w:t>Submission: student submits title, abstract, problem statement, proposed solution, report file, references, optional GitHub URL, and required metadata.</w:t>
      </w:r>
    </w:p>
    <w:p>
      <w:pPr>
        <w:pStyle w:val="ListNumber"/>
        <w:spacing w:after="40"/>
      </w:pPr>
      <w:r>
        <w:t>File processing: extract text from PDF/DOCX/PPTX/RTF/TXT and code files; keep page, section, slide, and code-file locations where possible. OCR may be needed for scanned PDFs. Extraction failures must be visible, not silently treated as missing content.</w:t>
      </w:r>
    </w:p>
    <w:p>
      <w:pPr>
        <w:pStyle w:val="ListNumber"/>
        <w:spacing w:after="40"/>
      </w:pPr>
      <w:r>
        <w:t>Pre-processing: normalize whitespace, Unicode, hyphenation and formatting; separate title, abstract, literature review, methodology, results, references, appendices and code. Preserve a raw copy and the normalized copy for audit.</w:t>
      </w:r>
    </w:p>
    <w:p>
      <w:pPr>
        <w:pStyle w:val="ListNumber"/>
        <w:spacing w:after="40"/>
      </w:pPr>
      <w:r>
        <w:t>Domain classification: assign domain/subdomain using the taxonomy and semantic classification. Store the predicted class and any low-confidence/ambiguous alternatives.</w:t>
      </w:r>
    </w:p>
    <w:p>
      <w:pPr>
        <w:pStyle w:val="ListNumber"/>
        <w:spacing w:after="40"/>
      </w:pPr>
      <w:r>
        <w:t>Entity and relation extraction: extract algorithms, technologies, frameworks, libraries, datasets, applications, hardware and metrics. Normalize variants to canonical entities (for example, spelling/case variants of the same framework). Preserve evidence spans for each extracted entity.</w:t>
      </w:r>
    </w:p>
    <w:p>
      <w:pPr>
        <w:pStyle w:val="ListNumber"/>
        <w:spacing w:after="40"/>
      </w:pPr>
      <w:r>
        <w:t>Historical-corpus retrieval: retrieve candidate projects using text/semantic retrieval and the graph corpus. For novelty, compare against a snapshot that excludes the candidate. For plagiarism, compare against source documents in the authorised plagiarism corpus.</w:t>
      </w:r>
    </w:p>
    <w:p>
      <w:pPr>
        <w:pStyle w:val="ListNumber"/>
        <w:spacing w:after="40"/>
      </w:pPr>
      <w:r>
        <w:t>Literature and source discovery: query permitted scholarly metadata and full-text sources where accessible. Record DOI/URL, source title, date retrieved, licence/access status and exact source passage. Metadata-only records can support discovery but cannot prove passage-level copying.</w:t>
      </w:r>
    </w:p>
    <w:p>
      <w:pPr>
        <w:pStyle w:val="ListNumber"/>
        <w:spacing w:after="40"/>
      </w:pPr>
      <w:r>
        <w:t>Graph construction: represent the candidate project as a graph of project, domain, algorithm, technology, dataset, application and other entities/relations. Keep candidate graph separate until scoring is complete if the frozen-snapshot design is used.</w:t>
      </w:r>
    </w:p>
    <w:p>
      <w:pPr>
        <w:pStyle w:val="ListNumber"/>
        <w:spacing w:after="40"/>
      </w:pPr>
      <w:r>
        <w:t>Dimension scoring: calculate each rubric dimension using documented sub-signals, normalization, missing-data rules and versioned weights.</w:t>
      </w:r>
    </w:p>
    <w:p>
      <w:pPr>
        <w:pStyle w:val="ListNumber"/>
        <w:spacing w:after="40"/>
      </w:pPr>
      <w:r>
        <w:t>Plagiarism matching: run lexical/text, semantic and code matching; align matching spans to sources; filter or separately label references, quoted text, common templates and boilerplate.</w:t>
      </w:r>
    </w:p>
    <w:p>
      <w:pPr>
        <w:pStyle w:val="ListNumber"/>
        <w:spacing w:after="40"/>
      </w:pPr>
      <w:r>
        <w:t>Evidence verification: an evidence-checking component confirms that each claim in the report is supported by a retained source or calculation. Unsupported claims must be removed or marked “not verified”.</w:t>
      </w:r>
    </w:p>
    <w:p>
      <w:pPr>
        <w:pStyle w:val="ListNumber"/>
        <w:spacing w:after="40"/>
      </w:pPr>
      <w:r>
        <w:t>Report generation: show the dimension scores, overall score, score breakdown, nearest prior projects, source-linked similarity evidence, data coverage, limitations and suggested questions for faculty.</w:t>
      </w:r>
    </w:p>
    <w:p>
      <w:pPr>
        <w:pStyle w:val="ListNumber"/>
        <w:spacing w:after="40"/>
      </w:pPr>
      <w:r>
        <w:t>Faculty review: guide and reviewer independently score the same rubric and inspect evidence. Record their scores, comments, review date and rubric version.</w:t>
      </w:r>
    </w:p>
    <w:p>
      <w:pPr>
        <w:pStyle w:val="ListNumber"/>
        <w:spacing w:after="40"/>
      </w:pPr>
      <w:r>
        <w:t>Calibration and monitoring: use past, adjudicated reviews to train/calibrate a model on training data, select settings on validation data, and report results only on a held-out test set. Version the model and retain an audit trail.</w:t>
      </w:r>
    </w:p>
    <w:p>
      <w:pPr>
        <w:pStyle w:val="ListNumber"/>
        <w:spacing w:after="40"/>
      </w:pPr>
      <w:r>
        <w:t>Post-review ingestion: only after the score and review record are locked should the new project be added to the historical graph/corpus, according to the chosen data-governance policy.</w:t>
      </w:r>
    </w:p>
    <w:p>
      <w:pPr>
        <w:pStyle w:val="Heading1"/>
      </w:pPr>
      <w:r>
        <w:t>4. Score inventory and formulas</w:t>
      </w:r>
    </w:p>
    <w:p>
      <w:r>
        <w:t>All component scores should have a defined scale, direction, missing-data rule, and evidence source. A 0–100 scale is convenient but does not make scores comparable automatically; each component must be normalized consistently.</w:t>
      </w:r>
    </w:p>
    <w:p>
      <w:pPr>
        <w:pStyle w:val="Heading2"/>
      </w:pPr>
      <w:r>
        <w:t>4.1 Overall project score (the supplied seven-dimension version)</w:t>
      </w:r>
    </w:p>
    <w:p>
      <w:r>
        <w:t>The formula supplied by the project team is:</w:t>
      </w:r>
    </w:p>
    <w:p>
      <w:pPr>
        <w:jc w:val="center"/>
      </w:pPr>
      <w:r>
        <w:rPr>
          <w:b/>
          <w:sz w:val="22"/>
        </w:rPr>
        <w:t>Overall = 0.20N + 0.20T + 0.15F + 0.15C + 0.10L + 0.10P + 0.10(100 − S)</w:t>
      </w:r>
    </w:p>
    <w:p>
      <w:r>
        <w:t>N = novelty, T = technical depth, F = feasibility, C = completeness, L = clarity/writing, P = publication potential, S = similarity risk. Each input must be on a 0–100 scale. The final similarity term is an originality-oriented contribution: higher risk means fewer points from this component.</w:t>
      </w:r>
    </w:p>
    <w:p>
      <w:r>
        <w:t>Example only: N=70, T=80, F=75, C=85, L=70, P=60, S=20 gives 14+16+11.25+12.75+7+6+8 = 75. The result is 75/100. This arithmetic shows how the chosen weights combine; it does not show that 75 is an objectively true grade.</w:t>
      </w:r>
    </w:p>
    <w:p>
      <w:r>
        <w:t>Where did the weights come from? In the supplied design they are project-specific rubric choices. They are not universal laws or established scientific constants. To defend them, document the educational rubric or expert rationale, then compare this fixed-weight baseline with faculty ratings and alternative/calibrated weights on held-out data.</w:t>
      </w:r>
    </w:p>
    <w:p>
      <w:pPr>
        <w:pStyle w:val="Heading2"/>
      </w:pPr>
      <w:r>
        <w:t>4.2 Novelty score: graph-based signals</w:t>
      </w:r>
    </w:p>
    <w:p>
      <w:r>
        <w:t>The project workflow describes five graph signals. They estimate how a project differs structurally from projects already in the reference corpus. They do not prove that an idea has never existed anywhere in the world.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CFE2F3"/>
          </w:tcPr>
          <w:p>
            <w:pPr>
              <w:spacing w:after="20"/>
            </w:pPr>
            <w:r/>
            <w:r>
              <w:rPr>
                <w:rFonts w:ascii="Aptos" w:hAnsi="Aptos"/>
                <w:b/>
                <w:sz w:val="17"/>
              </w:rPr>
              <w:t>Signal</w:t>
            </w:r>
          </w:p>
        </w:tc>
        <w:tc>
          <w:tcPr>
            <w:tcW w:type="dxa" w:w="2541"/>
            <w:vAlign w:val="center"/>
            <w:shd w:fill="CFE2F3"/>
          </w:tcPr>
          <w:p>
            <w:pPr>
              <w:spacing w:after="20"/>
            </w:pPr>
            <w:r/>
            <w:r>
              <w:rPr>
                <w:rFonts w:ascii="Aptos" w:hAnsi="Aptos"/>
                <w:b/>
                <w:sz w:val="17"/>
              </w:rPr>
              <w:t>Plain-language meaning</w:t>
            </w:r>
          </w:p>
        </w:tc>
        <w:tc>
          <w:tcPr>
            <w:tcW w:type="dxa" w:w="2541"/>
            <w:vAlign w:val="center"/>
            <w:shd w:fill="CFE2F3"/>
          </w:tcPr>
          <w:p>
            <w:pPr>
              <w:spacing w:after="20"/>
            </w:pPr>
            <w:r/>
            <w:r>
              <w:rPr>
                <w:rFonts w:ascii="Aptos" w:hAnsi="Aptos"/>
                <w:b/>
                <w:sz w:val="17"/>
              </w:rPr>
              <w:t>Candidate calculation / formula family</w:t>
            </w:r>
          </w:p>
        </w:tc>
        <w:tc>
          <w:tcPr>
            <w:tcW w:type="dxa" w:w="2541"/>
            <w:vAlign w:val="center"/>
            <w:shd w:fill="CFE2F3"/>
          </w:tcPr>
          <w:p>
            <w:pPr>
              <w:spacing w:after="20"/>
            </w:pPr>
            <w:r/>
            <w:r>
              <w:rPr>
                <w:rFonts w:ascii="Aptos" w:hAnsi="Aptos"/>
                <w:b/>
                <w:sz w:val="17"/>
              </w:rPr>
              <w:t>Caution</w:t>
            </w:r>
          </w:p>
        </w:tc>
      </w:tr>
      <w:tr>
        <w:tc>
          <w:tcPr>
            <w:tcW w:type="dxa" w:w="2541"/>
            <w:vAlign w:val="center"/>
          </w:tcPr>
          <w:p>
            <w:pPr>
              <w:spacing w:after="20"/>
            </w:pPr>
            <w:r/>
            <w:r>
              <w:rPr>
                <w:rFonts w:ascii="Aptos" w:hAnsi="Aptos"/>
                <w:b w:val="0"/>
                <w:sz w:val="16"/>
              </w:rPr>
              <w:t>1. Graph distance / idea uniqueness</w:t>
            </w:r>
          </w:p>
        </w:tc>
        <w:tc>
          <w:tcPr>
            <w:tcW w:type="dxa" w:w="2541"/>
            <w:vAlign w:val="center"/>
          </w:tcPr>
          <w:p>
            <w:pPr>
              <w:spacing w:after="20"/>
            </w:pPr>
            <w:r/>
            <w:r>
              <w:rPr>
                <w:rFonts w:ascii="Aptos" w:hAnsi="Aptos"/>
                <w:b w:val="0"/>
                <w:sz w:val="16"/>
              </w:rPr>
              <w:t>How unlike the closest known project is the candidate.</w:t>
            </w:r>
          </w:p>
        </w:tc>
        <w:tc>
          <w:tcPr>
            <w:tcW w:type="dxa" w:w="2541"/>
            <w:vAlign w:val="center"/>
          </w:tcPr>
          <w:p>
            <w:pPr>
              <w:spacing w:after="20"/>
            </w:pPr>
            <w:r/>
            <w:r>
              <w:rPr>
                <w:rFonts w:ascii="Aptos" w:hAnsi="Aptos"/>
                <w:b w:val="0"/>
                <w:sz w:val="16"/>
              </w:rPr>
              <w:t>Jaccard distance on normalized entity sets: dJ(A,B)=1−|A∩B|/|A∪B|. A semantic score may use 1−max cosine similarity to the nearest reference. If both are used, define how they are combined and normalized.</w:t>
            </w:r>
          </w:p>
        </w:tc>
        <w:tc>
          <w:tcPr>
            <w:tcW w:type="dxa" w:w="2541"/>
            <w:vAlign w:val="center"/>
          </w:tcPr>
          <w:p>
            <w:pPr>
              <w:spacing w:after="20"/>
            </w:pPr>
            <w:r/>
            <w:r>
              <w:rPr>
                <w:rFonts w:ascii="Aptos" w:hAnsi="Aptos"/>
                <w:b w:val="0"/>
                <w:sz w:val="16"/>
              </w:rPr>
              <w:t>High distance can result from extraction errors or a small corpus. A graph embedding similarity and entity-set Jaccard distance are different measures.</w:t>
            </w:r>
          </w:p>
        </w:tc>
      </w:tr>
      <w:tr>
        <w:tc>
          <w:tcPr>
            <w:tcW w:type="dxa" w:w="2541"/>
            <w:vAlign w:val="center"/>
          </w:tcPr>
          <w:p>
            <w:pPr>
              <w:spacing w:after="20"/>
            </w:pPr>
            <w:r/>
            <w:r>
              <w:rPr>
                <w:rFonts w:ascii="Aptos" w:hAnsi="Aptos"/>
                <w:b w:val="0"/>
                <w:sz w:val="16"/>
              </w:rPr>
              <w:t>2. Feature rarity</w:t>
            </w:r>
          </w:p>
        </w:tc>
        <w:tc>
          <w:tcPr>
            <w:tcW w:type="dxa" w:w="2541"/>
            <w:vAlign w:val="center"/>
          </w:tcPr>
          <w:p>
            <w:pPr>
              <w:spacing w:after="20"/>
            </w:pPr>
            <w:r/>
            <w:r>
              <w:rPr>
                <w:rFonts w:ascii="Aptos" w:hAnsi="Aptos"/>
                <w:b w:val="0"/>
                <w:sz w:val="16"/>
              </w:rPr>
              <w:t>How uncommon the project's individual features are in the corpus.</w:t>
            </w:r>
          </w:p>
        </w:tc>
        <w:tc>
          <w:tcPr>
            <w:tcW w:type="dxa" w:w="2541"/>
            <w:vAlign w:val="center"/>
          </w:tcPr>
          <w:p>
            <w:pPr>
              <w:spacing w:after="20"/>
            </w:pPr>
            <w:r/>
            <w:r>
              <w:rPr>
                <w:rFonts w:ascii="Aptos" w:hAnsi="Aptos"/>
                <w:b w:val="0"/>
                <w:sz w:val="16"/>
              </w:rPr>
              <w:t>A simple inverse frequency is 1/(count(feature)+1); a more stable information-style measure is log((N+1)/(df(feature)+1)). Normalize and average over candidate features.</w:t>
            </w:r>
          </w:p>
        </w:tc>
        <w:tc>
          <w:tcPr>
            <w:tcW w:type="dxa" w:w="2541"/>
            <w:vAlign w:val="center"/>
          </w:tcPr>
          <w:p>
            <w:pPr>
              <w:spacing w:after="20"/>
            </w:pPr>
            <w:r/>
            <w:r>
              <w:rPr>
                <w:rFonts w:ascii="Aptos" w:hAnsi="Aptos"/>
                <w:b w:val="0"/>
                <w:sz w:val="16"/>
              </w:rPr>
              <w:t>Rare does not mean useful, novel, or academically important. New/unrecognized features may be extraction errors.</w:t>
            </w:r>
          </w:p>
        </w:tc>
      </w:tr>
      <w:tr>
        <w:tc>
          <w:tcPr>
            <w:tcW w:type="dxa" w:w="2541"/>
            <w:vAlign w:val="center"/>
          </w:tcPr>
          <w:p>
            <w:pPr>
              <w:spacing w:after="20"/>
            </w:pPr>
            <w:r/>
            <w:r>
              <w:rPr>
                <w:rFonts w:ascii="Aptos" w:hAnsi="Aptos"/>
                <w:b w:val="0"/>
                <w:sz w:val="16"/>
              </w:rPr>
              <w:t>3. Relationship rarity</w:t>
            </w:r>
          </w:p>
        </w:tc>
        <w:tc>
          <w:tcPr>
            <w:tcW w:type="dxa" w:w="2541"/>
            <w:vAlign w:val="center"/>
          </w:tcPr>
          <w:p>
            <w:pPr>
              <w:spacing w:after="20"/>
            </w:pPr>
            <w:r/>
            <w:r>
              <w:rPr>
                <w:rFonts w:ascii="Aptos" w:hAnsi="Aptos"/>
                <w:b w:val="0"/>
                <w:sz w:val="16"/>
              </w:rPr>
              <w:t>How uncommon combinations of entities are (e.g., algorithm + application).</w:t>
            </w:r>
          </w:p>
        </w:tc>
        <w:tc>
          <w:tcPr>
            <w:tcW w:type="dxa" w:w="2541"/>
            <w:vAlign w:val="center"/>
          </w:tcPr>
          <w:p>
            <w:pPr>
              <w:spacing w:after="20"/>
            </w:pPr>
            <w:r/>
            <w:r>
              <w:rPr>
                <w:rFonts w:ascii="Aptos" w:hAnsi="Aptos"/>
                <w:b w:val="0"/>
                <w:sz w:val="16"/>
              </w:rPr>
              <w:t>For a pair occurring c times, one possible score is 1/(1+c), or a corpus-normalized rarity score. The exact definition must be frozen in code and documentation.</w:t>
            </w:r>
          </w:p>
        </w:tc>
        <w:tc>
          <w:tcPr>
            <w:tcW w:type="dxa" w:w="2541"/>
            <w:vAlign w:val="center"/>
          </w:tcPr>
          <w:p>
            <w:pPr>
              <w:spacing w:after="20"/>
            </w:pPr>
            <w:r/>
            <w:r>
              <w:rPr>
                <w:rFonts w:ascii="Aptos" w:hAnsi="Aptos"/>
                <w:b w:val="0"/>
                <w:sz w:val="16"/>
              </w:rPr>
              <w:t>The pair type and direction must be consistent. An unseen pair may be a normal combination absent from a small corpus.</w:t>
            </w:r>
          </w:p>
        </w:tc>
      </w:tr>
      <w:tr>
        <w:tc>
          <w:tcPr>
            <w:tcW w:type="dxa" w:w="2541"/>
            <w:vAlign w:val="center"/>
          </w:tcPr>
          <w:p>
            <w:pPr>
              <w:spacing w:after="20"/>
            </w:pPr>
            <w:r/>
            <w:r>
              <w:rPr>
                <w:rFonts w:ascii="Aptos" w:hAnsi="Aptos"/>
                <w:b w:val="0"/>
                <w:sz w:val="16"/>
              </w:rPr>
              <w:t>4. Graph-neighbourhood sparsity / density</w:t>
            </w:r>
          </w:p>
        </w:tc>
        <w:tc>
          <w:tcPr>
            <w:tcW w:type="dxa" w:w="2541"/>
            <w:vAlign w:val="center"/>
          </w:tcPr>
          <w:p>
            <w:pPr>
              <w:spacing w:after="20"/>
            </w:pPr>
            <w:r/>
            <w:r>
              <w:rPr>
                <w:rFonts w:ascii="Aptos" w:hAnsi="Aptos"/>
                <w:b w:val="0"/>
                <w:sz w:val="16"/>
              </w:rPr>
              <w:t>Whether the surrounding entity neighbourhood is densely connected or sparse.</w:t>
            </w:r>
          </w:p>
        </w:tc>
        <w:tc>
          <w:tcPr>
            <w:tcW w:type="dxa" w:w="2541"/>
            <w:vAlign w:val="center"/>
          </w:tcPr>
          <w:p>
            <w:pPr>
              <w:spacing w:after="20"/>
            </w:pPr>
            <w:r/>
            <w:r>
              <w:rPr>
                <w:rFonts w:ascii="Aptos" w:hAnsi="Aptos"/>
                <w:b w:val="0"/>
                <w:sz w:val="16"/>
              </w:rPr>
              <w:t>For a simple undirected graph, density=2E/[V(V−1)]. If the implementation uses local clustering, C_v=2e_v/[k_v(k_v−1)] for k_v≥2. Convert to novelty only with an explicitly defined direction/normalization.</w:t>
            </w:r>
          </w:p>
        </w:tc>
        <w:tc>
          <w:tcPr>
            <w:tcW w:type="dxa" w:w="2541"/>
            <w:vAlign w:val="center"/>
          </w:tcPr>
          <w:p>
            <w:pPr>
              <w:spacing w:after="20"/>
            </w:pPr>
            <w:r/>
            <w:r>
              <w:rPr>
                <w:rFonts w:ascii="Aptos" w:hAnsi="Aptos"/>
                <w:b w:val="0"/>
                <w:sz w:val="16"/>
              </w:rPr>
              <w:t>Density and clustering coefficient are not the same. Sparse does not automatically mean novel. Avoid switching between them without updating the method.</w:t>
            </w:r>
          </w:p>
        </w:tc>
      </w:tr>
      <w:tr>
        <w:tc>
          <w:tcPr>
            <w:tcW w:type="dxa" w:w="2541"/>
            <w:vAlign w:val="center"/>
          </w:tcPr>
          <w:p>
            <w:pPr>
              <w:spacing w:after="20"/>
            </w:pPr>
            <w:r/>
            <w:r>
              <w:rPr>
                <w:rFonts w:ascii="Aptos" w:hAnsi="Aptos"/>
                <w:b w:val="0"/>
                <w:sz w:val="16"/>
              </w:rPr>
              <w:t>5. New connection / Adamic–Adar</w:t>
            </w:r>
          </w:p>
        </w:tc>
        <w:tc>
          <w:tcPr>
            <w:tcW w:type="dxa" w:w="2541"/>
            <w:vAlign w:val="center"/>
          </w:tcPr>
          <w:p>
            <w:pPr>
              <w:spacing w:after="20"/>
            </w:pPr>
            <w:r/>
            <w:r>
              <w:rPr>
                <w:rFonts w:ascii="Aptos" w:hAnsi="Aptos"/>
                <w:b w:val="0"/>
                <w:sz w:val="16"/>
              </w:rPr>
              <w:t>Whether a relationship links entities that rarely share neighbours in the graph.</w:t>
            </w:r>
          </w:p>
        </w:tc>
        <w:tc>
          <w:tcPr>
            <w:tcW w:type="dxa" w:w="2541"/>
            <w:vAlign w:val="center"/>
          </w:tcPr>
          <w:p>
            <w:pPr>
              <w:spacing w:after="20"/>
            </w:pPr>
            <w:r/>
            <w:r>
              <w:rPr>
                <w:rFonts w:ascii="Aptos" w:hAnsi="Aptos"/>
                <w:b w:val="0"/>
                <w:sz w:val="16"/>
              </w:rPr>
              <w:t>Adamic–Adar(x,y)=Σ over common neighbours z of 1/log(degree(z)). The raw score is a link-prediction statistic; define how it is turned into a 0–100 novelty signal.</w:t>
            </w:r>
          </w:p>
        </w:tc>
        <w:tc>
          <w:tcPr>
            <w:tcW w:type="dxa" w:w="2541"/>
            <w:vAlign w:val="center"/>
          </w:tcPr>
          <w:p>
            <w:pPr>
              <w:spacing w:after="20"/>
            </w:pPr>
            <w:r/>
            <w:r>
              <w:rPr>
                <w:rFonts w:ascii="Aptos" w:hAnsi="Aptos"/>
                <w:b w:val="0"/>
                <w:sz w:val="16"/>
              </w:rPr>
              <w:t>Adamic–Adar normally measures link likelihood/relatedness, not novelty directly. To claim novelty, define and validate the transformation, including unseen-edge handling.</w:t>
            </w:r>
          </w:p>
        </w:tc>
      </w:tr>
    </w:tbl>
    <w:p/>
    <w:p>
      <w:r>
        <w:t>The current project materials include more than one draft of the novelty signal definitions and weights. One describes five signals generally; another implementation note uses graph distance, feature rarity, relationship rarity, neighbourhood density/clustering and new-connection discovery. Before reporting results, choose one version, list each signal's exact equation and weight, and make code, tests, report labels and paper use the same version.</w:t>
      </w:r>
    </w:p>
    <w:p>
      <w:r>
        <w:t>Recommended normalization pattern: compute each raw signal on the training/reference corpus; convert it to a consistent 0–100 direction using a documented transform; cap or robustly scale extreme values if justified; then combine using versioned weights that sum to 1. Do not use min-max parameters from the test set.</w:t>
      </w:r>
    </w:p>
    <w:p>
      <w:pPr>
        <w:pStyle w:val="Heading2"/>
      </w:pPr>
      <w:r>
        <w:t>4.3 Technical depth</w:t>
      </w:r>
    </w:p>
    <w:p>
      <w:r>
        <w:t>The project summary describes a heuristic score made from algorithm-complexity tiers (examples in the summary include Transformers/GNN=95 and SVM/CNN=80), stack breadth, and methodology indicators. The described weights are 40%, 30%, and 30%.</w:t>
      </w:r>
    </w:p>
    <w:p>
      <w:pPr>
        <w:jc w:val="center"/>
      </w:pPr>
      <w:r>
        <w:rPr>
          <w:b/>
        </w:rPr>
        <w:t>T = 0.40A + 0.30B + 0.30M</w:t>
      </w:r>
    </w:p>
    <w:p>
      <w:r>
        <w:t>A=algorithm tier score, B=technology/stack breadth, M=methodology indicators. This is a heuristic, not an objective ranking of algorithms. A transformer does not automatically make a project technically deeper than an SVM: the actual implementation, problem difficulty, experimental design, and understanding matter. Prefer a rubric with observable anchors (e.g., algorithm correctly implemented, justified, compared to baseline, tested, and analysed) over fixed prestige scores for algorithm names.</w:t>
      </w:r>
    </w:p>
    <w:p>
      <w:pPr>
        <w:pStyle w:val="Heading2"/>
      </w:pPr>
      <w:r>
        <w:t>4.4 Feasibility</w:t>
      </w:r>
    </w:p>
    <w:p>
      <w:r>
        <w:t>The supplied summary describes benchmark/dataset availability (40%), open-source toolchain maturity (30%), and hardware realism (30%).</w:t>
      </w:r>
    </w:p>
    <w:p>
      <w:pPr>
        <w:jc w:val="center"/>
      </w:pPr>
      <w:r>
        <w:rPr>
          <w:b/>
        </w:rPr>
        <w:t>F = 0.40D + 0.30O + 0.30H</w:t>
      </w:r>
    </w:p>
    <w:p>
      <w:r>
        <w:t>D=dataset/benchmark availability, O=toolchain maturity, H=hardware/resource realism. These weights are project-specific. Add explicit evidence: dataset licence/access, hardware budget, compute requirement, implementation timeline, dependencies, and known risks. A GitHub repository or popular library alone does not prove the project is feasible.</w:t>
      </w:r>
    </w:p>
    <w:p>
      <w:pPr>
        <w:pStyle w:val="Heading2"/>
      </w:pPr>
      <w:r>
        <w:t>4.5 Completeness</w:t>
      </w:r>
    </w:p>
    <w:p>
      <w:r>
        <w:t>The supplied summary describes eight expected report-section tokens (60%), word-count adequacy (25%), and repository presence (15%).</w:t>
      </w:r>
    </w:p>
    <w:p>
      <w:pPr>
        <w:jc w:val="center"/>
      </w:pPr>
      <w:r>
        <w:rPr>
          <w:b/>
        </w:rPr>
        <w:t>C = 0.60R + 0.25W + 0.15G</w:t>
      </w:r>
    </w:p>
    <w:p>
      <w:r>
        <w:t>R=section completeness, W=word-count adequacy, G=repository presence. Section coverage should be measured against the chosen template, with section-specific checks. Word count should have a sensible range rather than rewarding longer reports indefinitely. Repository presence should not count as proof that the code is functional; repository quality and reproducibility require separate checks.</w:t>
      </w:r>
    </w:p>
    <w:p>
      <w:pPr>
        <w:pStyle w:val="Heading2"/>
      </w:pPr>
      <w:r>
        <w:t>4.6 Clarity and writing</w:t>
      </w:r>
    </w:p>
    <w:p>
      <w:r>
        <w:t>The supplied summary describes Flesch Reading Ease (50%) and citation-related indicators (50%).</w:t>
      </w:r>
    </w:p>
    <w:p>
      <w:pPr>
        <w:jc w:val="center"/>
      </w:pPr>
      <w:r>
        <w:rPr>
          <w:b/>
        </w:rPr>
        <w:t>L = 0.50R + 0.50CIT</w:t>
      </w:r>
    </w:p>
    <w:p>
      <w:r>
        <w:t>R is a normalized readability score; CIT is a citation/rule-compliance score. The standard English Flesch Reading Ease formula is 206.835 − 1.015×(words/sentences) − 84.6×(syllables/words). It was designed as a readability indicator, not a direct measure of scientific clarity. It is language-sensitive and may behave poorly for equations, abbreviations, technical terms, tables, and non-English reports. Normalize it to the rubric range and test it against human writing-quality ratings. Citation presence does not prove citation correctness.</w:t>
      </w:r>
    </w:p>
    <w:p>
      <w:pPr>
        <w:pStyle w:val="Heading2"/>
      </w:pPr>
      <w:r>
        <w:t>4.7 Publication potential</w:t>
      </w:r>
    </w:p>
    <w:p>
      <w:r>
        <w:t>The supplied summary describes: 40% novelty, 40% trend velocity from a TrendBase CSV, and 20% citation rigour.</w:t>
      </w:r>
    </w:p>
    <w:p>
      <w:pPr>
        <w:jc w:val="center"/>
      </w:pPr>
      <w:r>
        <w:rPr>
          <w:b/>
        </w:rPr>
        <w:t>P = 0.40N + 0.40V + 0.20Q</w:t>
      </w:r>
    </w:p>
    <w:p>
      <w:r>
        <w:t>N=novelty, V=trend velocity, Q=citation rigour. Define trend velocity explicitly (for example, growth in relevant papers per year, with the time window and source fixed). Trend data should be traceable to a scholarly source and timestamp. A hot topic is not automatically publishable; publication potential also depends on a clear research question, valid methods, reproducible results, comparison to prior work, and meaningful contribution. Treat this score as an advisory estimate, not a prediction of acceptance.</w:t>
      </w:r>
    </w:p>
    <w:p>
      <w:pPr>
        <w:pStyle w:val="Heading2"/>
      </w:pPr>
      <w:r>
        <w:t>4.8 Similarity / plagiarism risk</w:t>
      </w:r>
    </w:p>
    <w:p>
      <w:r>
        <w:t>The supplied summary describes a combined risk formula: Risk = (0.60 × maximum text cosine + 0.40 × maximum code Jaccard) × 100. This is a project-specific design choice, not a universal plagiarism formula.</w:t>
      </w:r>
    </w:p>
    <w:p>
      <w:r>
        <w:t>Critical design issue: the maximum text similarity and maximum code similarity could come from different source documents. Combining them can produce a risk number that does not describe any single source. Better default: report text similarity, code similarity, and source-level evidence separately. If a single combined number is retained, test and document its weighting on labelled cases and make clear that it is a triage score, not a plagiarism verdict.</w:t>
      </w:r>
    </w:p>
    <w:p>
      <w:r>
        <w:t>Risk bands such as Low/Medium/High/Critical are policy thresholds. They must be non-overlapping, cover the full scale, and be calibrated on labelled examples. For example, [0,25), [25,50), [50,75), [75,100] is a mathematically clear partition, but the values are not valid thresholds until evaluated.</w:t>
      </w:r>
    </w:p>
    <w:p>
      <w:pPr>
        <w:pStyle w:val="Heading1"/>
      </w:pPr>
      <w:r>
        <w:t>5. Plagiarism detection: full proposed design</w:t>
      </w:r>
    </w:p>
    <w:p>
      <w:pPr>
        <w:pStyle w:val="Heading2"/>
      </w:pPr>
      <w:r>
        <w:t>5.1 What the system can and cannot claim</w:t>
      </w:r>
    </w:p>
    <w:p>
      <w:r>
        <w:t>AcadEval+ should say “matching text/code found in the searched corpus” or “potential plagiarism requiring review,” not “plagiarism proven.” A similarity engine measures overlap with available sources. A human reviewer considers attribution, quotation, reference sections, standard terminology, boilerplate, legitimate reuse, and the institution's policy. Turnitin's own guidance makes the same distinction: its report surfaces matches; the score alone does not determine plagiarism.</w:t>
      </w:r>
    </w:p>
    <w:p>
      <w:pPr>
        <w:pStyle w:val="Heading2"/>
      </w:pPr>
      <w:r>
        <w:t>5.2 Sources / databases to build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CFE2F3"/>
          </w:tcPr>
          <w:p>
            <w:pPr>
              <w:spacing w:after="20"/>
            </w:pPr>
            <w:r/>
            <w:r>
              <w:rPr>
                <w:rFonts w:ascii="Aptos" w:hAnsi="Aptos"/>
                <w:b/>
                <w:sz w:val="17"/>
              </w:rPr>
              <w:t>Corpus / data source</w:t>
            </w:r>
          </w:p>
        </w:tc>
        <w:tc>
          <w:tcPr>
            <w:tcW w:type="dxa" w:w="2541"/>
            <w:vAlign w:val="center"/>
            <w:shd w:fill="CFE2F3"/>
          </w:tcPr>
          <w:p>
            <w:pPr>
              <w:spacing w:after="20"/>
            </w:pPr>
            <w:r/>
            <w:r>
              <w:rPr>
                <w:rFonts w:ascii="Aptos" w:hAnsi="Aptos"/>
                <w:b/>
                <w:sz w:val="17"/>
              </w:rPr>
              <w:t>Content to store</w:t>
            </w:r>
          </w:p>
        </w:tc>
        <w:tc>
          <w:tcPr>
            <w:tcW w:type="dxa" w:w="2541"/>
            <w:vAlign w:val="center"/>
            <w:shd w:fill="CFE2F3"/>
          </w:tcPr>
          <w:p>
            <w:pPr>
              <w:spacing w:after="20"/>
            </w:pPr>
            <w:r/>
            <w:r>
              <w:rPr>
                <w:rFonts w:ascii="Aptos" w:hAnsi="Aptos"/>
                <w:b/>
                <w:sz w:val="17"/>
              </w:rPr>
              <w:t>Purpose and comparison</w:t>
            </w:r>
          </w:p>
        </w:tc>
        <w:tc>
          <w:tcPr>
            <w:tcW w:type="dxa" w:w="2541"/>
            <w:vAlign w:val="center"/>
            <w:shd w:fill="CFE2F3"/>
          </w:tcPr>
          <w:p>
            <w:pPr>
              <w:spacing w:after="20"/>
            </w:pPr>
            <w:r/>
            <w:r>
              <w:rPr>
                <w:rFonts w:ascii="Aptos" w:hAnsi="Aptos"/>
                <w:b/>
                <w:sz w:val="17"/>
              </w:rPr>
              <w:t>Priority / limitations</w:t>
            </w:r>
          </w:p>
        </w:tc>
      </w:tr>
      <w:tr>
        <w:tc>
          <w:tcPr>
            <w:tcW w:type="dxa" w:w="2541"/>
            <w:vAlign w:val="center"/>
          </w:tcPr>
          <w:p>
            <w:pPr>
              <w:spacing w:after="20"/>
            </w:pPr>
            <w:r/>
            <w:r>
              <w:rPr>
                <w:rFonts w:ascii="Aptos" w:hAnsi="Aptos"/>
                <w:b w:val="0"/>
                <w:sz w:val="16"/>
              </w:rPr>
              <w:t>A. Institutional project corpus</w:t>
            </w:r>
          </w:p>
        </w:tc>
        <w:tc>
          <w:tcPr>
            <w:tcW w:type="dxa" w:w="2541"/>
            <w:vAlign w:val="center"/>
          </w:tcPr>
          <w:p>
            <w:pPr>
              <w:spacing w:after="20"/>
            </w:pPr>
            <w:r/>
            <w:r>
              <w:rPr>
                <w:rFonts w:ascii="Aptos" w:hAnsi="Aptos"/>
                <w:b w:val="0"/>
                <w:sz w:val="16"/>
              </w:rPr>
              <w:t>Past project titles, abstracts, reports, methodology, conclusions, code files, metadata, cohort and submission date.</w:t>
            </w:r>
          </w:p>
        </w:tc>
        <w:tc>
          <w:tcPr>
            <w:tcW w:type="dxa" w:w="2541"/>
            <w:vAlign w:val="center"/>
          </w:tcPr>
          <w:p>
            <w:pPr>
              <w:spacing w:after="20"/>
            </w:pPr>
            <w:r/>
            <w:r>
              <w:rPr>
                <w:rFonts w:ascii="Aptos" w:hAnsi="Aptos"/>
                <w:b w:val="0"/>
                <w:sz w:val="16"/>
              </w:rPr>
              <w:t>Detect reuse between students/projects from the same institution; source attribution can point to a stored project and exact section.</w:t>
            </w:r>
          </w:p>
        </w:tc>
        <w:tc>
          <w:tcPr>
            <w:tcW w:type="dxa" w:w="2541"/>
            <w:vAlign w:val="center"/>
          </w:tcPr>
          <w:p>
            <w:pPr>
              <w:spacing w:after="20"/>
            </w:pPr>
            <w:r/>
            <w:r>
              <w:rPr>
                <w:rFonts w:ascii="Aptos" w:hAnsi="Aptos"/>
                <w:b w:val="0"/>
                <w:sz w:val="16"/>
              </w:rPr>
              <w:t>Highest priority. Requires permission, access control, retention policy and duplicate handling.</w:t>
            </w:r>
          </w:p>
        </w:tc>
      </w:tr>
      <w:tr>
        <w:tc>
          <w:tcPr>
            <w:tcW w:type="dxa" w:w="2541"/>
            <w:vAlign w:val="center"/>
          </w:tcPr>
          <w:p>
            <w:pPr>
              <w:spacing w:after="20"/>
            </w:pPr>
            <w:r/>
            <w:r>
              <w:rPr>
                <w:rFonts w:ascii="Aptos" w:hAnsi="Aptos"/>
                <w:b w:val="0"/>
                <w:sz w:val="16"/>
              </w:rPr>
              <w:t>B. Curated scholarly corpus</w:t>
            </w:r>
          </w:p>
        </w:tc>
        <w:tc>
          <w:tcPr>
            <w:tcW w:type="dxa" w:w="2541"/>
            <w:vAlign w:val="center"/>
          </w:tcPr>
          <w:p>
            <w:pPr>
              <w:spacing w:after="20"/>
            </w:pPr>
            <w:r/>
            <w:r>
              <w:rPr>
                <w:rFonts w:ascii="Aptos" w:hAnsi="Aptos"/>
                <w:b w:val="0"/>
                <w:sz w:val="16"/>
              </w:rPr>
              <w:t>Open-access papers and preprints where full text can legally be stored; abstracts/metadata for other records; DOI, title, authors, year, URL/licence.</w:t>
            </w:r>
          </w:p>
        </w:tc>
        <w:tc>
          <w:tcPr>
            <w:tcW w:type="dxa" w:w="2541"/>
            <w:vAlign w:val="center"/>
          </w:tcPr>
          <w:p>
            <w:pPr>
              <w:spacing w:after="20"/>
            </w:pPr>
            <w:r/>
            <w:r>
              <w:rPr>
                <w:rFonts w:ascii="Aptos" w:hAnsi="Aptos"/>
                <w:b w:val="0"/>
                <w:sz w:val="16"/>
              </w:rPr>
              <w:t>Compare report passages to literature and provide prior-work candidates. Abstract-only records are useful for discovery but weak for passage-level plagiarism evidence.</w:t>
            </w:r>
          </w:p>
        </w:tc>
        <w:tc>
          <w:tcPr>
            <w:tcW w:type="dxa" w:w="2541"/>
            <w:vAlign w:val="center"/>
          </w:tcPr>
          <w:p>
            <w:pPr>
              <w:spacing w:after="20"/>
            </w:pPr>
            <w:r/>
            <w:r>
              <w:rPr>
                <w:rFonts w:ascii="Aptos" w:hAnsi="Aptos"/>
                <w:b w:val="0"/>
                <w:sz w:val="16"/>
              </w:rPr>
              <w:t>High priority. Respect licences; metadata API access is not the same as full-text rights.</w:t>
            </w:r>
          </w:p>
        </w:tc>
      </w:tr>
      <w:tr>
        <w:tc>
          <w:tcPr>
            <w:tcW w:type="dxa" w:w="2541"/>
            <w:vAlign w:val="center"/>
          </w:tcPr>
          <w:p>
            <w:pPr>
              <w:spacing w:after="20"/>
            </w:pPr>
            <w:r/>
            <w:r>
              <w:rPr>
                <w:rFonts w:ascii="Aptos" w:hAnsi="Aptos"/>
                <w:b w:val="0"/>
                <w:sz w:val="16"/>
              </w:rPr>
              <w:t>C. External scholarly discovery</w:t>
            </w:r>
          </w:p>
        </w:tc>
        <w:tc>
          <w:tcPr>
            <w:tcW w:type="dxa" w:w="2541"/>
            <w:vAlign w:val="center"/>
          </w:tcPr>
          <w:p>
            <w:pPr>
              <w:spacing w:after="20"/>
            </w:pPr>
            <w:r/>
            <w:r>
              <w:rPr>
                <w:rFonts w:ascii="Aptos" w:hAnsi="Aptos"/>
                <w:b w:val="0"/>
                <w:sz w:val="16"/>
              </w:rPr>
              <w:t>OpenAlex/Crossref/Semantic Scholar or similar metadata/search APIs, plus accessible repository links.</w:t>
            </w:r>
          </w:p>
        </w:tc>
        <w:tc>
          <w:tcPr>
            <w:tcW w:type="dxa" w:w="2541"/>
            <w:vAlign w:val="center"/>
          </w:tcPr>
          <w:p>
            <w:pPr>
              <w:spacing w:after="20"/>
            </w:pPr>
            <w:r/>
            <w:r>
              <w:rPr>
                <w:rFonts w:ascii="Aptos" w:hAnsi="Aptos"/>
                <w:b w:val="0"/>
                <w:sz w:val="16"/>
              </w:rPr>
              <w:t>Find candidate papers by title/abstract/topic/citations; fetch full text only where accessible and permitted.</w:t>
            </w:r>
          </w:p>
        </w:tc>
        <w:tc>
          <w:tcPr>
            <w:tcW w:type="dxa" w:w="2541"/>
            <w:vAlign w:val="center"/>
          </w:tcPr>
          <w:p>
            <w:pPr>
              <w:spacing w:after="20"/>
            </w:pPr>
            <w:r/>
            <w:r>
              <w:rPr>
                <w:rFonts w:ascii="Aptos" w:hAnsi="Aptos"/>
                <w:b w:val="0"/>
                <w:sz w:val="16"/>
              </w:rPr>
              <w:t>High priority for source discovery. Metadata-only records cannot establish exact copied text.</w:t>
            </w:r>
          </w:p>
        </w:tc>
      </w:tr>
      <w:tr>
        <w:tc>
          <w:tcPr>
            <w:tcW w:type="dxa" w:w="2541"/>
            <w:vAlign w:val="center"/>
          </w:tcPr>
          <w:p>
            <w:pPr>
              <w:spacing w:after="20"/>
            </w:pPr>
            <w:r/>
            <w:r>
              <w:rPr>
                <w:rFonts w:ascii="Aptos" w:hAnsi="Aptos"/>
                <w:b w:val="0"/>
                <w:sz w:val="16"/>
              </w:rPr>
              <w:t>D. Web-source corpus / retrieval</w:t>
            </w:r>
          </w:p>
        </w:tc>
        <w:tc>
          <w:tcPr>
            <w:tcW w:type="dxa" w:w="2541"/>
            <w:vAlign w:val="center"/>
          </w:tcPr>
          <w:p>
            <w:pPr>
              <w:spacing w:after="20"/>
            </w:pPr>
            <w:r/>
            <w:r>
              <w:rPr>
                <w:rFonts w:ascii="Aptos" w:hAnsi="Aptos"/>
                <w:b w:val="0"/>
                <w:sz w:val="16"/>
              </w:rPr>
              <w:t>Search-engine results or pages that can be accessed and indexed under applicable terms; store URL, title, retrieval date, passage and content hash where allowed.</w:t>
            </w:r>
          </w:p>
        </w:tc>
        <w:tc>
          <w:tcPr>
            <w:tcW w:type="dxa" w:w="2541"/>
            <w:vAlign w:val="center"/>
          </w:tcPr>
          <w:p>
            <w:pPr>
              <w:spacing w:after="20"/>
            </w:pPr>
            <w:r/>
            <w:r>
              <w:rPr>
                <w:rFonts w:ascii="Aptos" w:hAnsi="Aptos"/>
                <w:b w:val="0"/>
                <w:sz w:val="16"/>
              </w:rPr>
              <w:t>Find online sources absent from the internal corpus and display exact matches.</w:t>
            </w:r>
          </w:p>
        </w:tc>
        <w:tc>
          <w:tcPr>
            <w:tcW w:type="dxa" w:w="2541"/>
            <w:vAlign w:val="center"/>
          </w:tcPr>
          <w:p>
            <w:pPr>
              <w:spacing w:after="20"/>
            </w:pPr>
            <w:r/>
            <w:r>
              <w:rPr>
                <w:rFonts w:ascii="Aptos" w:hAnsi="Aptos"/>
                <w:b w:val="0"/>
                <w:sz w:val="16"/>
              </w:rPr>
              <w:t>Later phase. Avoid unapproved crawling, paywall circumvention or assuming broad web coverage.</w:t>
            </w:r>
          </w:p>
        </w:tc>
      </w:tr>
      <w:tr>
        <w:tc>
          <w:tcPr>
            <w:tcW w:type="dxa" w:w="2541"/>
            <w:vAlign w:val="center"/>
          </w:tcPr>
          <w:p>
            <w:pPr>
              <w:spacing w:after="20"/>
            </w:pPr>
            <w:r/>
            <w:r>
              <w:rPr>
                <w:rFonts w:ascii="Aptos" w:hAnsi="Aptos"/>
                <w:b w:val="0"/>
                <w:sz w:val="16"/>
              </w:rPr>
              <w:t>E. Code corpus</w:t>
            </w:r>
          </w:p>
        </w:tc>
        <w:tc>
          <w:tcPr>
            <w:tcW w:type="dxa" w:w="2541"/>
            <w:vAlign w:val="center"/>
          </w:tcPr>
          <w:p>
            <w:pPr>
              <w:spacing w:after="20"/>
            </w:pPr>
            <w:r/>
            <w:r>
              <w:rPr>
                <w:rFonts w:ascii="Aptos" w:hAnsi="Aptos"/>
                <w:b w:val="0"/>
                <w:sz w:val="16"/>
              </w:rPr>
              <w:t>Student repositories, authorised public GitHub repos, starter code, templates and known assignment scaffolds.</w:t>
            </w:r>
          </w:p>
        </w:tc>
        <w:tc>
          <w:tcPr>
            <w:tcW w:type="dxa" w:w="2541"/>
            <w:vAlign w:val="center"/>
          </w:tcPr>
          <w:p>
            <w:pPr>
              <w:spacing w:after="20"/>
            </w:pPr>
            <w:r/>
            <w:r>
              <w:rPr>
                <w:rFonts w:ascii="Aptos" w:hAnsi="Aptos"/>
                <w:b w:val="0"/>
                <w:sz w:val="16"/>
              </w:rPr>
              <w:t>Compare normalized token sequences and fingerprints; identify likely code reuse with source paths and line ranges.</w:t>
            </w:r>
          </w:p>
        </w:tc>
        <w:tc>
          <w:tcPr>
            <w:tcW w:type="dxa" w:w="2541"/>
            <w:vAlign w:val="center"/>
          </w:tcPr>
          <w:p>
            <w:pPr>
              <w:spacing w:after="20"/>
            </w:pPr>
            <w:r/>
            <w:r>
              <w:rPr>
                <w:rFonts w:ascii="Aptos" w:hAnsi="Aptos"/>
                <w:b w:val="0"/>
                <w:sz w:val="16"/>
              </w:rPr>
              <w:t>High priority for code-heavy projects. Exclude common generated/vendor files and shared starter code or label them separately.</w:t>
            </w:r>
          </w:p>
        </w:tc>
      </w:tr>
      <w:tr>
        <w:tc>
          <w:tcPr>
            <w:tcW w:type="dxa" w:w="2541"/>
            <w:vAlign w:val="center"/>
          </w:tcPr>
          <w:p>
            <w:pPr>
              <w:spacing w:after="20"/>
            </w:pPr>
            <w:r/>
            <w:r>
              <w:rPr>
                <w:rFonts w:ascii="Aptos" w:hAnsi="Aptos"/>
                <w:b w:val="0"/>
                <w:sz w:val="16"/>
              </w:rPr>
              <w:t>F. PPTX/RTF/DOCX/PDF repository</w:t>
            </w:r>
          </w:p>
        </w:tc>
        <w:tc>
          <w:tcPr>
            <w:tcW w:type="dxa" w:w="2541"/>
            <w:vAlign w:val="center"/>
          </w:tcPr>
          <w:p>
            <w:pPr>
              <w:spacing w:after="20"/>
            </w:pPr>
            <w:r/>
            <w:r>
              <w:rPr>
                <w:rFonts w:ascii="Aptos" w:hAnsi="Aptos"/>
                <w:b w:val="0"/>
                <w:sz w:val="16"/>
              </w:rPr>
              <w:t>Extracted text plus page/slide/section coordinates, original file hash and file metadata.</w:t>
            </w:r>
          </w:p>
        </w:tc>
        <w:tc>
          <w:tcPr>
            <w:tcW w:type="dxa" w:w="2541"/>
            <w:vAlign w:val="center"/>
          </w:tcPr>
          <w:p>
            <w:pPr>
              <w:spacing w:after="20"/>
            </w:pPr>
            <w:r/>
            <w:r>
              <w:rPr>
                <w:rFonts w:ascii="Aptos" w:hAnsi="Aptos"/>
                <w:b w:val="0"/>
                <w:sz w:val="16"/>
              </w:rPr>
              <w:t>Compare presentations, reports and documents in a common passage index.</w:t>
            </w:r>
          </w:p>
        </w:tc>
        <w:tc>
          <w:tcPr>
            <w:tcW w:type="dxa" w:w="2541"/>
            <w:vAlign w:val="center"/>
          </w:tcPr>
          <w:p>
            <w:pPr>
              <w:spacing w:after="20"/>
            </w:pPr>
            <w:r/>
            <w:r>
              <w:rPr>
                <w:rFonts w:ascii="Aptos" w:hAnsi="Aptos"/>
                <w:b w:val="0"/>
                <w:sz w:val="16"/>
              </w:rPr>
              <w:t>High priority if students submit multiple formats. OCR and extraction quality must be measured.</w:t>
            </w:r>
          </w:p>
        </w:tc>
      </w:tr>
      <w:tr>
        <w:tc>
          <w:tcPr>
            <w:tcW w:type="dxa" w:w="2541"/>
            <w:vAlign w:val="center"/>
          </w:tcPr>
          <w:p>
            <w:pPr>
              <w:spacing w:after="20"/>
            </w:pPr>
            <w:r/>
            <w:r>
              <w:rPr>
                <w:rFonts w:ascii="Aptos" w:hAnsi="Aptos"/>
                <w:b w:val="0"/>
                <w:sz w:val="16"/>
              </w:rPr>
              <w:t>G. Known-pair benchmark</w:t>
            </w:r>
          </w:p>
        </w:tc>
        <w:tc>
          <w:tcPr>
            <w:tcW w:type="dxa" w:w="2541"/>
            <w:vAlign w:val="center"/>
          </w:tcPr>
          <w:p>
            <w:pPr>
              <w:spacing w:after="20"/>
            </w:pPr>
            <w:r/>
            <w:r>
              <w:rPr>
                <w:rFonts w:ascii="Aptos" w:hAnsi="Aptos"/>
                <w:b w:val="0"/>
                <w:sz w:val="16"/>
              </w:rPr>
              <w:t>Manually labelled document/code pairs: copied, paraphrased, properly quoted/cited, common template, independent/original, unknown.</w:t>
            </w:r>
          </w:p>
        </w:tc>
        <w:tc>
          <w:tcPr>
            <w:tcW w:type="dxa" w:w="2541"/>
            <w:vAlign w:val="center"/>
          </w:tcPr>
          <w:p>
            <w:pPr>
              <w:spacing w:after="20"/>
            </w:pPr>
            <w:r/>
            <w:r>
              <w:rPr>
                <w:rFonts w:ascii="Aptos" w:hAnsi="Aptos"/>
                <w:b w:val="0"/>
                <w:sz w:val="16"/>
              </w:rPr>
              <w:t>Measure detection quality and choose thresholds without guessing.</w:t>
            </w:r>
          </w:p>
        </w:tc>
        <w:tc>
          <w:tcPr>
            <w:tcW w:type="dxa" w:w="2541"/>
            <w:vAlign w:val="center"/>
          </w:tcPr>
          <w:p>
            <w:pPr>
              <w:spacing w:after="20"/>
            </w:pPr>
            <w:r/>
            <w:r>
              <w:rPr>
                <w:rFonts w:ascii="Aptos" w:hAnsi="Aptos"/>
                <w:b w:val="0"/>
                <w:sz w:val="16"/>
              </w:rPr>
              <w:t>Essential for claiming accuracy. Keep train/dev/test splits separate.</w:t>
            </w:r>
          </w:p>
        </w:tc>
      </w:tr>
    </w:tbl>
    <w:p/>
    <w:p>
      <w:pPr>
        <w:pStyle w:val="Heading2"/>
      </w:pPr>
      <w:r>
        <w:t>5.3 How each detector works</w:t>
      </w:r>
    </w:p>
    <w:p>
      <w:pPr>
        <w:pStyle w:val="Heading3"/>
      </w:pPr>
      <w:r>
        <w:t>Text: TF-IDF and cosine similarity</w:t>
      </w:r>
    </w:p>
    <w:p>
      <w:r>
        <w:t>1) Split the submission and each source into passages (for example, paragraphs or overlapping word windows). 2) Normalize text and optionally remove common stop words for one comparison view. 3) Build a TF-IDF vector for each passage. 4) Compare vectors with cosine similarity. 5) Keep the strongest candidate matches and the exact source spans.</w:t>
      </w:r>
    </w:p>
    <w:p>
      <w:r>
        <w:t>The supplied TF-IDF variant is: IDF(w)=ln((N+1)/(DF(w)+1))+1; TF(w,d)=count(w,d)/total_tokens(d); weight=TF×IDF; cosine(A,B)=(A·B)/(|A||B|). N is the number of corpus documents; DF(w) is the number of documents containing the term. This is a standard family of information-retrieval techniques, but smoothing and tokenization choices are implementation choices. Fit the IDF vocabulary on the corpus/training data and version it.</w:t>
      </w:r>
    </w:p>
    <w:p>
      <w:r>
        <w:t>TF-IDF works best for shared wording. It can miss paraphrases and can flag standard phrases. Document-level cosine alone is not enough for source attribution: passage-level alignment is needed.</w:t>
      </w:r>
    </w:p>
    <w:p>
      <w:pPr>
        <w:pStyle w:val="Heading3"/>
      </w:pPr>
      <w:r>
        <w:t>Semantic similarity: BERT/Sentence-Transformers</w:t>
      </w:r>
    </w:p>
    <w:p>
      <w:r>
        <w:t>Encode the submitted passage and candidate source passages into vectors using a documented model, then calculate cosine similarity. This can retrieve similar meanings when the words differ. It is not a source search engine and does not prove copying. Use it to retrieve candidates; then show the actual passages and let the reviewer assess the relationship. Record model name/version and thresholds.</w:t>
      </w:r>
    </w:p>
    <w:p>
      <w:pPr>
        <w:pStyle w:val="Heading3"/>
      </w:pPr>
      <w:r>
        <w:t>Code similarity: token normalization, k-grams and winnowing</w:t>
      </w:r>
    </w:p>
    <w:p>
      <w:r>
        <w:t>A possible pipeline strips comments carefully, normalizes literals, tokenizes by language, optionally normalizes identifiers, creates k-grams, hashes them, and uses winnowing to select fingerprints. Compare fingerprint sets with Jaccard similarity: |A∩B|/|A∪B|. The published Winnowing method is a recognised document-fingerprinting approach. The project's described “MD5-based 32-bit Rabin fingerprints” wording should be checked in source code: MD5 and Rabin fingerprinting are different hashing approaches and should not be described as the same algorithm unless the implementation truly combines them in a clearly defined way.</w:t>
      </w:r>
    </w:p>
    <w:p>
      <w:r>
        <w:t>Test across formatting changes, renamed variables, moved code blocks, different programming languages, starter templates, generated files and common library boilerplate. Do not treat shared assignment starter code as plagiarism without policy-aware filtering.</w:t>
      </w:r>
    </w:p>
    <w:p>
      <w:pPr>
        <w:pStyle w:val="Heading2"/>
      </w:pPr>
      <w:r>
        <w:t>5.4 Source evidence record (minimum)</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FE2F3"/>
          </w:tcPr>
          <w:p>
            <w:pPr>
              <w:spacing w:after="20"/>
            </w:pPr>
            <w:r/>
            <w:r>
              <w:rPr>
                <w:rFonts w:ascii="Aptos" w:hAnsi="Aptos"/>
                <w:b/>
                <w:sz w:val="17"/>
              </w:rPr>
              <w:t>Field</w:t>
            </w:r>
          </w:p>
        </w:tc>
        <w:tc>
          <w:tcPr>
            <w:tcW w:type="dxa" w:w="5083"/>
            <w:vAlign w:val="center"/>
            <w:shd w:fill="CFE2F3"/>
          </w:tcPr>
          <w:p>
            <w:pPr>
              <w:spacing w:after="20"/>
            </w:pPr>
            <w:r/>
            <w:r>
              <w:rPr>
                <w:rFonts w:ascii="Aptos" w:hAnsi="Aptos"/>
                <w:b/>
                <w:sz w:val="17"/>
              </w:rPr>
              <w:t>Why it is needed</w:t>
            </w:r>
          </w:p>
        </w:tc>
      </w:tr>
      <w:tr>
        <w:tc>
          <w:tcPr>
            <w:tcW w:type="dxa" w:w="5083"/>
            <w:vAlign w:val="center"/>
          </w:tcPr>
          <w:p>
            <w:pPr>
              <w:spacing w:after="20"/>
            </w:pPr>
            <w:r/>
            <w:r>
              <w:rPr>
                <w:rFonts w:ascii="Aptos" w:hAnsi="Aptos"/>
                <w:b w:val="0"/>
                <w:sz w:val="16"/>
              </w:rPr>
              <w:t>submission_id and source_document_id</w:t>
            </w:r>
          </w:p>
        </w:tc>
        <w:tc>
          <w:tcPr>
            <w:tcW w:type="dxa" w:w="5083"/>
            <w:vAlign w:val="center"/>
          </w:tcPr>
          <w:p>
            <w:pPr>
              <w:spacing w:after="20"/>
            </w:pPr>
            <w:r/>
            <w:r>
              <w:rPr>
                <w:rFonts w:ascii="Aptos" w:hAnsi="Aptos"/>
                <w:b w:val="0"/>
                <w:sz w:val="16"/>
              </w:rPr>
              <w:t>Links the candidate and comparison source.</w:t>
            </w:r>
          </w:p>
        </w:tc>
      </w:tr>
      <w:tr>
        <w:tc>
          <w:tcPr>
            <w:tcW w:type="dxa" w:w="5083"/>
            <w:vAlign w:val="center"/>
          </w:tcPr>
          <w:p>
            <w:pPr>
              <w:spacing w:after="20"/>
            </w:pPr>
            <w:r/>
            <w:r>
              <w:rPr>
                <w:rFonts w:ascii="Aptos" w:hAnsi="Aptos"/>
                <w:b w:val="0"/>
                <w:sz w:val="16"/>
              </w:rPr>
              <w:t>source_title, author/owner, DOI/URL, source_type</w:t>
            </w:r>
          </w:p>
        </w:tc>
        <w:tc>
          <w:tcPr>
            <w:tcW w:type="dxa" w:w="5083"/>
            <w:vAlign w:val="center"/>
          </w:tcPr>
          <w:p>
            <w:pPr>
              <w:spacing w:after="20"/>
            </w:pPr>
            <w:r/>
            <w:r>
              <w:rPr>
                <w:rFonts w:ascii="Aptos" w:hAnsi="Aptos"/>
                <w:b w:val="0"/>
                <w:sz w:val="16"/>
              </w:rPr>
              <w:t>Identifies where the match came from.</w:t>
            </w:r>
          </w:p>
        </w:tc>
      </w:tr>
      <w:tr>
        <w:tc>
          <w:tcPr>
            <w:tcW w:type="dxa" w:w="5083"/>
            <w:vAlign w:val="center"/>
          </w:tcPr>
          <w:p>
            <w:pPr>
              <w:spacing w:after="20"/>
            </w:pPr>
            <w:r/>
            <w:r>
              <w:rPr>
                <w:rFonts w:ascii="Aptos" w:hAnsi="Aptos"/>
                <w:b w:val="0"/>
                <w:sz w:val="16"/>
              </w:rPr>
              <w:t>retrieved_at, corpus_version, licence/access note</w:t>
            </w:r>
          </w:p>
        </w:tc>
        <w:tc>
          <w:tcPr>
            <w:tcW w:type="dxa" w:w="5083"/>
            <w:vAlign w:val="center"/>
          </w:tcPr>
          <w:p>
            <w:pPr>
              <w:spacing w:after="20"/>
            </w:pPr>
            <w:r/>
            <w:r>
              <w:rPr>
                <w:rFonts w:ascii="Aptos" w:hAnsi="Aptos"/>
                <w:b w:val="0"/>
                <w:sz w:val="16"/>
              </w:rPr>
              <w:t>Makes the result reproducible and auditable.</w:t>
            </w:r>
          </w:p>
        </w:tc>
      </w:tr>
      <w:tr>
        <w:tc>
          <w:tcPr>
            <w:tcW w:type="dxa" w:w="5083"/>
            <w:vAlign w:val="center"/>
          </w:tcPr>
          <w:p>
            <w:pPr>
              <w:spacing w:after="20"/>
            </w:pPr>
            <w:r/>
            <w:r>
              <w:rPr>
                <w:rFonts w:ascii="Aptos" w:hAnsi="Aptos"/>
                <w:b w:val="0"/>
                <w:sz w:val="16"/>
              </w:rPr>
              <w:t>candidate passage + start/end offsets</w:t>
            </w:r>
          </w:p>
        </w:tc>
        <w:tc>
          <w:tcPr>
            <w:tcW w:type="dxa" w:w="5083"/>
            <w:vAlign w:val="center"/>
          </w:tcPr>
          <w:p>
            <w:pPr>
              <w:spacing w:after="20"/>
            </w:pPr>
            <w:r/>
            <w:r>
              <w:rPr>
                <w:rFonts w:ascii="Aptos" w:hAnsi="Aptos"/>
                <w:b w:val="0"/>
                <w:sz w:val="16"/>
              </w:rPr>
              <w:t>Shows what in the submitted work matched.</w:t>
            </w:r>
          </w:p>
        </w:tc>
      </w:tr>
      <w:tr>
        <w:tc>
          <w:tcPr>
            <w:tcW w:type="dxa" w:w="5083"/>
            <w:vAlign w:val="center"/>
          </w:tcPr>
          <w:p>
            <w:pPr>
              <w:spacing w:after="20"/>
            </w:pPr>
            <w:r/>
            <w:r>
              <w:rPr>
                <w:rFonts w:ascii="Aptos" w:hAnsi="Aptos"/>
                <w:b w:val="0"/>
                <w:sz w:val="16"/>
              </w:rPr>
              <w:t>source passage + page/section/slide/line offsets</w:t>
            </w:r>
          </w:p>
        </w:tc>
        <w:tc>
          <w:tcPr>
            <w:tcW w:type="dxa" w:w="5083"/>
            <w:vAlign w:val="center"/>
          </w:tcPr>
          <w:p>
            <w:pPr>
              <w:spacing w:after="20"/>
            </w:pPr>
            <w:r/>
            <w:r>
              <w:rPr>
                <w:rFonts w:ascii="Aptos" w:hAnsi="Aptos"/>
                <w:b w:val="0"/>
                <w:sz w:val="16"/>
              </w:rPr>
              <w:t>Lets a reviewer inspect the actual overlap.</w:t>
            </w:r>
          </w:p>
        </w:tc>
      </w:tr>
      <w:tr>
        <w:tc>
          <w:tcPr>
            <w:tcW w:type="dxa" w:w="5083"/>
            <w:vAlign w:val="center"/>
          </w:tcPr>
          <w:p>
            <w:pPr>
              <w:spacing w:after="20"/>
            </w:pPr>
            <w:r/>
            <w:r>
              <w:rPr>
                <w:rFonts w:ascii="Aptos" w:hAnsi="Aptos"/>
                <w:b w:val="0"/>
                <w:sz w:val="16"/>
              </w:rPr>
              <w:t>TF-IDF score, semantic score, code score</w:t>
            </w:r>
          </w:p>
        </w:tc>
        <w:tc>
          <w:tcPr>
            <w:tcW w:type="dxa" w:w="5083"/>
            <w:vAlign w:val="center"/>
          </w:tcPr>
          <w:p>
            <w:pPr>
              <w:spacing w:after="20"/>
            </w:pPr>
            <w:r/>
            <w:r>
              <w:rPr>
                <w:rFonts w:ascii="Aptos" w:hAnsi="Aptos"/>
                <w:b w:val="0"/>
                <w:sz w:val="16"/>
              </w:rPr>
              <w:t>Explains which detector found the match.</w:t>
            </w:r>
          </w:p>
        </w:tc>
      </w:tr>
      <w:tr>
        <w:tc>
          <w:tcPr>
            <w:tcW w:type="dxa" w:w="5083"/>
            <w:vAlign w:val="center"/>
          </w:tcPr>
          <w:p>
            <w:pPr>
              <w:spacing w:after="20"/>
            </w:pPr>
            <w:r/>
            <w:r>
              <w:rPr>
                <w:rFonts w:ascii="Aptos" w:hAnsi="Aptos"/>
                <w:b w:val="0"/>
                <w:sz w:val="16"/>
              </w:rPr>
              <w:t>match type</w:t>
            </w:r>
          </w:p>
        </w:tc>
        <w:tc>
          <w:tcPr>
            <w:tcW w:type="dxa" w:w="5083"/>
            <w:vAlign w:val="center"/>
          </w:tcPr>
          <w:p>
            <w:pPr>
              <w:spacing w:after="20"/>
            </w:pPr>
            <w:r/>
            <w:r>
              <w:rPr>
                <w:rFonts w:ascii="Aptos" w:hAnsi="Aptos"/>
                <w:b w:val="0"/>
                <w:sz w:val="16"/>
              </w:rPr>
              <w:t>Exact/near-exact wording, semantic candidate, code fingerprint, quotation/reference/template.</w:t>
            </w:r>
          </w:p>
        </w:tc>
      </w:tr>
      <w:tr>
        <w:tc>
          <w:tcPr>
            <w:tcW w:type="dxa" w:w="5083"/>
            <w:vAlign w:val="center"/>
          </w:tcPr>
          <w:p>
            <w:pPr>
              <w:spacing w:after="20"/>
            </w:pPr>
            <w:r/>
            <w:r>
              <w:rPr>
                <w:rFonts w:ascii="Aptos" w:hAnsi="Aptos"/>
                <w:b w:val="0"/>
                <w:sz w:val="16"/>
              </w:rPr>
              <w:t>review status and reviewer reason</w:t>
            </w:r>
          </w:p>
        </w:tc>
        <w:tc>
          <w:tcPr>
            <w:tcW w:type="dxa" w:w="5083"/>
            <w:vAlign w:val="center"/>
          </w:tcPr>
          <w:p>
            <w:pPr>
              <w:spacing w:after="20"/>
            </w:pPr>
            <w:r/>
            <w:r>
              <w:rPr>
                <w:rFonts w:ascii="Aptos" w:hAnsi="Aptos"/>
                <w:b w:val="0"/>
                <w:sz w:val="16"/>
              </w:rPr>
              <w:t>Separates automated flagging from the final academic decision.</w:t>
            </w:r>
          </w:p>
        </w:tc>
      </w:tr>
    </w:tbl>
    <w:p/>
    <w:p>
      <w:pPr>
        <w:pStyle w:val="Heading2"/>
      </w:pPr>
      <w:r>
        <w:t>5.5 What should the report say?</w:t>
      </w:r>
    </w:p>
    <w:p>
      <w:r>
        <w:t>Recommended wording: “Potential overlap found: 3 passages matched records in the AcadEval+ corpus. The highest lexical similarity was 0.86 against [source title/ID], Section 2. The report highlights the compared passages and indicates whether the source was an institutional report, scholarly paper, or code repository. This is a similarity finding, not an automatic determination of misconduct.”</w:t>
      </w:r>
    </w:p>
    <w:p>
      <w:r>
        <w:t>If no source is found, say: “No significant match was found in the sources searched (list corpus and search date). This does not prove that the submission is original; the source may be outside the available corpus or the wording may have been substantially changed.”</w:t>
      </w:r>
    </w:p>
    <w:p>
      <w:pPr>
        <w:pStyle w:val="Heading1"/>
      </w:pPr>
      <w:r>
        <w:t>6. Databases: existing vs proposed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CFE2F3"/>
          </w:tcPr>
          <w:p>
            <w:pPr>
              <w:spacing w:after="20"/>
            </w:pPr>
            <w:r/>
            <w:r>
              <w:rPr>
                <w:rFonts w:ascii="Aptos" w:hAnsi="Aptos"/>
                <w:b/>
                <w:sz w:val="17"/>
              </w:rPr>
              <w:t>Dataset / database</w:t>
            </w:r>
          </w:p>
        </w:tc>
        <w:tc>
          <w:tcPr>
            <w:tcW w:type="dxa" w:w="2541"/>
            <w:vAlign w:val="center"/>
            <w:shd w:fill="CFE2F3"/>
          </w:tcPr>
          <w:p>
            <w:pPr>
              <w:spacing w:after="20"/>
            </w:pPr>
            <w:r/>
            <w:r>
              <w:rPr>
                <w:rFonts w:ascii="Aptos" w:hAnsi="Aptos"/>
                <w:b/>
                <w:sz w:val="17"/>
              </w:rPr>
              <w:t>Role</w:t>
            </w:r>
          </w:p>
        </w:tc>
        <w:tc>
          <w:tcPr>
            <w:tcW w:type="dxa" w:w="2541"/>
            <w:vAlign w:val="center"/>
            <w:shd w:fill="CFE2F3"/>
          </w:tcPr>
          <w:p>
            <w:pPr>
              <w:spacing w:after="20"/>
            </w:pPr>
            <w:r/>
            <w:r>
              <w:rPr>
                <w:rFonts w:ascii="Aptos" w:hAnsi="Aptos"/>
                <w:b/>
                <w:sz w:val="17"/>
              </w:rPr>
              <w:t>How it is compared with a submission</w:t>
            </w:r>
          </w:p>
        </w:tc>
        <w:tc>
          <w:tcPr>
            <w:tcW w:type="dxa" w:w="2541"/>
            <w:vAlign w:val="center"/>
            <w:shd w:fill="CFE2F3"/>
          </w:tcPr>
          <w:p>
            <w:pPr>
              <w:spacing w:after="20"/>
            </w:pPr>
            <w:r/>
            <w:r>
              <w:rPr>
                <w:rFonts w:ascii="Aptos" w:hAnsi="Aptos"/>
                <w:b/>
                <w:sz w:val="17"/>
              </w:rPr>
              <w:t>Status in project documents</w:t>
            </w:r>
          </w:p>
        </w:tc>
      </w:tr>
      <w:tr>
        <w:tc>
          <w:tcPr>
            <w:tcW w:type="dxa" w:w="2541"/>
            <w:vAlign w:val="center"/>
          </w:tcPr>
          <w:p>
            <w:pPr>
              <w:spacing w:after="20"/>
            </w:pPr>
            <w:r/>
            <w:r>
              <w:rPr>
                <w:rFonts w:ascii="Aptos" w:hAnsi="Aptos"/>
                <w:b w:val="0"/>
                <w:sz w:val="16"/>
              </w:rPr>
              <w:t>AcadEval_Corpus / historical corpus</w:t>
            </w:r>
          </w:p>
        </w:tc>
        <w:tc>
          <w:tcPr>
            <w:tcW w:type="dxa" w:w="2541"/>
            <w:vAlign w:val="center"/>
          </w:tcPr>
          <w:p>
            <w:pPr>
              <w:spacing w:after="20"/>
            </w:pPr>
            <w:r/>
            <w:r>
              <w:rPr>
                <w:rFonts w:ascii="Aptos" w:hAnsi="Aptos"/>
                <w:b w:val="0"/>
                <w:sz w:val="16"/>
              </w:rPr>
              <w:t>Master store of raw project proposals and their metadata.</w:t>
            </w:r>
          </w:p>
        </w:tc>
        <w:tc>
          <w:tcPr>
            <w:tcW w:type="dxa" w:w="2541"/>
            <w:vAlign w:val="center"/>
          </w:tcPr>
          <w:p>
            <w:pPr>
              <w:spacing w:after="20"/>
            </w:pPr>
            <w:r/>
            <w:r>
              <w:rPr>
                <w:rFonts w:ascii="Aptos" w:hAnsi="Aptos"/>
                <w:b w:val="0"/>
                <w:sz w:val="16"/>
              </w:rPr>
              <w:t>Retrieve prior projects by text/semantic similarity; derive graph features and novelty comparisons.</w:t>
            </w:r>
          </w:p>
        </w:tc>
        <w:tc>
          <w:tcPr>
            <w:tcW w:type="dxa" w:w="2541"/>
            <w:vAlign w:val="center"/>
          </w:tcPr>
          <w:p>
            <w:pPr>
              <w:spacing w:after="20"/>
            </w:pPr>
            <w:r/>
            <w:r>
              <w:rPr>
                <w:rFonts w:ascii="Aptos" w:hAnsi="Aptos"/>
                <w:b w:val="0"/>
                <w:sz w:val="16"/>
              </w:rPr>
              <w:t>Described as running in the workflow/publication plan; verify current live data and scope.</w:t>
            </w:r>
          </w:p>
        </w:tc>
      </w:tr>
      <w:tr>
        <w:tc>
          <w:tcPr>
            <w:tcW w:type="dxa" w:w="2541"/>
            <w:vAlign w:val="center"/>
          </w:tcPr>
          <w:p>
            <w:pPr>
              <w:spacing w:after="20"/>
            </w:pPr>
            <w:r/>
            <w:r>
              <w:rPr>
                <w:rFonts w:ascii="Aptos" w:hAnsi="Aptos"/>
                <w:b w:val="0"/>
                <w:sz w:val="16"/>
              </w:rPr>
              <w:t>AcadEval_DomainTaxonomy</w:t>
            </w:r>
          </w:p>
        </w:tc>
        <w:tc>
          <w:tcPr>
            <w:tcW w:type="dxa" w:w="2541"/>
            <w:vAlign w:val="center"/>
          </w:tcPr>
          <w:p>
            <w:pPr>
              <w:spacing w:after="20"/>
            </w:pPr>
            <w:r/>
            <w:r>
              <w:rPr>
                <w:rFonts w:ascii="Aptos" w:hAnsi="Aptos"/>
                <w:b w:val="0"/>
                <w:sz w:val="16"/>
              </w:rPr>
              <w:t>Canonical domain and subdomain tree.</w:t>
            </w:r>
          </w:p>
        </w:tc>
        <w:tc>
          <w:tcPr>
            <w:tcW w:type="dxa" w:w="2541"/>
            <w:vAlign w:val="center"/>
          </w:tcPr>
          <w:p>
            <w:pPr>
              <w:spacing w:after="20"/>
            </w:pPr>
            <w:r/>
            <w:r>
              <w:rPr>
                <w:rFonts w:ascii="Aptos" w:hAnsi="Aptos"/>
                <w:b w:val="0"/>
                <w:sz w:val="16"/>
              </w:rPr>
              <w:t>Classify submission and support consistent grouping of related projects.</w:t>
            </w:r>
          </w:p>
        </w:tc>
        <w:tc>
          <w:tcPr>
            <w:tcW w:type="dxa" w:w="2541"/>
            <w:vAlign w:val="center"/>
          </w:tcPr>
          <w:p>
            <w:pPr>
              <w:spacing w:after="20"/>
            </w:pPr>
            <w:r/>
            <w:r>
              <w:rPr>
                <w:rFonts w:ascii="Aptos" w:hAnsi="Aptos"/>
                <w:b w:val="0"/>
                <w:sz w:val="16"/>
              </w:rPr>
              <w:t>Planned in the workflow document; another implementation summary mentions taxonomy use. Verify actual state.</w:t>
            </w:r>
          </w:p>
        </w:tc>
      </w:tr>
      <w:tr>
        <w:tc>
          <w:tcPr>
            <w:tcW w:type="dxa" w:w="2541"/>
            <w:vAlign w:val="center"/>
          </w:tcPr>
          <w:p>
            <w:pPr>
              <w:spacing w:after="20"/>
            </w:pPr>
            <w:r/>
            <w:r>
              <w:rPr>
                <w:rFonts w:ascii="Aptos" w:hAnsi="Aptos"/>
                <w:b w:val="0"/>
                <w:sz w:val="16"/>
              </w:rPr>
              <w:t>AcadEval_FeatureKnowledgeBase</w:t>
            </w:r>
          </w:p>
        </w:tc>
        <w:tc>
          <w:tcPr>
            <w:tcW w:type="dxa" w:w="2541"/>
            <w:vAlign w:val="center"/>
          </w:tcPr>
          <w:p>
            <w:pPr>
              <w:spacing w:after="20"/>
            </w:pPr>
            <w:r/>
            <w:r>
              <w:rPr>
                <w:rFonts w:ascii="Aptos" w:hAnsi="Aptos"/>
                <w:b w:val="0"/>
                <w:sz w:val="16"/>
              </w:rPr>
              <w:t>Canonical algorithms, tools, datasets, technologies, hardware, metrics and aliases.</w:t>
            </w:r>
          </w:p>
        </w:tc>
        <w:tc>
          <w:tcPr>
            <w:tcW w:type="dxa" w:w="2541"/>
            <w:vAlign w:val="center"/>
          </w:tcPr>
          <w:p>
            <w:pPr>
              <w:spacing w:after="20"/>
            </w:pPr>
            <w:r/>
            <w:r>
              <w:rPr>
                <w:rFonts w:ascii="Aptos" w:hAnsi="Aptos"/>
                <w:b w:val="0"/>
                <w:sz w:val="16"/>
              </w:rPr>
              <w:t>Normalize extracted entities; compute feature counts/rarity and build graph nodes.</w:t>
            </w:r>
          </w:p>
        </w:tc>
        <w:tc>
          <w:tcPr>
            <w:tcW w:type="dxa" w:w="2541"/>
            <w:vAlign w:val="center"/>
          </w:tcPr>
          <w:p>
            <w:pPr>
              <w:spacing w:after="20"/>
            </w:pPr>
            <w:r/>
            <w:r>
              <w:rPr>
                <w:rFonts w:ascii="Aptos" w:hAnsi="Aptos"/>
                <w:b w:val="0"/>
                <w:sz w:val="16"/>
              </w:rPr>
              <w:t>Planned in the workflow document; a separate project note describes ~28,000 entries. Treat count as unverified until checked in the database.</w:t>
            </w:r>
          </w:p>
        </w:tc>
      </w:tr>
      <w:tr>
        <w:tc>
          <w:tcPr>
            <w:tcW w:type="dxa" w:w="2541"/>
            <w:vAlign w:val="center"/>
          </w:tcPr>
          <w:p>
            <w:pPr>
              <w:spacing w:after="20"/>
            </w:pPr>
            <w:r/>
            <w:r>
              <w:rPr>
                <w:rFonts w:ascii="Aptos" w:hAnsi="Aptos"/>
                <w:b w:val="0"/>
                <w:sz w:val="16"/>
              </w:rPr>
              <w:t>AcadEval_ProjectGraphBank (Neo4j)</w:t>
            </w:r>
          </w:p>
        </w:tc>
        <w:tc>
          <w:tcPr>
            <w:tcW w:type="dxa" w:w="2541"/>
            <w:vAlign w:val="center"/>
          </w:tcPr>
          <w:p>
            <w:pPr>
              <w:spacing w:after="20"/>
            </w:pPr>
            <w:r/>
            <w:r>
              <w:rPr>
                <w:rFonts w:ascii="Aptos" w:hAnsi="Aptos"/>
                <w:b w:val="0"/>
                <w:sz w:val="16"/>
              </w:rPr>
              <w:t>Project knowledge graph and entity relationships.</w:t>
            </w:r>
          </w:p>
        </w:tc>
        <w:tc>
          <w:tcPr>
            <w:tcW w:type="dxa" w:w="2541"/>
            <w:vAlign w:val="center"/>
          </w:tcPr>
          <w:p>
            <w:pPr>
              <w:spacing w:after="20"/>
            </w:pPr>
            <w:r/>
            <w:r>
              <w:rPr>
                <w:rFonts w:ascii="Aptos" w:hAnsi="Aptos"/>
                <w:b w:val="0"/>
                <w:sz w:val="16"/>
              </w:rPr>
              <w:t>Compare graph/entity sets, relationships, neighbourhood structure and candidate embedding with historical projects.</w:t>
            </w:r>
          </w:p>
        </w:tc>
        <w:tc>
          <w:tcPr>
            <w:tcW w:type="dxa" w:w="2541"/>
            <w:vAlign w:val="center"/>
          </w:tcPr>
          <w:p>
            <w:pPr>
              <w:spacing w:after="20"/>
            </w:pPr>
            <w:r/>
            <w:r>
              <w:rPr>
                <w:rFonts w:ascii="Aptos" w:hAnsi="Aptos"/>
                <w:b w:val="0"/>
                <w:sz w:val="16"/>
              </w:rPr>
              <w:t>Planned in the workflow document; a later implementation summary describes a graph scoring pipeline. Verify which code path is active.</w:t>
            </w:r>
          </w:p>
        </w:tc>
      </w:tr>
      <w:tr>
        <w:tc>
          <w:tcPr>
            <w:tcW w:type="dxa" w:w="2541"/>
            <w:vAlign w:val="center"/>
          </w:tcPr>
          <w:p>
            <w:pPr>
              <w:spacing w:after="20"/>
            </w:pPr>
            <w:r/>
            <w:r>
              <w:rPr>
                <w:rFonts w:ascii="Aptos" w:hAnsi="Aptos"/>
                <w:b w:val="0"/>
                <w:sz w:val="16"/>
              </w:rPr>
              <w:t>AcadEval_TrendBase</w:t>
            </w:r>
          </w:p>
        </w:tc>
        <w:tc>
          <w:tcPr>
            <w:tcW w:type="dxa" w:w="2541"/>
            <w:vAlign w:val="center"/>
          </w:tcPr>
          <w:p>
            <w:pPr>
              <w:spacing w:after="20"/>
            </w:pPr>
            <w:r/>
            <w:r>
              <w:rPr>
                <w:rFonts w:ascii="Aptos" w:hAnsi="Aptos"/>
                <w:b w:val="0"/>
                <w:sz w:val="16"/>
              </w:rPr>
              <w:t>Topic/year/paper counts/citation signals from scholarly sources.</w:t>
            </w:r>
          </w:p>
        </w:tc>
        <w:tc>
          <w:tcPr>
            <w:tcW w:type="dxa" w:w="2541"/>
            <w:vAlign w:val="center"/>
          </w:tcPr>
          <w:p>
            <w:pPr>
              <w:spacing w:after="20"/>
            </w:pPr>
            <w:r/>
            <w:r>
              <w:rPr>
                <w:rFonts w:ascii="Aptos" w:hAnsi="Aptos"/>
                <w:b w:val="0"/>
                <w:sz w:val="16"/>
              </w:rPr>
              <w:t>Compare project topics with publication volume/trend data to estimate trend velocity.</w:t>
            </w:r>
          </w:p>
        </w:tc>
        <w:tc>
          <w:tcPr>
            <w:tcW w:type="dxa" w:w="2541"/>
            <w:vAlign w:val="center"/>
          </w:tcPr>
          <w:p>
            <w:pPr>
              <w:spacing w:after="20"/>
            </w:pPr>
            <w:r/>
            <w:r>
              <w:rPr>
                <w:rFonts w:ascii="Aptos" w:hAnsi="Aptos"/>
                <w:b w:val="0"/>
                <w:sz w:val="16"/>
              </w:rPr>
              <w:t>Planned; source, freshness, exact definition and data coverage must be recorded.</w:t>
            </w:r>
          </w:p>
        </w:tc>
      </w:tr>
      <w:tr>
        <w:tc>
          <w:tcPr>
            <w:tcW w:type="dxa" w:w="2541"/>
            <w:vAlign w:val="center"/>
          </w:tcPr>
          <w:p>
            <w:pPr>
              <w:spacing w:after="20"/>
            </w:pPr>
            <w:r/>
            <w:r>
              <w:rPr>
                <w:rFonts w:ascii="Aptos" w:hAnsi="Aptos"/>
                <w:b w:val="0"/>
                <w:sz w:val="16"/>
              </w:rPr>
              <w:t>AcadEval_FacultyEvaluation</w:t>
            </w:r>
          </w:p>
        </w:tc>
        <w:tc>
          <w:tcPr>
            <w:tcW w:type="dxa" w:w="2541"/>
            <w:vAlign w:val="center"/>
          </w:tcPr>
          <w:p>
            <w:pPr>
              <w:spacing w:after="20"/>
            </w:pPr>
            <w:r/>
            <w:r>
              <w:rPr>
                <w:rFonts w:ascii="Aptos" w:hAnsi="Aptos"/>
                <w:b w:val="0"/>
                <w:sz w:val="16"/>
              </w:rPr>
              <w:t>Guide/reviewer ratings and comments for projects.</w:t>
            </w:r>
          </w:p>
        </w:tc>
        <w:tc>
          <w:tcPr>
            <w:tcW w:type="dxa" w:w="2541"/>
            <w:vAlign w:val="center"/>
          </w:tcPr>
          <w:p>
            <w:pPr>
              <w:spacing w:after="20"/>
            </w:pPr>
            <w:r/>
            <w:r>
              <w:rPr>
                <w:rFonts w:ascii="Aptos" w:hAnsi="Aptos"/>
                <w:b w:val="0"/>
                <w:sz w:val="16"/>
              </w:rPr>
              <w:t>Provides reference labels for validation/calibration, not just an extra arbitrary score term.</w:t>
            </w:r>
          </w:p>
        </w:tc>
        <w:tc>
          <w:tcPr>
            <w:tcW w:type="dxa" w:w="2541"/>
            <w:vAlign w:val="center"/>
          </w:tcPr>
          <w:p>
            <w:pPr>
              <w:spacing w:after="20"/>
            </w:pPr>
            <w:r/>
            <w:r>
              <w:rPr>
                <w:rFonts w:ascii="Aptos" w:hAnsi="Aptos"/>
                <w:b w:val="0"/>
                <w:sz w:val="16"/>
              </w:rPr>
              <w:t>Planned in the workflow document. Need real independent records and rubric versions.</w:t>
            </w:r>
          </w:p>
        </w:tc>
      </w:tr>
      <w:tr>
        <w:tc>
          <w:tcPr>
            <w:tcW w:type="dxa" w:w="2541"/>
            <w:vAlign w:val="center"/>
          </w:tcPr>
          <w:p>
            <w:pPr>
              <w:spacing w:after="20"/>
            </w:pPr>
            <w:r/>
            <w:r>
              <w:rPr>
                <w:rFonts w:ascii="Aptos" w:hAnsi="Aptos"/>
                <w:b w:val="0"/>
                <w:sz w:val="16"/>
              </w:rPr>
              <w:t>AcadEval_NovelBench</w:t>
            </w:r>
          </w:p>
        </w:tc>
        <w:tc>
          <w:tcPr>
            <w:tcW w:type="dxa" w:w="2541"/>
            <w:vAlign w:val="center"/>
          </w:tcPr>
          <w:p>
            <w:pPr>
              <w:spacing w:after="20"/>
            </w:pPr>
            <w:r/>
            <w:r>
              <w:rPr>
                <w:rFonts w:ascii="Aptos" w:hAnsi="Aptos"/>
                <w:b w:val="0"/>
                <w:sz w:val="16"/>
              </w:rPr>
              <w:t>Joined dataset of graph signals, trend signals and faculty labels.</w:t>
            </w:r>
          </w:p>
        </w:tc>
        <w:tc>
          <w:tcPr>
            <w:tcW w:type="dxa" w:w="2541"/>
            <w:vAlign w:val="center"/>
          </w:tcPr>
          <w:p>
            <w:pPr>
              <w:spacing w:after="20"/>
            </w:pPr>
            <w:r/>
            <w:r>
              <w:rPr>
                <w:rFonts w:ascii="Aptos" w:hAnsi="Aptos"/>
                <w:b w:val="0"/>
                <w:sz w:val="16"/>
              </w:rPr>
              <w:t>Benchmark the novelty engine; train/tune on training data and report final metrics on held-out projects.</w:t>
            </w:r>
          </w:p>
        </w:tc>
        <w:tc>
          <w:tcPr>
            <w:tcW w:type="dxa" w:w="2541"/>
            <w:vAlign w:val="center"/>
          </w:tcPr>
          <w:p>
            <w:pPr>
              <w:spacing w:after="20"/>
            </w:pPr>
            <w:r/>
            <w:r>
              <w:rPr>
                <w:rFonts w:ascii="Aptos" w:hAnsi="Aptos"/>
                <w:b w:val="0"/>
                <w:sz w:val="16"/>
              </w:rPr>
              <w:t>Planned research dataset; should be created from versioned source records and labels.</w:t>
            </w:r>
          </w:p>
        </w:tc>
      </w:tr>
      <w:tr>
        <w:tc>
          <w:tcPr>
            <w:tcW w:type="dxa" w:w="2541"/>
            <w:vAlign w:val="center"/>
          </w:tcPr>
          <w:p>
            <w:pPr>
              <w:spacing w:after="20"/>
            </w:pPr>
            <w:r/>
            <w:r>
              <w:rPr>
                <w:rFonts w:ascii="Aptos" w:hAnsi="Aptos"/>
                <w:b w:val="0"/>
                <w:sz w:val="16"/>
              </w:rPr>
              <w:t>Plagiarism corpus / passage index</w:t>
            </w:r>
          </w:p>
        </w:tc>
        <w:tc>
          <w:tcPr>
            <w:tcW w:type="dxa" w:w="2541"/>
            <w:vAlign w:val="center"/>
          </w:tcPr>
          <w:p>
            <w:pPr>
              <w:spacing w:after="20"/>
            </w:pPr>
            <w:r/>
            <w:r>
              <w:rPr>
                <w:rFonts w:ascii="Aptos" w:hAnsi="Aptos"/>
                <w:b w:val="0"/>
                <w:sz w:val="16"/>
              </w:rPr>
              <w:t>Reports, abstracts, papers, slides and code authorised for comparison.</w:t>
            </w:r>
          </w:p>
        </w:tc>
        <w:tc>
          <w:tcPr>
            <w:tcW w:type="dxa" w:w="2541"/>
            <w:vAlign w:val="center"/>
          </w:tcPr>
          <w:p>
            <w:pPr>
              <w:spacing w:after="20"/>
            </w:pPr>
            <w:r/>
            <w:r>
              <w:rPr>
                <w:rFonts w:ascii="Aptos" w:hAnsi="Aptos"/>
                <w:b w:val="0"/>
                <w:sz w:val="16"/>
              </w:rPr>
              <w:t>Passage-level lexical/semantic/code retrieval with source evidence.</w:t>
            </w:r>
          </w:p>
        </w:tc>
        <w:tc>
          <w:tcPr>
            <w:tcW w:type="dxa" w:w="2541"/>
            <w:vAlign w:val="center"/>
          </w:tcPr>
          <w:p>
            <w:pPr>
              <w:spacing w:after="20"/>
            </w:pPr>
            <w:r/>
            <w:r>
              <w:rPr>
                <w:rFonts w:ascii="Aptos" w:hAnsi="Aptos"/>
                <w:b w:val="0"/>
                <w:sz w:val="16"/>
              </w:rPr>
              <w:t>Separate corpus and benchmark are recommended; not established by the novelty corpus alone.</w:t>
            </w:r>
          </w:p>
        </w:tc>
      </w:tr>
      <w:tr>
        <w:tc>
          <w:tcPr>
            <w:tcW w:type="dxa" w:w="2541"/>
            <w:vAlign w:val="center"/>
          </w:tcPr>
          <w:p>
            <w:pPr>
              <w:spacing w:after="20"/>
            </w:pPr>
            <w:r/>
            <w:r>
              <w:rPr>
                <w:rFonts w:ascii="Aptos" w:hAnsi="Aptos"/>
                <w:b w:val="0"/>
                <w:sz w:val="16"/>
              </w:rPr>
              <w:t>Plagiarism labelled benchmark</w:t>
            </w:r>
          </w:p>
        </w:tc>
        <w:tc>
          <w:tcPr>
            <w:tcW w:type="dxa" w:w="2541"/>
            <w:vAlign w:val="center"/>
          </w:tcPr>
          <w:p>
            <w:pPr>
              <w:spacing w:after="20"/>
            </w:pPr>
            <w:r/>
            <w:r>
              <w:rPr>
                <w:rFonts w:ascii="Aptos" w:hAnsi="Aptos"/>
                <w:b w:val="0"/>
                <w:sz w:val="16"/>
              </w:rPr>
              <w:t>Manually labelled candidate/source pairs and passage annotations.</w:t>
            </w:r>
          </w:p>
        </w:tc>
        <w:tc>
          <w:tcPr>
            <w:tcW w:type="dxa" w:w="2541"/>
            <w:vAlign w:val="center"/>
          </w:tcPr>
          <w:p>
            <w:pPr>
              <w:spacing w:after="20"/>
            </w:pPr>
            <w:r/>
            <w:r>
              <w:rPr>
                <w:rFonts w:ascii="Aptos" w:hAnsi="Aptos"/>
                <w:b w:val="0"/>
                <w:sz w:val="16"/>
              </w:rPr>
              <w:t>Measure false positives, missed matches, source retrieval and threshold quality.</w:t>
            </w:r>
          </w:p>
        </w:tc>
        <w:tc>
          <w:tcPr>
            <w:tcW w:type="dxa" w:w="2541"/>
            <w:vAlign w:val="center"/>
          </w:tcPr>
          <w:p>
            <w:pPr>
              <w:spacing w:after="20"/>
            </w:pPr>
            <w:r/>
            <w:r>
              <w:rPr>
                <w:rFonts w:ascii="Aptos" w:hAnsi="Aptos"/>
                <w:b w:val="0"/>
                <w:sz w:val="16"/>
              </w:rPr>
              <w:t>Must be created to support accuracy claims.</w:t>
            </w:r>
          </w:p>
        </w:tc>
      </w:tr>
    </w:tbl>
    <w:p/>
    <w:p>
      <w:r>
        <w:t>A novelty corpus and a plagiarism corpus overlap but are not identical. Novelty needs structured information about ideas, features, domains and relationships. Plagiarism needs source documents and exact passage locations. A project graph cannot replace the source text needed for a Turnitin-style matched-source report.</w:t>
      </w:r>
    </w:p>
    <w:p>
      <w:pPr>
        <w:pStyle w:val="Heading1"/>
      </w:pPr>
      <w:r>
        <w:t>7. Guide and reviewer scores: how to use them properly</w:t>
      </w:r>
    </w:p>
    <w:p>
      <w:r>
        <w:t>Yes—collect both guide and reviewer scores. This is one of the strongest ways to make the project more defensible. The human scores act as reference labels (often called ground truth, although human ratings themselves contain judgement and disagreement).</w:t>
      </w:r>
    </w:p>
    <w:p>
      <w:pPr>
        <w:pStyle w:val="Heading2"/>
      </w:pPr>
      <w:r>
        <w:t>7.1 Use one shared rubric</w:t>
      </w:r>
    </w:p>
    <w:p>
      <w:pPr>
        <w:pStyle w:val="ListBullet"/>
        <w:spacing w:after="40"/>
      </w:pPr>
      <w:r>
        <w:t>Use the same rubric definitions and 0–100 anchors for AI, guide and reviewer: novelty, technical depth, feasibility, completeness, clarity, originality/similarity interpretation, and publication potential.</w:t>
      </w:r>
    </w:p>
    <w:p>
      <w:pPr>
        <w:pStyle w:val="ListBullet"/>
        <w:spacing w:after="40"/>
      </w:pPr>
      <w:r>
        <w:t>Ask each human reviewer to score independently before seeing the AI score. Otherwise anchoring can make the human labels copy the AI's opinion.</w:t>
      </w:r>
    </w:p>
    <w:p>
      <w:pPr>
        <w:pStyle w:val="ListBullet"/>
        <w:spacing w:after="40"/>
      </w:pPr>
      <w:r>
        <w:t>Record each rater's separate dimension scores, total score, comments, evidence reviewed, confidence, date, and rubric version. Do not overwrite one review with another.</w:t>
      </w:r>
    </w:p>
    <w:p>
      <w:pPr>
        <w:pStyle w:val="ListBullet"/>
        <w:spacing w:after="40"/>
      </w:pPr>
      <w:r>
        <w:t>When possible, have two or more reviewers rate a subset. Discuss disagreements and record an adjudicated score separately; preserve the original independent scores for inter-rater analysis.</w:t>
      </w:r>
    </w:p>
    <w:p>
      <w:pPr>
        <w:pStyle w:val="ListBullet"/>
        <w:spacing w:after="40"/>
      </w:pPr>
      <w:r>
        <w:t>Use comments to improve rubric clarity and identify missing features, not as automatic labels without annotation.</w:t>
      </w:r>
    </w:p>
    <w:p>
      <w:pPr>
        <w:pStyle w:val="Heading2"/>
      </w:pPr>
      <w:r>
        <w:t>7.2 How human scores become training data</w:t>
      </w:r>
    </w:p>
    <w:p>
      <w:pPr>
        <w:pStyle w:val="ListNumber"/>
        <w:spacing w:after="40"/>
      </w:pPr>
      <w:r>
        <w:t>Collect a pilot set spanning domains, project types, years, and score ranges. Do not collect only excellent projects or only one department.</w:t>
      </w:r>
    </w:p>
    <w:p>
      <w:pPr>
        <w:pStyle w:val="ListNumber"/>
        <w:spacing w:after="40"/>
      </w:pPr>
      <w:r>
        <w:t>Ask guides/reviewers to score projects using the same rubric and attach short evidence-based reasons.</w:t>
      </w:r>
    </w:p>
    <w:p>
      <w:pPr>
        <w:pStyle w:val="ListNumber"/>
        <w:spacing w:after="40"/>
      </w:pPr>
      <w:r>
        <w:t>Measure human agreement first. If reviewers disagree strongly, clarify the rubric or model the disagreement rather than assuming one reviewer is always correct.</w:t>
      </w:r>
    </w:p>
    <w:p>
      <w:pPr>
        <w:pStyle w:val="ListNumber"/>
        <w:spacing w:after="40"/>
      </w:pPr>
      <w:r>
        <w:t>Create a feature table for each project: five graph signals, rubric sub-signals, literature/trend evidence, extraction quality, data coverage and the original fixed-formula score.</w:t>
      </w:r>
    </w:p>
    <w:p>
      <w:pPr>
        <w:pStyle w:val="ListNumber"/>
        <w:spacing w:after="40"/>
      </w:pPr>
      <w:r>
        <w:t>Split data by project/family and preferably by time or cohort. Near-duplicate projects must not leak across train and test. The candidate must not be in its own reference corpus.</w:t>
      </w:r>
    </w:p>
    <w:p>
      <w:pPr>
        <w:pStyle w:val="ListNumber"/>
        <w:spacing w:after="40"/>
      </w:pPr>
      <w:r>
        <w:t>Fit the calibration model only on the training split. Tune regularization/feature choices on validation data. Freeze the pipeline and evaluate once on the held-out test set.</w:t>
      </w:r>
    </w:p>
    <w:p>
      <w:pPr>
        <w:pStyle w:val="ListNumber"/>
        <w:spacing w:after="40"/>
      </w:pPr>
      <w:r>
        <w:t>Compare the baseline fixed-weight score with calibrated alternatives. Keep the simpler baseline if the learned model does not improve held-out performance or is unstable.</w:t>
      </w:r>
    </w:p>
    <w:p>
      <w:pPr>
        <w:pStyle w:val="ListNumber"/>
        <w:spacing w:after="40"/>
      </w:pPr>
      <w:r>
        <w:t>Version the model, input features, training dataset, rubric, split manifest, code commit and metrics. Record when a new model is approved and who approved it.</w:t>
      </w:r>
    </w:p>
    <w:p>
      <w:pPr>
        <w:pStyle w:val="Heading2"/>
      </w:pPr>
      <w:r>
        <w:t>7.3 Should guide/reviewer marks be added directly to the score?</w:t>
      </w:r>
    </w:p>
    <w:p>
      <w:r>
        <w:t>Not automatically. There are two distinct uses:</w:t>
      </w:r>
    </w:p>
    <w:p>
      <w:pPr>
        <w:pStyle w:val="ListBullet"/>
        <w:spacing w:after="40"/>
      </w:pPr>
      <w:r>
        <w:t>Validation: compare the AI score to guide/reviewer scores. This tells you how well the AI agrees with independent assessment.</w:t>
      </w:r>
    </w:p>
    <w:p>
      <w:pPr>
        <w:pStyle w:val="ListBullet"/>
        <w:spacing w:after="40"/>
      </w:pPr>
      <w:r>
        <w:t>Calibration: train a model to predict an expert rubric score from features. This learns how signals relate to human judgement.</w:t>
      </w:r>
    </w:p>
    <w:p>
      <w:r>
        <w:t>If the AI score includes a guide mark, and then the resulting score is compared with that same guide mark, the validation is circular. For a genuine test, the guide/reviewer target must be withheld from the AI prediction being evaluated. In production, faculty feedback can be shown as a separate human score or incorporated into a later, versioned model after evaluation.</w:t>
      </w:r>
    </w:p>
    <w:p>
      <w:pPr>
        <w:pStyle w:val="Heading2"/>
      </w:pPr>
      <w:r>
        <w:t>7.4 Ridge Regression calibration</w:t>
      </w:r>
    </w:p>
    <w:p>
      <w:r>
        <w:t>Ridge Regression is a recognised statistical method for predicting a numeric target from multiple features while penalising overly large coefficients. In simple terms, it learns a weighted combination of input signals that best predicts the reference ratings on the training data, while a regularisation term discourages unstable weights.</w:t>
      </w:r>
    </w:p>
    <w:p>
      <w:pPr>
        <w:jc w:val="center"/>
      </w:pPr>
      <w:r>
        <w:rPr>
          <w:b/>
        </w:rPr>
        <w:t>β̂ = argminβ [ Σᵢ(yᵢ − xᵢᵀβ)² + λΣⱼβⱼ² ]</w:t>
      </w:r>
    </w:p>
    <w:p>
      <w:r>
        <w:t>Here y is the human reference score, x contains the AI signals, β are learned weights, and λ controls regularisation. This equation explains Ridge Regression; it does not establish that AcadEval+ has been calibrated. The project must prove that the training process exists, the data are appropriate, the split prevents leakage, and test metrics improve.</w:t>
      </w:r>
    </w:p>
    <w:p>
      <w:r>
        <w:t>Do not randomly split near-duplicate projects. If several reports are revisions of one project or share the same repository, keep them in one split group. Where possible, use an earlier cohort for training and a later cohort for testing to simulate future use.</w:t>
      </w:r>
    </w:p>
    <w:p>
      <w:pPr>
        <w:pStyle w:val="Heading1"/>
      </w:pPr>
      <w:r>
        <w:t>8. How to prove accuracy: experiment plan</w:t>
      </w:r>
    </w:p>
    <w:p>
      <w:pPr>
        <w:pStyle w:val="Heading2"/>
      </w:pPr>
      <w:r>
        <w:t>8.1 Create reference datasets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FE2F3"/>
          </w:tcPr>
          <w:p>
            <w:pPr>
              <w:spacing w:after="20"/>
            </w:pPr>
            <w:r/>
            <w:r>
              <w:rPr>
                <w:rFonts w:ascii="Aptos" w:hAnsi="Aptos"/>
                <w:b/>
                <w:sz w:val="17"/>
              </w:rPr>
              <w:t>Benchmark</w:t>
            </w:r>
          </w:p>
        </w:tc>
        <w:tc>
          <w:tcPr>
            <w:tcW w:type="dxa" w:w="3389"/>
            <w:vAlign w:val="center"/>
            <w:shd w:fill="CFE2F3"/>
          </w:tcPr>
          <w:p>
            <w:pPr>
              <w:spacing w:after="20"/>
            </w:pPr>
            <w:r/>
            <w:r>
              <w:rPr>
                <w:rFonts w:ascii="Aptos" w:hAnsi="Aptos"/>
                <w:b/>
                <w:sz w:val="17"/>
              </w:rPr>
              <w:t>What to annotate</w:t>
            </w:r>
          </w:p>
        </w:tc>
        <w:tc>
          <w:tcPr>
            <w:tcW w:type="dxa" w:w="3389"/>
            <w:vAlign w:val="center"/>
            <w:shd w:fill="CFE2F3"/>
          </w:tcPr>
          <w:p>
            <w:pPr>
              <w:spacing w:after="20"/>
            </w:pPr>
            <w:r/>
            <w:r>
              <w:rPr>
                <w:rFonts w:ascii="Aptos" w:hAnsi="Aptos"/>
                <w:b/>
                <w:sz w:val="17"/>
              </w:rPr>
              <w:t>Recommended starting procedure</w:t>
            </w:r>
          </w:p>
        </w:tc>
      </w:tr>
      <w:tr>
        <w:tc>
          <w:tcPr>
            <w:tcW w:type="dxa" w:w="3389"/>
            <w:vAlign w:val="center"/>
          </w:tcPr>
          <w:p>
            <w:pPr>
              <w:spacing w:after="20"/>
            </w:pPr>
            <w:r/>
            <w:r>
              <w:rPr>
                <w:rFonts w:ascii="Aptos" w:hAnsi="Aptos"/>
                <w:b w:val="0"/>
                <w:sz w:val="16"/>
              </w:rPr>
              <w:t>Project scoring benchmark</w:t>
            </w:r>
          </w:p>
        </w:tc>
        <w:tc>
          <w:tcPr>
            <w:tcW w:type="dxa" w:w="3389"/>
            <w:vAlign w:val="center"/>
          </w:tcPr>
          <w:p>
            <w:pPr>
              <w:spacing w:after="20"/>
            </w:pPr>
            <w:r/>
            <w:r>
              <w:rPr>
                <w:rFonts w:ascii="Aptos" w:hAnsi="Aptos"/>
                <w:b w:val="0"/>
                <w:sz w:val="16"/>
              </w:rPr>
              <w:t>Each project's human scores for every rubric dimension, independent guide/reviewer comments, adjudicated score where needed.</w:t>
            </w:r>
          </w:p>
        </w:tc>
        <w:tc>
          <w:tcPr>
            <w:tcW w:type="dxa" w:w="3389"/>
            <w:vAlign w:val="center"/>
          </w:tcPr>
          <w:p>
            <w:pPr>
              <w:spacing w:after="20"/>
            </w:pPr>
            <w:r/>
            <w:r>
              <w:rPr>
                <w:rFonts w:ascii="Aptos" w:hAnsi="Aptos"/>
                <w:b w:val="0"/>
                <w:sz w:val="16"/>
              </w:rPr>
              <w:t>Start with a manageable pilot (for example, 50–100 diverse projects if feasible); this is a planning target, not a universal statistical minimum. Expand based on uncertainty and power.</w:t>
            </w:r>
          </w:p>
        </w:tc>
      </w:tr>
      <w:tr>
        <w:tc>
          <w:tcPr>
            <w:tcW w:type="dxa" w:w="3389"/>
            <w:vAlign w:val="center"/>
          </w:tcPr>
          <w:p>
            <w:pPr>
              <w:spacing w:after="20"/>
            </w:pPr>
            <w:r/>
            <w:r>
              <w:rPr>
                <w:rFonts w:ascii="Aptos" w:hAnsi="Aptos"/>
                <w:b w:val="0"/>
                <w:sz w:val="16"/>
              </w:rPr>
              <w:t>Text plagiarism benchmark</w:t>
            </w:r>
          </w:p>
        </w:tc>
        <w:tc>
          <w:tcPr>
            <w:tcW w:type="dxa" w:w="3389"/>
            <w:vAlign w:val="center"/>
          </w:tcPr>
          <w:p>
            <w:pPr>
              <w:spacing w:after="20"/>
            </w:pPr>
            <w:r/>
            <w:r>
              <w:rPr>
                <w:rFonts w:ascii="Aptos" w:hAnsi="Aptos"/>
                <w:b w:val="0"/>
                <w:sz w:val="16"/>
              </w:rPr>
              <w:t>Pairs/paragraphs labelled as copied, paraphrased, correctly quoted/cited, common boilerplate/template, unrelated, or uncertain; identify exact source spans.</w:t>
            </w:r>
          </w:p>
        </w:tc>
        <w:tc>
          <w:tcPr>
            <w:tcW w:type="dxa" w:w="3389"/>
            <w:vAlign w:val="center"/>
          </w:tcPr>
          <w:p>
            <w:pPr>
              <w:spacing w:after="20"/>
            </w:pPr>
            <w:r/>
            <w:r>
              <w:rPr>
                <w:rFonts w:ascii="Aptos" w:hAnsi="Aptos"/>
                <w:b w:val="0"/>
                <w:sz w:val="16"/>
              </w:rPr>
              <w:t>Create positive and hard-negative examples from authorised sources. Include paraphrases and references/quotes to measure false positives.</w:t>
            </w:r>
          </w:p>
        </w:tc>
      </w:tr>
      <w:tr>
        <w:tc>
          <w:tcPr>
            <w:tcW w:type="dxa" w:w="3389"/>
            <w:vAlign w:val="center"/>
          </w:tcPr>
          <w:p>
            <w:pPr>
              <w:spacing w:after="20"/>
            </w:pPr>
            <w:r/>
            <w:r>
              <w:rPr>
                <w:rFonts w:ascii="Aptos" w:hAnsi="Aptos"/>
                <w:b w:val="0"/>
                <w:sz w:val="16"/>
              </w:rPr>
              <w:t>Code plagiarism benchmark</w:t>
            </w:r>
          </w:p>
        </w:tc>
        <w:tc>
          <w:tcPr>
            <w:tcW w:type="dxa" w:w="3389"/>
            <w:vAlign w:val="center"/>
          </w:tcPr>
          <w:p>
            <w:pPr>
              <w:spacing w:after="20"/>
            </w:pPr>
            <w:r/>
            <w:r>
              <w:rPr>
                <w:rFonts w:ascii="Aptos" w:hAnsi="Aptos"/>
                <w:b w:val="0"/>
                <w:sz w:val="16"/>
              </w:rPr>
              <w:t>Pairs labelled copied, modified copy, common starter code, common library/vendor code, independent solution, uncertain.</w:t>
            </w:r>
          </w:p>
        </w:tc>
        <w:tc>
          <w:tcPr>
            <w:tcW w:type="dxa" w:w="3389"/>
            <w:vAlign w:val="center"/>
          </w:tcPr>
          <w:p>
            <w:pPr>
              <w:spacing w:after="20"/>
            </w:pPr>
            <w:r/>
            <w:r>
              <w:rPr>
                <w:rFonts w:ascii="Aptos" w:hAnsi="Aptos"/>
                <w:b w:val="0"/>
                <w:sz w:val="16"/>
              </w:rPr>
              <w:t>Include formatting changes, renamed identifiers, reordered blocks and multiple languages.</w:t>
            </w:r>
          </w:p>
        </w:tc>
      </w:tr>
      <w:tr>
        <w:tc>
          <w:tcPr>
            <w:tcW w:type="dxa" w:w="3389"/>
            <w:vAlign w:val="center"/>
          </w:tcPr>
          <w:p>
            <w:pPr>
              <w:spacing w:after="20"/>
            </w:pPr>
            <w:r/>
            <w:r>
              <w:rPr>
                <w:rFonts w:ascii="Aptos" w:hAnsi="Aptos"/>
                <w:b w:val="0"/>
                <w:sz w:val="16"/>
              </w:rPr>
              <w:t>Extraction/graph benchmark</w:t>
            </w:r>
          </w:p>
        </w:tc>
        <w:tc>
          <w:tcPr>
            <w:tcW w:type="dxa" w:w="3389"/>
            <w:vAlign w:val="center"/>
          </w:tcPr>
          <w:p>
            <w:pPr>
              <w:spacing w:after="20"/>
            </w:pPr>
            <w:r/>
            <w:r>
              <w:rPr>
                <w:rFonts w:ascii="Aptos" w:hAnsi="Aptos"/>
                <w:b w:val="0"/>
                <w:sz w:val="16"/>
              </w:rPr>
              <w:t>Manually annotated entity spans, entity categories, canonical forms and relations.</w:t>
            </w:r>
          </w:p>
        </w:tc>
        <w:tc>
          <w:tcPr>
            <w:tcW w:type="dxa" w:w="3389"/>
            <w:vAlign w:val="center"/>
          </w:tcPr>
          <w:p>
            <w:pPr>
              <w:spacing w:after="20"/>
            </w:pPr>
            <w:r/>
            <w:r>
              <w:rPr>
                <w:rFonts w:ascii="Aptos" w:hAnsi="Aptos"/>
                <w:b w:val="0"/>
                <w:sz w:val="16"/>
              </w:rPr>
              <w:t>Double-annotate a subset and adjudicate differences.</w:t>
            </w:r>
          </w:p>
        </w:tc>
      </w:tr>
    </w:tbl>
    <w:p/>
    <w:p>
      <w:pPr>
        <w:pStyle w:val="Heading2"/>
      </w:pPr>
      <w:r>
        <w:t>8.2 Metrics and what they mean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FE2F3"/>
          </w:tcPr>
          <w:p>
            <w:pPr>
              <w:spacing w:after="20"/>
            </w:pPr>
            <w:r/>
            <w:r>
              <w:rPr>
                <w:rFonts w:ascii="Aptos" w:hAnsi="Aptos"/>
                <w:b/>
                <w:sz w:val="17"/>
              </w:rPr>
              <w:t>Metric</w:t>
            </w:r>
          </w:p>
        </w:tc>
        <w:tc>
          <w:tcPr>
            <w:tcW w:type="dxa" w:w="3389"/>
            <w:vAlign w:val="center"/>
            <w:shd w:fill="CFE2F3"/>
          </w:tcPr>
          <w:p>
            <w:pPr>
              <w:spacing w:after="20"/>
            </w:pPr>
            <w:r/>
            <w:r>
              <w:rPr>
                <w:rFonts w:ascii="Aptos" w:hAnsi="Aptos"/>
                <w:b/>
                <w:sz w:val="17"/>
              </w:rPr>
              <w:t>Simple explanation</w:t>
            </w:r>
          </w:p>
        </w:tc>
        <w:tc>
          <w:tcPr>
            <w:tcW w:type="dxa" w:w="3389"/>
            <w:vAlign w:val="center"/>
            <w:shd w:fill="CFE2F3"/>
          </w:tcPr>
          <w:p>
            <w:pPr>
              <w:spacing w:after="20"/>
            </w:pPr>
            <w:r/>
            <w:r>
              <w:rPr>
                <w:rFonts w:ascii="Aptos" w:hAnsi="Aptos"/>
                <w:b/>
                <w:sz w:val="17"/>
              </w:rPr>
              <w:t>Use</w:t>
            </w:r>
          </w:p>
        </w:tc>
      </w:tr>
      <w:tr>
        <w:tc>
          <w:tcPr>
            <w:tcW w:type="dxa" w:w="3389"/>
            <w:vAlign w:val="center"/>
          </w:tcPr>
          <w:p>
            <w:pPr>
              <w:spacing w:after="20"/>
            </w:pPr>
            <w:r/>
            <w:r>
              <w:rPr>
                <w:rFonts w:ascii="Aptos" w:hAnsi="Aptos"/>
                <w:b w:val="0"/>
                <w:sz w:val="16"/>
              </w:rPr>
              <w:t>Precision = TP/(TP+FP)</w:t>
            </w:r>
          </w:p>
        </w:tc>
        <w:tc>
          <w:tcPr>
            <w:tcW w:type="dxa" w:w="3389"/>
            <w:vAlign w:val="center"/>
          </w:tcPr>
          <w:p>
            <w:pPr>
              <w:spacing w:after="20"/>
            </w:pPr>
            <w:r/>
            <w:r>
              <w:rPr>
                <w:rFonts w:ascii="Aptos" w:hAnsi="Aptos"/>
                <w:b w:val="0"/>
                <w:sz w:val="16"/>
              </w:rPr>
              <w:t>Of everything flagged, how much was actually a true match under the benchmark definition?</w:t>
            </w:r>
          </w:p>
        </w:tc>
        <w:tc>
          <w:tcPr>
            <w:tcW w:type="dxa" w:w="3389"/>
            <w:vAlign w:val="center"/>
          </w:tcPr>
          <w:p>
            <w:pPr>
              <w:spacing w:after="20"/>
            </w:pPr>
            <w:r/>
            <w:r>
              <w:rPr>
                <w:rFonts w:ascii="Aptos" w:hAnsi="Aptos"/>
                <w:b w:val="0"/>
                <w:sz w:val="16"/>
              </w:rPr>
              <w:t>High precision reduces unnecessary false alarms.</w:t>
            </w:r>
          </w:p>
        </w:tc>
      </w:tr>
      <w:tr>
        <w:tc>
          <w:tcPr>
            <w:tcW w:type="dxa" w:w="3389"/>
            <w:vAlign w:val="center"/>
          </w:tcPr>
          <w:p>
            <w:pPr>
              <w:spacing w:after="20"/>
            </w:pPr>
            <w:r/>
            <w:r>
              <w:rPr>
                <w:rFonts w:ascii="Aptos" w:hAnsi="Aptos"/>
                <w:b w:val="0"/>
                <w:sz w:val="16"/>
              </w:rPr>
              <w:t>Recall = TP/(TP+FN)</w:t>
            </w:r>
          </w:p>
        </w:tc>
        <w:tc>
          <w:tcPr>
            <w:tcW w:type="dxa" w:w="3389"/>
            <w:vAlign w:val="center"/>
          </w:tcPr>
          <w:p>
            <w:pPr>
              <w:spacing w:after="20"/>
            </w:pPr>
            <w:r/>
            <w:r>
              <w:rPr>
                <w:rFonts w:ascii="Aptos" w:hAnsi="Aptos"/>
                <w:b w:val="0"/>
                <w:sz w:val="16"/>
              </w:rPr>
              <w:t>Of all known matching cases, how many did the system find?</w:t>
            </w:r>
          </w:p>
        </w:tc>
        <w:tc>
          <w:tcPr>
            <w:tcW w:type="dxa" w:w="3389"/>
            <w:vAlign w:val="center"/>
          </w:tcPr>
          <w:p>
            <w:pPr>
              <w:spacing w:after="20"/>
            </w:pPr>
            <w:r/>
            <w:r>
              <w:rPr>
                <w:rFonts w:ascii="Aptos" w:hAnsi="Aptos"/>
                <w:b w:val="0"/>
                <w:sz w:val="16"/>
              </w:rPr>
              <w:t>High recall reduces missed matches.</w:t>
            </w:r>
          </w:p>
        </w:tc>
      </w:tr>
      <w:tr>
        <w:tc>
          <w:tcPr>
            <w:tcW w:type="dxa" w:w="3389"/>
            <w:vAlign w:val="center"/>
          </w:tcPr>
          <w:p>
            <w:pPr>
              <w:spacing w:after="20"/>
            </w:pPr>
            <w:r/>
            <w:r>
              <w:rPr>
                <w:rFonts w:ascii="Aptos" w:hAnsi="Aptos"/>
                <w:b w:val="0"/>
                <w:sz w:val="16"/>
              </w:rPr>
              <w:t>F1 = 2PR/(P+R)</w:t>
            </w:r>
          </w:p>
        </w:tc>
        <w:tc>
          <w:tcPr>
            <w:tcW w:type="dxa" w:w="3389"/>
            <w:vAlign w:val="center"/>
          </w:tcPr>
          <w:p>
            <w:pPr>
              <w:spacing w:after="20"/>
            </w:pPr>
            <w:r/>
            <w:r>
              <w:rPr>
                <w:rFonts w:ascii="Aptos" w:hAnsi="Aptos"/>
                <w:b w:val="0"/>
                <w:sz w:val="16"/>
              </w:rPr>
              <w:t>Balances precision and recall.</w:t>
            </w:r>
          </w:p>
        </w:tc>
        <w:tc>
          <w:tcPr>
            <w:tcW w:type="dxa" w:w="3389"/>
            <w:vAlign w:val="center"/>
          </w:tcPr>
          <w:p>
            <w:pPr>
              <w:spacing w:after="20"/>
            </w:pPr>
            <w:r/>
            <w:r>
              <w:rPr>
                <w:rFonts w:ascii="Aptos" w:hAnsi="Aptos"/>
                <w:b w:val="0"/>
                <w:sz w:val="16"/>
              </w:rPr>
              <w:t>Useful summary for detection, but report precision and recall separately too.</w:t>
            </w:r>
          </w:p>
        </w:tc>
      </w:tr>
      <w:tr>
        <w:tc>
          <w:tcPr>
            <w:tcW w:type="dxa" w:w="3389"/>
            <w:vAlign w:val="center"/>
          </w:tcPr>
          <w:p>
            <w:pPr>
              <w:spacing w:after="20"/>
            </w:pPr>
            <w:r/>
            <w:r>
              <w:rPr>
                <w:rFonts w:ascii="Aptos" w:hAnsi="Aptos"/>
                <w:b w:val="0"/>
                <w:sz w:val="16"/>
              </w:rPr>
              <w:t>False-positive rate = FP/(FP+TN)</w:t>
            </w:r>
          </w:p>
        </w:tc>
        <w:tc>
          <w:tcPr>
            <w:tcW w:type="dxa" w:w="3389"/>
            <w:vAlign w:val="center"/>
          </w:tcPr>
          <w:p>
            <w:pPr>
              <w:spacing w:after="20"/>
            </w:pPr>
            <w:r/>
            <w:r>
              <w:rPr>
                <w:rFonts w:ascii="Aptos" w:hAnsi="Aptos"/>
                <w:b w:val="0"/>
                <w:sz w:val="16"/>
              </w:rPr>
              <w:t>How often unrelated/acceptable examples are incorrectly flagged.</w:t>
            </w:r>
          </w:p>
        </w:tc>
        <w:tc>
          <w:tcPr>
            <w:tcW w:type="dxa" w:w="3389"/>
            <w:vAlign w:val="center"/>
          </w:tcPr>
          <w:p>
            <w:pPr>
              <w:spacing w:after="20"/>
            </w:pPr>
            <w:r/>
            <w:r>
              <w:rPr>
                <w:rFonts w:ascii="Aptos" w:hAnsi="Aptos"/>
                <w:b w:val="0"/>
                <w:sz w:val="16"/>
              </w:rPr>
              <w:t>Essential because false accusations are costly.</w:t>
            </w:r>
          </w:p>
        </w:tc>
      </w:tr>
      <w:tr>
        <w:tc>
          <w:tcPr>
            <w:tcW w:type="dxa" w:w="3389"/>
            <w:vAlign w:val="center"/>
          </w:tcPr>
          <w:p>
            <w:pPr>
              <w:spacing w:after="20"/>
            </w:pPr>
            <w:r/>
            <w:r>
              <w:rPr>
                <w:rFonts w:ascii="Aptos" w:hAnsi="Aptos"/>
                <w:b w:val="0"/>
                <w:sz w:val="16"/>
              </w:rPr>
              <w:t>MAE = mean(|prediction−reference|)</w:t>
            </w:r>
          </w:p>
        </w:tc>
        <w:tc>
          <w:tcPr>
            <w:tcW w:type="dxa" w:w="3389"/>
            <w:vAlign w:val="center"/>
          </w:tcPr>
          <w:p>
            <w:pPr>
              <w:spacing w:after="20"/>
            </w:pPr>
            <w:r/>
            <w:r>
              <w:rPr>
                <w:rFonts w:ascii="Aptos" w:hAnsi="Aptos"/>
                <w:b w:val="0"/>
                <w:sz w:val="16"/>
              </w:rPr>
              <w:t>Average absolute score difference in score points.</w:t>
            </w:r>
          </w:p>
        </w:tc>
        <w:tc>
          <w:tcPr>
            <w:tcW w:type="dxa" w:w="3389"/>
            <w:vAlign w:val="center"/>
          </w:tcPr>
          <w:p>
            <w:pPr>
              <w:spacing w:after="20"/>
            </w:pPr>
            <w:r/>
            <w:r>
              <w:rPr>
                <w:rFonts w:ascii="Aptos" w:hAnsi="Aptos"/>
                <w:b w:val="0"/>
                <w:sz w:val="16"/>
              </w:rPr>
              <w:t>Easy to explain for 0–100 rubric scores.</w:t>
            </w:r>
          </w:p>
        </w:tc>
      </w:tr>
      <w:tr>
        <w:tc>
          <w:tcPr>
            <w:tcW w:type="dxa" w:w="3389"/>
            <w:vAlign w:val="center"/>
          </w:tcPr>
          <w:p>
            <w:pPr>
              <w:spacing w:after="20"/>
            </w:pPr>
            <w:r/>
            <w:r>
              <w:rPr>
                <w:rFonts w:ascii="Aptos" w:hAnsi="Aptos"/>
                <w:b w:val="0"/>
                <w:sz w:val="16"/>
              </w:rPr>
              <w:t>RMSE = sqrt(mean((prediction−reference)^2))</w:t>
            </w:r>
          </w:p>
        </w:tc>
        <w:tc>
          <w:tcPr>
            <w:tcW w:type="dxa" w:w="3389"/>
            <w:vAlign w:val="center"/>
          </w:tcPr>
          <w:p>
            <w:pPr>
              <w:spacing w:after="20"/>
            </w:pPr>
            <w:r/>
            <w:r>
              <w:rPr>
                <w:rFonts w:ascii="Aptos" w:hAnsi="Aptos"/>
                <w:b w:val="0"/>
                <w:sz w:val="16"/>
              </w:rPr>
              <w:t>Like MAE but penalises large mistakes more heavily.</w:t>
            </w:r>
          </w:p>
        </w:tc>
        <w:tc>
          <w:tcPr>
            <w:tcW w:type="dxa" w:w="3389"/>
            <w:vAlign w:val="center"/>
          </w:tcPr>
          <w:p>
            <w:pPr>
              <w:spacing w:after="20"/>
            </w:pPr>
            <w:r/>
            <w:r>
              <w:rPr>
                <w:rFonts w:ascii="Aptos" w:hAnsi="Aptos"/>
                <w:b w:val="0"/>
                <w:sz w:val="16"/>
              </w:rPr>
              <w:t>Useful to reveal large scoring errors.</w:t>
            </w:r>
          </w:p>
        </w:tc>
      </w:tr>
      <w:tr>
        <w:tc>
          <w:tcPr>
            <w:tcW w:type="dxa" w:w="3389"/>
            <w:vAlign w:val="center"/>
          </w:tcPr>
          <w:p>
            <w:pPr>
              <w:spacing w:after="20"/>
            </w:pPr>
            <w:r/>
            <w:r>
              <w:rPr>
                <w:rFonts w:ascii="Aptos" w:hAnsi="Aptos"/>
                <w:b w:val="0"/>
                <w:sz w:val="16"/>
              </w:rPr>
              <w:t>Spearman correlation</w:t>
            </w:r>
          </w:p>
        </w:tc>
        <w:tc>
          <w:tcPr>
            <w:tcW w:type="dxa" w:w="3389"/>
            <w:vAlign w:val="center"/>
          </w:tcPr>
          <w:p>
            <w:pPr>
              <w:spacing w:after="20"/>
            </w:pPr>
            <w:r/>
            <w:r>
              <w:rPr>
                <w:rFonts w:ascii="Aptos" w:hAnsi="Aptos"/>
                <w:b w:val="0"/>
                <w:sz w:val="16"/>
              </w:rPr>
              <w:t>Whether the system ranks projects similarly to human reviewers.</w:t>
            </w:r>
          </w:p>
        </w:tc>
        <w:tc>
          <w:tcPr>
            <w:tcW w:type="dxa" w:w="3389"/>
            <w:vAlign w:val="center"/>
          </w:tcPr>
          <w:p>
            <w:pPr>
              <w:spacing w:after="20"/>
            </w:pPr>
            <w:r/>
            <w:r>
              <w:rPr>
                <w:rFonts w:ascii="Aptos" w:hAnsi="Aptos"/>
                <w:b w:val="0"/>
                <w:sz w:val="16"/>
              </w:rPr>
              <w:t>Good for ranking novelty/quality; high correlation does not mean exact scores agree.</w:t>
            </w:r>
          </w:p>
        </w:tc>
      </w:tr>
      <w:tr>
        <w:tc>
          <w:tcPr>
            <w:tcW w:type="dxa" w:w="3389"/>
            <w:vAlign w:val="center"/>
          </w:tcPr>
          <w:p>
            <w:pPr>
              <w:spacing w:after="20"/>
            </w:pPr>
            <w:r/>
            <w:r>
              <w:rPr>
                <w:rFonts w:ascii="Aptos" w:hAnsi="Aptos"/>
                <w:b w:val="0"/>
                <w:sz w:val="16"/>
              </w:rPr>
              <w:t>Pearson correlation</w:t>
            </w:r>
          </w:p>
        </w:tc>
        <w:tc>
          <w:tcPr>
            <w:tcW w:type="dxa" w:w="3389"/>
            <w:vAlign w:val="center"/>
          </w:tcPr>
          <w:p>
            <w:pPr>
              <w:spacing w:after="20"/>
            </w:pPr>
            <w:r/>
            <w:r>
              <w:rPr>
                <w:rFonts w:ascii="Aptos" w:hAnsi="Aptos"/>
                <w:b w:val="0"/>
                <w:sz w:val="16"/>
              </w:rPr>
              <w:t>Whether numeric scores have a linear relationship.</w:t>
            </w:r>
          </w:p>
        </w:tc>
        <w:tc>
          <w:tcPr>
            <w:tcW w:type="dxa" w:w="3389"/>
            <w:vAlign w:val="center"/>
          </w:tcPr>
          <w:p>
            <w:pPr>
              <w:spacing w:after="20"/>
            </w:pPr>
            <w:r/>
            <w:r>
              <w:rPr>
                <w:rFonts w:ascii="Aptos" w:hAnsi="Aptos"/>
                <w:b w:val="0"/>
                <w:sz w:val="16"/>
              </w:rPr>
              <w:t>Supplementary; can be high even if the AI is consistently 10 points too high.</w:t>
            </w:r>
          </w:p>
        </w:tc>
      </w:tr>
      <w:tr>
        <w:tc>
          <w:tcPr>
            <w:tcW w:type="dxa" w:w="3389"/>
            <w:vAlign w:val="center"/>
          </w:tcPr>
          <w:p>
            <w:pPr>
              <w:spacing w:after="20"/>
            </w:pPr>
            <w:r/>
            <w:r>
              <w:rPr>
                <w:rFonts w:ascii="Aptos" w:hAnsi="Aptos"/>
                <w:b w:val="0"/>
                <w:sz w:val="16"/>
              </w:rPr>
              <w:t>Inter-rater agreement</w:t>
            </w:r>
          </w:p>
        </w:tc>
        <w:tc>
          <w:tcPr>
            <w:tcW w:type="dxa" w:w="3389"/>
            <w:vAlign w:val="center"/>
          </w:tcPr>
          <w:p>
            <w:pPr>
              <w:spacing w:after="20"/>
            </w:pPr>
            <w:r/>
            <w:r>
              <w:rPr>
                <w:rFonts w:ascii="Aptos" w:hAnsi="Aptos"/>
                <w:b w:val="0"/>
                <w:sz w:val="16"/>
              </w:rPr>
              <w:t>How consistently human reviewers use the rubric.</w:t>
            </w:r>
          </w:p>
        </w:tc>
        <w:tc>
          <w:tcPr>
            <w:tcW w:type="dxa" w:w="3389"/>
            <w:vAlign w:val="center"/>
          </w:tcPr>
          <w:p>
            <w:pPr>
              <w:spacing w:after="20"/>
            </w:pPr>
            <w:r/>
            <w:r>
              <w:rPr>
                <w:rFonts w:ascii="Aptos" w:hAnsi="Aptos"/>
                <w:b w:val="0"/>
                <w:sz w:val="16"/>
              </w:rPr>
              <w:t>Shows whether the target labels are reliable enough for calibration.</w:t>
            </w:r>
          </w:p>
        </w:tc>
      </w:tr>
      <w:tr>
        <w:tc>
          <w:tcPr>
            <w:tcW w:type="dxa" w:w="3389"/>
            <w:vAlign w:val="center"/>
          </w:tcPr>
          <w:p>
            <w:pPr>
              <w:spacing w:after="20"/>
            </w:pPr>
            <w:r/>
            <w:r>
              <w:rPr>
                <w:rFonts w:ascii="Aptos" w:hAnsi="Aptos"/>
                <w:b w:val="0"/>
                <w:sz w:val="16"/>
              </w:rPr>
              <w:t>Precision@K / Recall@K / nDCG@K</w:t>
            </w:r>
          </w:p>
        </w:tc>
        <w:tc>
          <w:tcPr>
            <w:tcW w:type="dxa" w:w="3389"/>
            <w:vAlign w:val="center"/>
          </w:tcPr>
          <w:p>
            <w:pPr>
              <w:spacing w:after="20"/>
            </w:pPr>
            <w:r/>
            <w:r>
              <w:rPr>
                <w:rFonts w:ascii="Aptos" w:hAnsi="Aptos"/>
                <w:b w:val="0"/>
                <w:sz w:val="16"/>
              </w:rPr>
              <w:t>How well retrieval ranks the relevant source documents near the top.</w:t>
            </w:r>
          </w:p>
        </w:tc>
        <w:tc>
          <w:tcPr>
            <w:tcW w:type="dxa" w:w="3389"/>
            <w:vAlign w:val="center"/>
          </w:tcPr>
          <w:p>
            <w:pPr>
              <w:spacing w:after="20"/>
            </w:pPr>
            <w:r/>
            <w:r>
              <w:rPr>
                <w:rFonts w:ascii="Aptos" w:hAnsi="Aptos"/>
                <w:b w:val="0"/>
                <w:sz w:val="16"/>
              </w:rPr>
              <w:t>Useful for external-source discovery and scholarly search.</w:t>
            </w:r>
          </w:p>
        </w:tc>
      </w:tr>
    </w:tbl>
    <w:p/>
    <w:p>
      <w:pPr>
        <w:pStyle w:val="Heading2"/>
      </w:pPr>
      <w:r>
        <w:t>8.3 Baselines and ablation tests</w:t>
      </w:r>
    </w:p>
    <w:p>
      <w:pPr>
        <w:pStyle w:val="ListBullet"/>
        <w:spacing w:after="40"/>
      </w:pPr>
      <w:r>
        <w:t>Baseline A: the existing fixed-weight formula.</w:t>
      </w:r>
    </w:p>
    <w:p>
      <w:pPr>
        <w:pStyle w:val="ListBullet"/>
        <w:spacing w:after="40"/>
      </w:pPr>
      <w:r>
        <w:t>Baseline B: text-only / semantic-only similarity or novelty signals.</w:t>
      </w:r>
    </w:p>
    <w:p>
      <w:pPr>
        <w:pStyle w:val="ListBullet"/>
        <w:spacing w:after="40"/>
      </w:pPr>
      <w:r>
        <w:t>Baseline C: graph-only novelty signals.</w:t>
      </w:r>
    </w:p>
    <w:p>
      <w:pPr>
        <w:pStyle w:val="ListBullet"/>
        <w:spacing w:after="40"/>
      </w:pPr>
      <w:r>
        <w:t>Baseline D: graph + semantic similarity.</w:t>
      </w:r>
    </w:p>
    <w:p>
      <w:pPr>
        <w:pStyle w:val="ListBullet"/>
        <w:spacing w:after="40"/>
      </w:pPr>
      <w:r>
        <w:t>Baseline E: graph + literature/trend evidence.</w:t>
      </w:r>
    </w:p>
    <w:p>
      <w:pPr>
        <w:pStyle w:val="ListBullet"/>
        <w:spacing w:after="40"/>
      </w:pPr>
      <w:r>
        <w:t>Full system: all documented signals, source evidence, and calibration.</w:t>
      </w:r>
    </w:p>
    <w:p>
      <w:r>
        <w:t>An ablation removes one component at a time. If removing a signal does not reduce held-out performance, that signal may not add measurable value. Do not claim a signal is important simply because it has a plausible explanation.</w:t>
      </w:r>
    </w:p>
    <w:p>
      <w:pPr>
        <w:pStyle w:val="Heading2"/>
      </w:pPr>
      <w:r>
        <w:t>8.4 Report results transparently</w:t>
      </w:r>
    </w:p>
    <w:p>
      <w:r>
        <w:t>Publish the test-set size, departments/domains represented, rubric version, data cutoff date, train/validation/test split strategy, missing-data rate, confidence intervals where possible, metrics per dimension, false-positive examples, failure cases, and model/version identifier. Include a baseline comparison and explain any limitations. Do not publish only the best metric.</w:t>
      </w:r>
    </w:p>
    <w:p>
      <w:pPr>
        <w:pStyle w:val="Heading1"/>
      </w:pPr>
      <w:r>
        <w:t>9. Data sources to add, in priority order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CFE2F3"/>
          </w:tcPr>
          <w:p>
            <w:pPr>
              <w:spacing w:after="20"/>
            </w:pPr>
            <w:r/>
            <w:r>
              <w:rPr>
                <w:rFonts w:ascii="Aptos" w:hAnsi="Aptos"/>
                <w:b/>
                <w:sz w:val="17"/>
              </w:rPr>
              <w:t>Priority</w:t>
            </w:r>
          </w:p>
        </w:tc>
        <w:tc>
          <w:tcPr>
            <w:tcW w:type="dxa" w:w="2541"/>
            <w:vAlign w:val="center"/>
            <w:shd w:fill="CFE2F3"/>
          </w:tcPr>
          <w:p>
            <w:pPr>
              <w:spacing w:after="20"/>
            </w:pPr>
            <w:r/>
            <w:r>
              <w:rPr>
                <w:rFonts w:ascii="Aptos" w:hAnsi="Aptos"/>
                <w:b/>
                <w:sz w:val="17"/>
              </w:rPr>
              <w:t>Add / create</w:t>
            </w:r>
          </w:p>
        </w:tc>
        <w:tc>
          <w:tcPr>
            <w:tcW w:type="dxa" w:w="2541"/>
            <w:vAlign w:val="center"/>
            <w:shd w:fill="CFE2F3"/>
          </w:tcPr>
          <w:p>
            <w:pPr>
              <w:spacing w:after="20"/>
            </w:pPr>
            <w:r/>
            <w:r>
              <w:rPr>
                <w:rFonts w:ascii="Aptos" w:hAnsi="Aptos"/>
                <w:b/>
                <w:sz w:val="17"/>
              </w:rPr>
              <w:t>Why it improves the system</w:t>
            </w:r>
          </w:p>
        </w:tc>
        <w:tc>
          <w:tcPr>
            <w:tcW w:type="dxa" w:w="2541"/>
            <w:vAlign w:val="center"/>
            <w:shd w:fill="CFE2F3"/>
          </w:tcPr>
          <w:p>
            <w:pPr>
              <w:spacing w:after="20"/>
            </w:pPr>
            <w:r/>
            <w:r>
              <w:rPr>
                <w:rFonts w:ascii="Aptos" w:hAnsi="Aptos"/>
                <w:b/>
                <w:sz w:val="17"/>
              </w:rPr>
              <w:t>Cautions</w:t>
            </w:r>
          </w:p>
        </w:tc>
      </w:tr>
      <w:tr>
        <w:tc>
          <w:tcPr>
            <w:tcW w:type="dxa" w:w="2541"/>
            <w:vAlign w:val="center"/>
          </w:tcPr>
          <w:p>
            <w:pPr>
              <w:spacing w:after="20"/>
            </w:pPr>
            <w:r/>
            <w:r>
              <w:rPr>
                <w:rFonts w:ascii="Aptos" w:hAnsi="Aptos"/>
                <w:b w:val="0"/>
                <w:sz w:val="16"/>
              </w:rPr>
              <w:t>P0</w:t>
            </w:r>
          </w:p>
        </w:tc>
        <w:tc>
          <w:tcPr>
            <w:tcW w:type="dxa" w:w="2541"/>
            <w:vAlign w:val="center"/>
          </w:tcPr>
          <w:p>
            <w:pPr>
              <w:spacing w:after="20"/>
            </w:pPr>
            <w:r/>
            <w:r>
              <w:rPr>
                <w:rFonts w:ascii="Aptos" w:hAnsi="Aptos"/>
                <w:b w:val="0"/>
                <w:sz w:val="16"/>
              </w:rPr>
              <w:t>Institutional student-project corpus with reports, abstracts, code, year, course and source IDs.</w:t>
            </w:r>
          </w:p>
        </w:tc>
        <w:tc>
          <w:tcPr>
            <w:tcW w:type="dxa" w:w="2541"/>
            <w:vAlign w:val="center"/>
          </w:tcPr>
          <w:p>
            <w:pPr>
              <w:spacing w:after="20"/>
            </w:pPr>
            <w:r/>
            <w:r>
              <w:rPr>
                <w:rFonts w:ascii="Aptos" w:hAnsi="Aptos"/>
                <w:b w:val="0"/>
                <w:sz w:val="16"/>
              </w:rPr>
              <w:t>Directly detects cross-project reuse and supplies the historical baseline for novelty.</w:t>
            </w:r>
          </w:p>
        </w:tc>
        <w:tc>
          <w:tcPr>
            <w:tcW w:type="dxa" w:w="2541"/>
            <w:vAlign w:val="center"/>
          </w:tcPr>
          <w:p>
            <w:pPr>
              <w:spacing w:after="20"/>
            </w:pPr>
            <w:r/>
            <w:r>
              <w:rPr>
                <w:rFonts w:ascii="Aptos" w:hAnsi="Aptos"/>
                <w:b w:val="0"/>
                <w:sz w:val="16"/>
              </w:rPr>
              <w:t>Obtain consent/permission, access controls, retention rules and duplicate detection.</w:t>
            </w:r>
          </w:p>
        </w:tc>
      </w:tr>
      <w:tr>
        <w:tc>
          <w:tcPr>
            <w:tcW w:type="dxa" w:w="2541"/>
            <w:vAlign w:val="center"/>
          </w:tcPr>
          <w:p>
            <w:pPr>
              <w:spacing w:after="20"/>
            </w:pPr>
            <w:r/>
            <w:r>
              <w:rPr>
                <w:rFonts w:ascii="Aptos" w:hAnsi="Aptos"/>
                <w:b w:val="0"/>
                <w:sz w:val="16"/>
              </w:rPr>
              <w:t>P0</w:t>
            </w:r>
          </w:p>
        </w:tc>
        <w:tc>
          <w:tcPr>
            <w:tcW w:type="dxa" w:w="2541"/>
            <w:vAlign w:val="center"/>
          </w:tcPr>
          <w:p>
            <w:pPr>
              <w:spacing w:after="20"/>
            </w:pPr>
            <w:r/>
            <w:r>
              <w:rPr>
                <w:rFonts w:ascii="Aptos" w:hAnsi="Aptos"/>
                <w:b w:val="0"/>
                <w:sz w:val="16"/>
              </w:rPr>
              <w:t>Source-preserving passage index for every authorised document.</w:t>
            </w:r>
          </w:p>
        </w:tc>
        <w:tc>
          <w:tcPr>
            <w:tcW w:type="dxa" w:w="2541"/>
            <w:vAlign w:val="center"/>
          </w:tcPr>
          <w:p>
            <w:pPr>
              <w:spacing w:after="20"/>
            </w:pPr>
            <w:r/>
            <w:r>
              <w:rPr>
                <w:rFonts w:ascii="Aptos" w:hAnsi="Aptos"/>
                <w:b w:val="0"/>
                <w:sz w:val="16"/>
              </w:rPr>
              <w:t>Allows the report to point to a specific source and exact passage, rather than just showing a percentage.</w:t>
            </w:r>
          </w:p>
        </w:tc>
        <w:tc>
          <w:tcPr>
            <w:tcW w:type="dxa" w:w="2541"/>
            <w:vAlign w:val="center"/>
          </w:tcPr>
          <w:p>
            <w:pPr>
              <w:spacing w:after="20"/>
            </w:pPr>
            <w:r/>
            <w:r>
              <w:rPr>
                <w:rFonts w:ascii="Aptos" w:hAnsi="Aptos"/>
                <w:b w:val="0"/>
                <w:sz w:val="16"/>
              </w:rPr>
              <w:t>Preserve source metadata and extraction coordinates.</w:t>
            </w:r>
          </w:p>
        </w:tc>
      </w:tr>
      <w:tr>
        <w:tc>
          <w:tcPr>
            <w:tcW w:type="dxa" w:w="2541"/>
            <w:vAlign w:val="center"/>
          </w:tcPr>
          <w:p>
            <w:pPr>
              <w:spacing w:after="20"/>
            </w:pPr>
            <w:r/>
            <w:r>
              <w:rPr>
                <w:rFonts w:ascii="Aptos" w:hAnsi="Aptos"/>
                <w:b w:val="0"/>
                <w:sz w:val="16"/>
              </w:rPr>
              <w:t>P0</w:t>
            </w:r>
          </w:p>
        </w:tc>
        <w:tc>
          <w:tcPr>
            <w:tcW w:type="dxa" w:w="2541"/>
            <w:vAlign w:val="center"/>
          </w:tcPr>
          <w:p>
            <w:pPr>
              <w:spacing w:after="20"/>
            </w:pPr>
            <w:r/>
            <w:r>
              <w:rPr>
                <w:rFonts w:ascii="Aptos" w:hAnsi="Aptos"/>
                <w:b w:val="0"/>
                <w:sz w:val="16"/>
              </w:rPr>
              <w:t>FacultyEvaluation dataset with separate guide/reviewer scores and comments.</w:t>
            </w:r>
          </w:p>
        </w:tc>
        <w:tc>
          <w:tcPr>
            <w:tcW w:type="dxa" w:w="2541"/>
            <w:vAlign w:val="center"/>
          </w:tcPr>
          <w:p>
            <w:pPr>
              <w:spacing w:after="20"/>
            </w:pPr>
            <w:r/>
            <w:r>
              <w:rPr>
                <w:rFonts w:ascii="Aptos" w:hAnsi="Aptos"/>
                <w:b w:val="0"/>
                <w:sz w:val="16"/>
              </w:rPr>
              <w:t>Provides independent reference labels for validating and calibrating scores.</w:t>
            </w:r>
          </w:p>
        </w:tc>
        <w:tc>
          <w:tcPr>
            <w:tcW w:type="dxa" w:w="2541"/>
            <w:vAlign w:val="center"/>
          </w:tcPr>
          <w:p>
            <w:pPr>
              <w:spacing w:after="20"/>
            </w:pPr>
            <w:r/>
            <w:r>
              <w:rPr>
                <w:rFonts w:ascii="Aptos" w:hAnsi="Aptos"/>
                <w:b w:val="0"/>
                <w:sz w:val="16"/>
              </w:rPr>
              <w:t>Blind reviewers to AI scores during initial rating; maintain reviewer identity privacy where needed.</w:t>
            </w:r>
          </w:p>
        </w:tc>
      </w:tr>
      <w:tr>
        <w:tc>
          <w:tcPr>
            <w:tcW w:type="dxa" w:w="2541"/>
            <w:vAlign w:val="center"/>
          </w:tcPr>
          <w:p>
            <w:pPr>
              <w:spacing w:after="20"/>
            </w:pPr>
            <w:r/>
            <w:r>
              <w:rPr>
                <w:rFonts w:ascii="Aptos" w:hAnsi="Aptos"/>
                <w:b w:val="0"/>
                <w:sz w:val="16"/>
              </w:rPr>
              <w:t>P0</w:t>
            </w:r>
          </w:p>
        </w:tc>
        <w:tc>
          <w:tcPr>
            <w:tcW w:type="dxa" w:w="2541"/>
            <w:vAlign w:val="center"/>
          </w:tcPr>
          <w:p>
            <w:pPr>
              <w:spacing w:after="20"/>
            </w:pPr>
            <w:r/>
            <w:r>
              <w:rPr>
                <w:rFonts w:ascii="Aptos" w:hAnsi="Aptos"/>
                <w:b w:val="0"/>
                <w:sz w:val="16"/>
              </w:rPr>
              <w:t>Labelled plagiarism benchmark of positive and negative pairs.</w:t>
            </w:r>
          </w:p>
        </w:tc>
        <w:tc>
          <w:tcPr>
            <w:tcW w:type="dxa" w:w="2541"/>
            <w:vAlign w:val="center"/>
          </w:tcPr>
          <w:p>
            <w:pPr>
              <w:spacing w:after="20"/>
            </w:pPr>
            <w:r/>
            <w:r>
              <w:rPr>
                <w:rFonts w:ascii="Aptos" w:hAnsi="Aptos"/>
                <w:b w:val="0"/>
                <w:sz w:val="16"/>
              </w:rPr>
              <w:t>Enables threshold selection and precision/recall/F1 reporting.</w:t>
            </w:r>
          </w:p>
        </w:tc>
        <w:tc>
          <w:tcPr>
            <w:tcW w:type="dxa" w:w="2541"/>
            <w:vAlign w:val="center"/>
          </w:tcPr>
          <w:p>
            <w:pPr>
              <w:spacing w:after="20"/>
            </w:pPr>
            <w:r/>
            <w:r>
              <w:rPr>
                <w:rFonts w:ascii="Aptos" w:hAnsi="Aptos"/>
                <w:b w:val="0"/>
                <w:sz w:val="16"/>
              </w:rPr>
              <w:t>Include legitimate quotations, references, templates and paraphrases.</w:t>
            </w:r>
          </w:p>
        </w:tc>
      </w:tr>
      <w:tr>
        <w:tc>
          <w:tcPr>
            <w:tcW w:type="dxa" w:w="2541"/>
            <w:vAlign w:val="center"/>
          </w:tcPr>
          <w:p>
            <w:pPr>
              <w:spacing w:after="20"/>
            </w:pPr>
            <w:r/>
            <w:r>
              <w:rPr>
                <w:rFonts w:ascii="Aptos" w:hAnsi="Aptos"/>
                <w:b w:val="0"/>
                <w:sz w:val="16"/>
              </w:rPr>
              <w:t>P1</w:t>
            </w:r>
          </w:p>
        </w:tc>
        <w:tc>
          <w:tcPr>
            <w:tcW w:type="dxa" w:w="2541"/>
            <w:vAlign w:val="center"/>
          </w:tcPr>
          <w:p>
            <w:pPr>
              <w:spacing w:after="20"/>
            </w:pPr>
            <w:r/>
            <w:r>
              <w:rPr>
                <w:rFonts w:ascii="Aptos" w:hAnsi="Aptos"/>
                <w:b w:val="0"/>
                <w:sz w:val="16"/>
              </w:rPr>
              <w:t>OpenAlex/Crossref/Semantic Scholar discovery metadata and permitted open full text.</w:t>
            </w:r>
          </w:p>
        </w:tc>
        <w:tc>
          <w:tcPr>
            <w:tcW w:type="dxa" w:w="2541"/>
            <w:vAlign w:val="center"/>
          </w:tcPr>
          <w:p>
            <w:pPr>
              <w:spacing w:after="20"/>
            </w:pPr>
            <w:r/>
            <w:r>
              <w:rPr>
                <w:rFonts w:ascii="Aptos" w:hAnsi="Aptos"/>
                <w:b w:val="0"/>
                <w:sz w:val="16"/>
              </w:rPr>
              <w:t>Expands scholarly source discovery and improves prior-work coverage.</w:t>
            </w:r>
          </w:p>
        </w:tc>
        <w:tc>
          <w:tcPr>
            <w:tcW w:type="dxa" w:w="2541"/>
            <w:vAlign w:val="center"/>
          </w:tcPr>
          <w:p>
            <w:pPr>
              <w:spacing w:after="20"/>
            </w:pPr>
            <w:r/>
            <w:r>
              <w:rPr>
                <w:rFonts w:ascii="Aptos" w:hAnsi="Aptos"/>
                <w:b w:val="0"/>
                <w:sz w:val="16"/>
              </w:rPr>
              <w:t>Metadata does not equal full text; respect API rules and licences.</w:t>
            </w:r>
          </w:p>
        </w:tc>
      </w:tr>
      <w:tr>
        <w:tc>
          <w:tcPr>
            <w:tcW w:type="dxa" w:w="2541"/>
            <w:vAlign w:val="center"/>
          </w:tcPr>
          <w:p>
            <w:pPr>
              <w:spacing w:after="20"/>
            </w:pPr>
            <w:r/>
            <w:r>
              <w:rPr>
                <w:rFonts w:ascii="Aptos" w:hAnsi="Aptos"/>
                <w:b w:val="0"/>
                <w:sz w:val="16"/>
              </w:rPr>
              <w:t>P1</w:t>
            </w:r>
          </w:p>
        </w:tc>
        <w:tc>
          <w:tcPr>
            <w:tcW w:type="dxa" w:w="2541"/>
            <w:vAlign w:val="center"/>
          </w:tcPr>
          <w:p>
            <w:pPr>
              <w:spacing w:after="20"/>
            </w:pPr>
            <w:r/>
            <w:r>
              <w:rPr>
                <w:rFonts w:ascii="Aptos" w:hAnsi="Aptos"/>
                <w:b w:val="0"/>
                <w:sz w:val="16"/>
              </w:rPr>
              <w:t>Code repository corpus and starter-code catalogue.</w:t>
            </w:r>
          </w:p>
        </w:tc>
        <w:tc>
          <w:tcPr>
            <w:tcW w:type="dxa" w:w="2541"/>
            <w:vAlign w:val="center"/>
          </w:tcPr>
          <w:p>
            <w:pPr>
              <w:spacing w:after="20"/>
            </w:pPr>
            <w:r/>
            <w:r>
              <w:rPr>
                <w:rFonts w:ascii="Aptos" w:hAnsi="Aptos"/>
                <w:b w:val="0"/>
                <w:sz w:val="16"/>
              </w:rPr>
              <w:t>Improves code clone detection and helps suppress common-template false positives.</w:t>
            </w:r>
          </w:p>
        </w:tc>
        <w:tc>
          <w:tcPr>
            <w:tcW w:type="dxa" w:w="2541"/>
            <w:vAlign w:val="center"/>
          </w:tcPr>
          <w:p>
            <w:pPr>
              <w:spacing w:after="20"/>
            </w:pPr>
            <w:r/>
            <w:r>
              <w:rPr>
                <w:rFonts w:ascii="Aptos" w:hAnsi="Aptos"/>
                <w:b w:val="0"/>
                <w:sz w:val="16"/>
              </w:rPr>
              <w:t>Use public/authorised repositories only; account for licences and generated/vendor files.</w:t>
            </w:r>
          </w:p>
        </w:tc>
      </w:tr>
      <w:tr>
        <w:tc>
          <w:tcPr>
            <w:tcW w:type="dxa" w:w="2541"/>
            <w:vAlign w:val="center"/>
          </w:tcPr>
          <w:p>
            <w:pPr>
              <w:spacing w:after="20"/>
            </w:pPr>
            <w:r/>
            <w:r>
              <w:rPr>
                <w:rFonts w:ascii="Aptos" w:hAnsi="Aptos"/>
                <w:b w:val="0"/>
                <w:sz w:val="16"/>
              </w:rPr>
              <w:t>P1</w:t>
            </w:r>
          </w:p>
        </w:tc>
        <w:tc>
          <w:tcPr>
            <w:tcW w:type="dxa" w:w="2541"/>
            <w:vAlign w:val="center"/>
          </w:tcPr>
          <w:p>
            <w:pPr>
              <w:spacing w:after="20"/>
            </w:pPr>
            <w:r/>
            <w:r>
              <w:rPr>
                <w:rFonts w:ascii="Aptos" w:hAnsi="Aptos"/>
                <w:b w:val="0"/>
                <w:sz w:val="16"/>
              </w:rPr>
              <w:t>Domain taxonomy and feature knowledge base, with human-reviewed canonical mappings.</w:t>
            </w:r>
          </w:p>
        </w:tc>
        <w:tc>
          <w:tcPr>
            <w:tcW w:type="dxa" w:w="2541"/>
            <w:vAlign w:val="center"/>
          </w:tcPr>
          <w:p>
            <w:pPr>
              <w:spacing w:after="20"/>
            </w:pPr>
            <w:r/>
            <w:r>
              <w:rPr>
                <w:rFonts w:ascii="Aptos" w:hAnsi="Aptos"/>
                <w:b w:val="0"/>
                <w:sz w:val="16"/>
              </w:rPr>
              <w:t>Improves consistency of graph nodes, rarity statistics and cross-project comparisons.</w:t>
            </w:r>
          </w:p>
        </w:tc>
        <w:tc>
          <w:tcPr>
            <w:tcW w:type="dxa" w:w="2541"/>
            <w:vAlign w:val="center"/>
          </w:tcPr>
          <w:p>
            <w:pPr>
              <w:spacing w:after="20"/>
            </w:pPr>
            <w:r/>
            <w:r>
              <w:rPr>
                <w:rFonts w:ascii="Aptos" w:hAnsi="Aptos"/>
                <w:b w:val="0"/>
                <w:sz w:val="16"/>
              </w:rPr>
              <w:t>Track provenance, synonyms and taxonomy versions.</w:t>
            </w:r>
          </w:p>
        </w:tc>
      </w:tr>
      <w:tr>
        <w:tc>
          <w:tcPr>
            <w:tcW w:type="dxa" w:w="2541"/>
            <w:vAlign w:val="center"/>
          </w:tcPr>
          <w:p>
            <w:pPr>
              <w:spacing w:after="20"/>
            </w:pPr>
            <w:r/>
            <w:r>
              <w:rPr>
                <w:rFonts w:ascii="Aptos" w:hAnsi="Aptos"/>
                <w:b w:val="0"/>
                <w:sz w:val="16"/>
              </w:rPr>
              <w:t>P1</w:t>
            </w:r>
          </w:p>
        </w:tc>
        <w:tc>
          <w:tcPr>
            <w:tcW w:type="dxa" w:w="2541"/>
            <w:vAlign w:val="center"/>
          </w:tcPr>
          <w:p>
            <w:pPr>
              <w:spacing w:after="20"/>
            </w:pPr>
            <w:r/>
            <w:r>
              <w:rPr>
                <w:rFonts w:ascii="Aptos" w:hAnsi="Aptos"/>
                <w:b w:val="0"/>
                <w:sz w:val="16"/>
              </w:rPr>
              <w:t>TrendBase with timestamped topic/paper/citation observations.</w:t>
            </w:r>
          </w:p>
        </w:tc>
        <w:tc>
          <w:tcPr>
            <w:tcW w:type="dxa" w:w="2541"/>
            <w:vAlign w:val="center"/>
          </w:tcPr>
          <w:p>
            <w:pPr>
              <w:spacing w:after="20"/>
            </w:pPr>
            <w:r/>
            <w:r>
              <w:rPr>
                <w:rFonts w:ascii="Aptos" w:hAnsi="Aptos"/>
                <w:b w:val="0"/>
                <w:sz w:val="16"/>
              </w:rPr>
              <w:t>Supports reproducible trend calculations and freshness checks.</w:t>
            </w:r>
          </w:p>
        </w:tc>
        <w:tc>
          <w:tcPr>
            <w:tcW w:type="dxa" w:w="2541"/>
            <w:vAlign w:val="center"/>
          </w:tcPr>
          <w:p>
            <w:pPr>
              <w:spacing w:after="20"/>
            </w:pPr>
            <w:r/>
            <w:r>
              <w:rPr>
                <w:rFonts w:ascii="Aptos" w:hAnsi="Aptos"/>
                <w:b w:val="0"/>
                <w:sz w:val="16"/>
              </w:rPr>
              <w:t>Define query, time windows, API, and citation-count capture date.</w:t>
            </w:r>
          </w:p>
        </w:tc>
      </w:tr>
      <w:tr>
        <w:tc>
          <w:tcPr>
            <w:tcW w:type="dxa" w:w="2541"/>
            <w:vAlign w:val="center"/>
          </w:tcPr>
          <w:p>
            <w:pPr>
              <w:spacing w:after="20"/>
            </w:pPr>
            <w:r/>
            <w:r>
              <w:rPr>
                <w:rFonts w:ascii="Aptos" w:hAnsi="Aptos"/>
                <w:b w:val="0"/>
                <w:sz w:val="16"/>
              </w:rPr>
              <w:t>P2</w:t>
            </w:r>
          </w:p>
        </w:tc>
        <w:tc>
          <w:tcPr>
            <w:tcW w:type="dxa" w:w="2541"/>
            <w:vAlign w:val="center"/>
          </w:tcPr>
          <w:p>
            <w:pPr>
              <w:spacing w:after="20"/>
            </w:pPr>
            <w:r/>
            <w:r>
              <w:rPr>
                <w:rFonts w:ascii="Aptos" w:hAnsi="Aptos"/>
                <w:b w:val="0"/>
                <w:sz w:val="16"/>
              </w:rPr>
              <w:t>External web retrieval cache for permitted accessible pages.</w:t>
            </w:r>
          </w:p>
        </w:tc>
        <w:tc>
          <w:tcPr>
            <w:tcW w:type="dxa" w:w="2541"/>
            <w:vAlign w:val="center"/>
          </w:tcPr>
          <w:p>
            <w:pPr>
              <w:spacing w:after="20"/>
            </w:pPr>
            <w:r/>
            <w:r>
              <w:rPr>
                <w:rFonts w:ascii="Aptos" w:hAnsi="Aptos"/>
                <w:b w:val="0"/>
                <w:sz w:val="16"/>
              </w:rPr>
              <w:t>Finds sources absent from institutional/scholarly corpus.</w:t>
            </w:r>
          </w:p>
        </w:tc>
        <w:tc>
          <w:tcPr>
            <w:tcW w:type="dxa" w:w="2541"/>
            <w:vAlign w:val="center"/>
          </w:tcPr>
          <w:p>
            <w:pPr>
              <w:spacing w:after="20"/>
            </w:pPr>
            <w:r/>
            <w:r>
              <w:rPr>
                <w:rFonts w:ascii="Aptos" w:hAnsi="Aptos"/>
                <w:b w:val="0"/>
                <w:sz w:val="16"/>
              </w:rPr>
              <w:t>Cannot claim complete web coverage; access and crawling restrictions apply.</w:t>
            </w:r>
          </w:p>
        </w:tc>
      </w:tr>
      <w:tr>
        <w:tc>
          <w:tcPr>
            <w:tcW w:type="dxa" w:w="2541"/>
            <w:vAlign w:val="center"/>
          </w:tcPr>
          <w:p>
            <w:pPr>
              <w:spacing w:after="20"/>
            </w:pPr>
            <w:r/>
            <w:r>
              <w:rPr>
                <w:rFonts w:ascii="Aptos" w:hAnsi="Aptos"/>
                <w:b w:val="0"/>
                <w:sz w:val="16"/>
              </w:rPr>
              <w:t>P2</w:t>
            </w:r>
          </w:p>
        </w:tc>
        <w:tc>
          <w:tcPr>
            <w:tcW w:type="dxa" w:w="2541"/>
            <w:vAlign w:val="center"/>
          </w:tcPr>
          <w:p>
            <w:pPr>
              <w:spacing w:after="20"/>
            </w:pPr>
            <w:r/>
            <w:r>
              <w:rPr>
                <w:rFonts w:ascii="Aptos" w:hAnsi="Aptos"/>
                <w:b w:val="0"/>
                <w:sz w:val="16"/>
              </w:rPr>
              <w:t>Cross-institution benchmark, with permission and anonymisation.</w:t>
            </w:r>
          </w:p>
        </w:tc>
        <w:tc>
          <w:tcPr>
            <w:tcW w:type="dxa" w:w="2541"/>
            <w:vAlign w:val="center"/>
          </w:tcPr>
          <w:p>
            <w:pPr>
              <w:spacing w:after="20"/>
            </w:pPr>
            <w:r/>
            <w:r>
              <w:rPr>
                <w:rFonts w:ascii="Aptos" w:hAnsi="Aptos"/>
                <w:b w:val="0"/>
                <w:sz w:val="16"/>
              </w:rPr>
              <w:t>Tests whether the model generalises beyond one college/batch.</w:t>
            </w:r>
          </w:p>
        </w:tc>
        <w:tc>
          <w:tcPr>
            <w:tcW w:type="dxa" w:w="2541"/>
            <w:vAlign w:val="center"/>
          </w:tcPr>
          <w:p>
            <w:pPr>
              <w:spacing w:after="20"/>
            </w:pPr>
            <w:r/>
            <w:r>
              <w:rPr>
                <w:rFonts w:ascii="Aptos" w:hAnsi="Aptos"/>
                <w:b w:val="0"/>
                <w:sz w:val="16"/>
              </w:rPr>
              <w:t>Do not mix institution-specific duplicates across train/test.</w:t>
            </w:r>
          </w:p>
        </w:tc>
      </w:tr>
      <w:tr>
        <w:tc>
          <w:tcPr>
            <w:tcW w:type="dxa" w:w="2541"/>
            <w:vAlign w:val="center"/>
          </w:tcPr>
          <w:p>
            <w:pPr>
              <w:spacing w:after="20"/>
            </w:pPr>
            <w:r/>
            <w:r>
              <w:rPr>
                <w:rFonts w:ascii="Aptos" w:hAnsi="Aptos"/>
                <w:b w:val="0"/>
                <w:sz w:val="16"/>
              </w:rPr>
              <w:t>P2</w:t>
            </w:r>
          </w:p>
        </w:tc>
        <w:tc>
          <w:tcPr>
            <w:tcW w:type="dxa" w:w="2541"/>
            <w:vAlign w:val="center"/>
          </w:tcPr>
          <w:p>
            <w:pPr>
              <w:spacing w:after="20"/>
            </w:pPr>
            <w:r/>
            <w:r>
              <w:rPr>
                <w:rFonts w:ascii="Aptos" w:hAnsi="Aptos"/>
                <w:b w:val="0"/>
                <w:sz w:val="16"/>
              </w:rPr>
              <w:t>Outcome evidence: prototype/demo, test results, user study, deployment/usage logs.</w:t>
            </w:r>
          </w:p>
        </w:tc>
        <w:tc>
          <w:tcPr>
            <w:tcW w:type="dxa" w:w="2541"/>
            <w:vAlign w:val="center"/>
          </w:tcPr>
          <w:p>
            <w:pPr>
              <w:spacing w:after="20"/>
            </w:pPr>
            <w:r/>
            <w:r>
              <w:rPr>
                <w:rFonts w:ascii="Aptos" w:hAnsi="Aptos"/>
                <w:b w:val="0"/>
                <w:sz w:val="16"/>
              </w:rPr>
              <w:t>Can improve feasibility/completeness assessment with real evidence rather than text-only proxies.</w:t>
            </w:r>
          </w:p>
        </w:tc>
        <w:tc>
          <w:tcPr>
            <w:tcW w:type="dxa" w:w="2541"/>
            <w:vAlign w:val="center"/>
          </w:tcPr>
          <w:p>
            <w:pPr>
              <w:spacing w:after="20"/>
            </w:pPr>
            <w:r/>
            <w:r>
              <w:rPr>
                <w:rFonts w:ascii="Aptos" w:hAnsi="Aptos"/>
                <w:b w:val="0"/>
                <w:sz w:val="16"/>
              </w:rPr>
              <w:t>A GitHub link or polished report alone is not proof that a system works.</w:t>
            </w:r>
          </w:p>
        </w:tc>
      </w:tr>
    </w:tbl>
    <w:p/>
    <w:p>
      <w:pPr>
        <w:pStyle w:val="Heading1"/>
      </w:pPr>
      <w:r>
        <w:t>10. Database design recommendations</w:t>
      </w:r>
    </w:p>
    <w:p>
      <w:r>
        <w:t>PostgreSQL should remain the system of record for metadata, submissions, rubric scores, source evidence, human reviews, model versions and benchmark labels. Neo4j should represent projects, entities and relationships for graph-based novelty. A vector index (pgvector or a separate vector store) may be added for semantic passage retrieval if the current PostgreSQL setup cannot support the required scale. Redis/Celery are task-processing infrastructure, not the authoritative corpus.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FE2F3"/>
          </w:tcPr>
          <w:p>
            <w:pPr>
              <w:spacing w:after="20"/>
            </w:pPr>
            <w:r/>
            <w:r>
              <w:rPr>
                <w:rFonts w:ascii="Aptos" w:hAnsi="Aptos"/>
                <w:b/>
                <w:sz w:val="17"/>
              </w:rPr>
              <w:t>Store</w:t>
            </w:r>
          </w:p>
        </w:tc>
        <w:tc>
          <w:tcPr>
            <w:tcW w:type="dxa" w:w="3389"/>
            <w:vAlign w:val="center"/>
            <w:shd w:fill="CFE2F3"/>
          </w:tcPr>
          <w:p>
            <w:pPr>
              <w:spacing w:after="20"/>
            </w:pPr>
            <w:r/>
            <w:r>
              <w:rPr>
                <w:rFonts w:ascii="Aptos" w:hAnsi="Aptos"/>
                <w:b/>
                <w:sz w:val="17"/>
              </w:rPr>
              <w:t>Example entities / tables</w:t>
            </w:r>
          </w:p>
        </w:tc>
        <w:tc>
          <w:tcPr>
            <w:tcW w:type="dxa" w:w="3389"/>
            <w:vAlign w:val="center"/>
            <w:shd w:fill="CFE2F3"/>
          </w:tcPr>
          <w:p>
            <w:pPr>
              <w:spacing w:after="20"/>
            </w:pPr>
            <w:r/>
            <w:r>
              <w:rPr>
                <w:rFonts w:ascii="Aptos" w:hAnsi="Aptos"/>
                <w:b/>
                <w:sz w:val="17"/>
              </w:rPr>
              <w:t>Recommended contents</w:t>
            </w:r>
          </w:p>
        </w:tc>
      </w:tr>
      <w:tr>
        <w:tc>
          <w:tcPr>
            <w:tcW w:type="dxa" w:w="3389"/>
            <w:vAlign w:val="center"/>
          </w:tcPr>
          <w:p>
            <w:pPr>
              <w:spacing w:after="20"/>
            </w:pPr>
            <w:r/>
            <w:r>
              <w:rPr>
                <w:rFonts w:ascii="Aptos" w:hAnsi="Aptos"/>
                <w:b w:val="0"/>
                <w:sz w:val="16"/>
              </w:rPr>
              <w:t>PostgreSQL</w:t>
            </w:r>
          </w:p>
        </w:tc>
        <w:tc>
          <w:tcPr>
            <w:tcW w:type="dxa" w:w="3389"/>
            <w:vAlign w:val="center"/>
          </w:tcPr>
          <w:p>
            <w:pPr>
              <w:spacing w:after="20"/>
            </w:pPr>
            <w:r/>
            <w:r>
              <w:rPr>
                <w:rFonts w:ascii="Aptos" w:hAnsi="Aptos"/>
                <w:b w:val="0"/>
                <w:sz w:val="16"/>
              </w:rPr>
              <w:t>projects, documents, document_passages, source_records, plagiarism_matches, rubric_scores, faculty_reviews, model_versions, evaluation_runs, dataset_versions</w:t>
            </w:r>
          </w:p>
        </w:tc>
        <w:tc>
          <w:tcPr>
            <w:tcW w:type="dxa" w:w="3389"/>
            <w:vAlign w:val="center"/>
          </w:tcPr>
          <w:p>
            <w:pPr>
              <w:spacing w:after="20"/>
            </w:pPr>
            <w:r/>
            <w:r>
              <w:rPr>
                <w:rFonts w:ascii="Aptos" w:hAnsi="Aptos"/>
                <w:b w:val="0"/>
                <w:sz w:val="16"/>
              </w:rPr>
              <w:t>Canonical IDs, metadata, extracted text references, scores, labels, provenance, timestamps and audit trail.</w:t>
            </w:r>
          </w:p>
        </w:tc>
      </w:tr>
      <w:tr>
        <w:tc>
          <w:tcPr>
            <w:tcW w:type="dxa" w:w="3389"/>
            <w:vAlign w:val="center"/>
          </w:tcPr>
          <w:p>
            <w:pPr>
              <w:spacing w:after="20"/>
            </w:pPr>
            <w:r/>
            <w:r>
              <w:rPr>
                <w:rFonts w:ascii="Aptos" w:hAnsi="Aptos"/>
                <w:b w:val="0"/>
                <w:sz w:val="16"/>
              </w:rPr>
              <w:t>Neo4j</w:t>
            </w:r>
          </w:p>
        </w:tc>
        <w:tc>
          <w:tcPr>
            <w:tcW w:type="dxa" w:w="3389"/>
            <w:vAlign w:val="center"/>
          </w:tcPr>
          <w:p>
            <w:pPr>
              <w:spacing w:after="20"/>
            </w:pPr>
            <w:r/>
            <w:r>
              <w:rPr>
                <w:rFonts w:ascii="Aptos" w:hAnsi="Aptos"/>
                <w:b w:val="0"/>
                <w:sz w:val="16"/>
              </w:rPr>
              <w:t>Project, Domain, Algorithm, Technology, Dataset, Application, Hardware, Metric nodes; USES/ADDRESSES/EVALUATED_WITH edges</w:t>
            </w:r>
          </w:p>
        </w:tc>
        <w:tc>
          <w:tcPr>
            <w:tcW w:type="dxa" w:w="3389"/>
            <w:vAlign w:val="center"/>
          </w:tcPr>
          <w:p>
            <w:pPr>
              <w:spacing w:after="20"/>
            </w:pPr>
            <w:r/>
            <w:r>
              <w:rPr>
                <w:rFonts w:ascii="Aptos" w:hAnsi="Aptos"/>
                <w:b w:val="0"/>
                <w:sz w:val="16"/>
              </w:rPr>
              <w:t>Project graph, canonical entity links, graph snapshot/version, relationships used by novelty features.</w:t>
            </w:r>
          </w:p>
        </w:tc>
      </w:tr>
      <w:tr>
        <w:tc>
          <w:tcPr>
            <w:tcW w:type="dxa" w:w="3389"/>
            <w:vAlign w:val="center"/>
          </w:tcPr>
          <w:p>
            <w:pPr>
              <w:spacing w:after="20"/>
            </w:pPr>
            <w:r/>
            <w:r>
              <w:rPr>
                <w:rFonts w:ascii="Aptos" w:hAnsi="Aptos"/>
                <w:b w:val="0"/>
                <w:sz w:val="16"/>
              </w:rPr>
              <w:t>Vector index (optional)</w:t>
            </w:r>
          </w:p>
        </w:tc>
        <w:tc>
          <w:tcPr>
            <w:tcW w:type="dxa" w:w="3389"/>
            <w:vAlign w:val="center"/>
          </w:tcPr>
          <w:p>
            <w:pPr>
              <w:spacing w:after="20"/>
            </w:pPr>
            <w:r/>
            <w:r>
              <w:rPr>
                <w:rFonts w:ascii="Aptos" w:hAnsi="Aptos"/>
                <w:b w:val="0"/>
                <w:sz w:val="16"/>
              </w:rPr>
              <w:t>Passage embeddings and metadata IDs</w:t>
            </w:r>
          </w:p>
        </w:tc>
        <w:tc>
          <w:tcPr>
            <w:tcW w:type="dxa" w:w="3389"/>
            <w:vAlign w:val="center"/>
          </w:tcPr>
          <w:p>
            <w:pPr>
              <w:spacing w:after="20"/>
            </w:pPr>
            <w:r/>
            <w:r>
              <w:rPr>
                <w:rFonts w:ascii="Aptos" w:hAnsi="Aptos"/>
                <w:b w:val="0"/>
                <w:sz w:val="16"/>
              </w:rPr>
              <w:t>Embedding, model version, passage ID, source ID; used to retrieve semantically similar passages.</w:t>
            </w:r>
          </w:p>
        </w:tc>
      </w:tr>
      <w:tr>
        <w:tc>
          <w:tcPr>
            <w:tcW w:type="dxa" w:w="3389"/>
            <w:vAlign w:val="center"/>
          </w:tcPr>
          <w:p>
            <w:pPr>
              <w:spacing w:after="20"/>
            </w:pPr>
            <w:r/>
            <w:r>
              <w:rPr>
                <w:rFonts w:ascii="Aptos" w:hAnsi="Aptos"/>
                <w:b w:val="0"/>
                <w:sz w:val="16"/>
              </w:rPr>
              <w:t>Object storage (optional)</w:t>
            </w:r>
          </w:p>
        </w:tc>
        <w:tc>
          <w:tcPr>
            <w:tcW w:type="dxa" w:w="3389"/>
            <w:vAlign w:val="center"/>
          </w:tcPr>
          <w:p>
            <w:pPr>
              <w:spacing w:after="20"/>
            </w:pPr>
            <w:r/>
            <w:r>
              <w:rPr>
                <w:rFonts w:ascii="Aptos" w:hAnsi="Aptos"/>
                <w:b w:val="0"/>
                <w:sz w:val="16"/>
              </w:rPr>
              <w:t>Original files and processed artifacts</w:t>
            </w:r>
          </w:p>
        </w:tc>
        <w:tc>
          <w:tcPr>
            <w:tcW w:type="dxa" w:w="3389"/>
            <w:vAlign w:val="center"/>
          </w:tcPr>
          <w:p>
            <w:pPr>
              <w:spacing w:after="20"/>
            </w:pPr>
            <w:r/>
            <w:r>
              <w:rPr>
                <w:rFonts w:ascii="Aptos" w:hAnsi="Aptos"/>
                <w:b w:val="0"/>
                <w:sz w:val="16"/>
              </w:rPr>
              <w:t>Original authorised uploads, extracted JSON, code snapshots, hashes and reports; access-controlled.</w:t>
            </w:r>
          </w:p>
        </w:tc>
      </w:tr>
      <w:tr>
        <w:tc>
          <w:tcPr>
            <w:tcW w:type="dxa" w:w="3389"/>
            <w:vAlign w:val="center"/>
          </w:tcPr>
          <w:p>
            <w:pPr>
              <w:spacing w:after="20"/>
            </w:pPr>
            <w:r/>
            <w:r>
              <w:rPr>
                <w:rFonts w:ascii="Aptos" w:hAnsi="Aptos"/>
                <w:b w:val="0"/>
                <w:sz w:val="16"/>
              </w:rPr>
              <w:t>Redis/Celery</w:t>
            </w:r>
          </w:p>
        </w:tc>
        <w:tc>
          <w:tcPr>
            <w:tcW w:type="dxa" w:w="3389"/>
            <w:vAlign w:val="center"/>
          </w:tcPr>
          <w:p>
            <w:pPr>
              <w:spacing w:after="20"/>
            </w:pPr>
            <w:r/>
            <w:r>
              <w:rPr>
                <w:rFonts w:ascii="Aptos" w:hAnsi="Aptos"/>
                <w:b w:val="0"/>
                <w:sz w:val="16"/>
              </w:rPr>
              <w:t>Task queue and temporary task state</w:t>
            </w:r>
          </w:p>
        </w:tc>
        <w:tc>
          <w:tcPr>
            <w:tcW w:type="dxa" w:w="3389"/>
            <w:vAlign w:val="center"/>
          </w:tcPr>
          <w:p>
            <w:pPr>
              <w:spacing w:after="20"/>
            </w:pPr>
            <w:r/>
            <w:r>
              <w:rPr>
                <w:rFonts w:ascii="Aptos" w:hAnsi="Aptos"/>
                <w:b w:val="0"/>
                <w:sz w:val="16"/>
              </w:rPr>
              <w:t>Long-running ingestion, parsing, embedding and scoring jobs; do not use as the only permanent record.</w:t>
            </w:r>
          </w:p>
        </w:tc>
      </w:tr>
    </w:tbl>
    <w:p/>
    <w:p>
      <w:pPr>
        <w:pStyle w:val="Heading1"/>
      </w:pPr>
      <w:r>
        <w:t>11. Accuracy and governance safeguards</w:t>
      </w:r>
    </w:p>
    <w:p>
      <w:pPr>
        <w:pStyle w:val="ListBullet"/>
        <w:spacing w:after="40"/>
      </w:pPr>
      <w:r>
        <w:t>Never compare a candidate against a corpus that already contains that same candidate or a near-identical duplicate when measuring novelty.</w:t>
      </w:r>
    </w:p>
    <w:p>
      <w:pPr>
        <w:pStyle w:val="ListBullet"/>
        <w:spacing w:after="40"/>
      </w:pPr>
      <w:r>
        <w:t>Keep train/validation/test datasets separated by project family and preferably by time/cohort. Fit TF-IDF vocabulary, normalization parameters, thresholds and calibration models without using the test set.</w:t>
      </w:r>
    </w:p>
    <w:p>
      <w:pPr>
        <w:pStyle w:val="ListBullet"/>
        <w:spacing w:after="40"/>
      </w:pPr>
      <w:r>
        <w:t>Store model name/version, tokenizer, embedding version, corpus snapshot, source retrieval date, formula version and threshold version with every score.</w:t>
      </w:r>
    </w:p>
    <w:p>
      <w:pPr>
        <w:pStyle w:val="ListBullet"/>
        <w:spacing w:after="40"/>
      </w:pPr>
      <w:r>
        <w:t>Handle missing data explicitly. If no GitHub repository is provided, do not quietly score repository presence as zero unless that rule is stated and fair; mark not applicable or use a documented missing-data policy.</w:t>
      </w:r>
    </w:p>
    <w:p>
      <w:pPr>
        <w:pStyle w:val="ListBullet"/>
        <w:spacing w:after="40"/>
      </w:pPr>
      <w:r>
        <w:t>Show evidence coverage separately from score. For example, “coverage: 42 full-text sources + 130 abstracts” is more informative than pretending the corpus covers the entire internet.</w:t>
      </w:r>
    </w:p>
    <w:p>
      <w:pPr>
        <w:pStyle w:val="ListBullet"/>
        <w:spacing w:after="40"/>
      </w:pPr>
      <w:r>
        <w:t>Do not use rare features or a sparse graph as proof of novelty. They are proxies that need external literature comparison and expert validation.</w:t>
      </w:r>
    </w:p>
    <w:p>
      <w:pPr>
        <w:pStyle w:val="ListBullet"/>
        <w:spacing w:after="40"/>
      </w:pPr>
      <w:r>
        <w:t>Do not treat an AI detector's claim about AI-generated writing as proof of plagiarism or misconduct. That is a separate task with separate limitations and evaluation.</w:t>
      </w:r>
    </w:p>
    <w:p>
      <w:pPr>
        <w:pStyle w:val="ListBullet"/>
        <w:spacing w:after="40"/>
      </w:pPr>
      <w:r>
        <w:t>Use human review for adverse academic-integrity decisions. Provide an appeal/correction path and preserve the evidence used to make the decision.</w:t>
      </w:r>
    </w:p>
    <w:p>
      <w:pPr>
        <w:pStyle w:val="ListBullet"/>
        <w:spacing w:after="40"/>
      </w:pPr>
      <w:r>
        <w:t>Protect student submissions and code. Define permissions, role-based access, encryption, retention/deletion policy and whether data may be reused for model training.</w:t>
      </w:r>
    </w:p>
    <w:p>
      <w:pPr>
        <w:pStyle w:val="ListBullet"/>
        <w:spacing w:after="40"/>
      </w:pPr>
      <w:r>
        <w:t>Use a separate “reviewer decision” field for confirmed plagiarism, acceptable overlap, uncertain, and no issue. Do not train on raw similarity flags as if they were confirmed plagiarism labels.</w:t>
      </w:r>
    </w:p>
    <w:p>
      <w:pPr>
        <w:pStyle w:val="Heading1"/>
      </w:pPr>
      <w:r>
        <w:t>12. Suggested implementation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FE2F3"/>
          </w:tcPr>
          <w:p>
            <w:pPr>
              <w:spacing w:after="20"/>
            </w:pPr>
            <w:r/>
            <w:r>
              <w:rPr>
                <w:rFonts w:ascii="Aptos" w:hAnsi="Aptos"/>
                <w:b/>
                <w:sz w:val="17"/>
              </w:rPr>
              <w:t>Phase</w:t>
            </w:r>
          </w:p>
        </w:tc>
        <w:tc>
          <w:tcPr>
            <w:tcW w:type="dxa" w:w="3389"/>
            <w:vAlign w:val="center"/>
            <w:shd w:fill="CFE2F3"/>
          </w:tcPr>
          <w:p>
            <w:pPr>
              <w:spacing w:after="20"/>
            </w:pPr>
            <w:r/>
            <w:r>
              <w:rPr>
                <w:rFonts w:ascii="Aptos" w:hAnsi="Aptos"/>
                <w:b/>
                <w:sz w:val="17"/>
              </w:rPr>
              <w:t>Work</w:t>
            </w:r>
          </w:p>
        </w:tc>
        <w:tc>
          <w:tcPr>
            <w:tcW w:type="dxa" w:w="3389"/>
            <w:vAlign w:val="center"/>
            <w:shd w:fill="CFE2F3"/>
          </w:tcPr>
          <w:p>
            <w:pPr>
              <w:spacing w:after="20"/>
            </w:pPr>
            <w:r/>
            <w:r>
              <w:rPr>
                <w:rFonts w:ascii="Aptos" w:hAnsi="Aptos"/>
                <w:b/>
                <w:sz w:val="17"/>
              </w:rPr>
              <w:t>Deliverable / exit condition</w:t>
            </w:r>
          </w:p>
        </w:tc>
      </w:tr>
      <w:tr>
        <w:tc>
          <w:tcPr>
            <w:tcW w:type="dxa" w:w="3389"/>
            <w:vAlign w:val="center"/>
          </w:tcPr>
          <w:p>
            <w:pPr>
              <w:spacing w:after="20"/>
            </w:pPr>
            <w:r/>
            <w:r>
              <w:rPr>
                <w:rFonts w:ascii="Aptos" w:hAnsi="Aptos"/>
                <w:b w:val="0"/>
                <w:sz w:val="16"/>
              </w:rPr>
              <w:t>Phase 1 — Audit</w:t>
            </w:r>
          </w:p>
        </w:tc>
        <w:tc>
          <w:tcPr>
            <w:tcW w:type="dxa" w:w="3389"/>
            <w:vAlign w:val="center"/>
          </w:tcPr>
          <w:p>
            <w:pPr>
              <w:spacing w:after="20"/>
            </w:pPr>
            <w:r/>
            <w:r>
              <w:rPr>
                <w:rFonts w:ascii="Aptos" w:hAnsi="Aptos"/>
                <w:b w:val="0"/>
                <w:sz w:val="16"/>
              </w:rPr>
              <w:t>Verify formulas, database tables, source corpus, dependencies, source offsets and model calls in the repository.</w:t>
            </w:r>
          </w:p>
        </w:tc>
        <w:tc>
          <w:tcPr>
            <w:tcW w:type="dxa" w:w="3389"/>
            <w:vAlign w:val="center"/>
          </w:tcPr>
          <w:p>
            <w:pPr>
              <w:spacing w:after="20"/>
            </w:pPr>
            <w:r/>
            <w:r>
              <w:rPr>
                <w:rFonts w:ascii="Aptos" w:hAnsi="Aptos"/>
                <w:b w:val="0"/>
                <w:sz w:val="16"/>
              </w:rPr>
              <w:t>Code-to-document formula map; known/unknown feature list; reproducible baseline run.</w:t>
            </w:r>
          </w:p>
        </w:tc>
      </w:tr>
      <w:tr>
        <w:tc>
          <w:tcPr>
            <w:tcW w:type="dxa" w:w="3389"/>
            <w:vAlign w:val="center"/>
          </w:tcPr>
          <w:p>
            <w:pPr>
              <w:spacing w:after="20"/>
            </w:pPr>
            <w:r/>
            <w:r>
              <w:rPr>
                <w:rFonts w:ascii="Aptos" w:hAnsi="Aptos"/>
                <w:b w:val="0"/>
                <w:sz w:val="16"/>
              </w:rPr>
              <w:t>Phase 2 — Evidence-first plagiarism MVP</w:t>
            </w:r>
          </w:p>
        </w:tc>
        <w:tc>
          <w:tcPr>
            <w:tcW w:type="dxa" w:w="3389"/>
            <w:vAlign w:val="center"/>
          </w:tcPr>
          <w:p>
            <w:pPr>
              <w:spacing w:after="20"/>
            </w:pPr>
            <w:r/>
            <w:r>
              <w:rPr>
                <w:rFonts w:ascii="Aptos" w:hAnsi="Aptos"/>
                <w:b w:val="0"/>
                <w:sz w:val="16"/>
              </w:rPr>
              <w:t>Create source/document/passage tables; ingest institutional documents; retain source and page/line offsets; show top matching passages.</w:t>
            </w:r>
          </w:p>
        </w:tc>
        <w:tc>
          <w:tcPr>
            <w:tcW w:type="dxa" w:w="3389"/>
            <w:vAlign w:val="center"/>
          </w:tcPr>
          <w:p>
            <w:pPr>
              <w:spacing w:after="20"/>
            </w:pPr>
            <w:r/>
            <w:r>
              <w:rPr>
                <w:rFonts w:ascii="Aptos" w:hAnsi="Aptos"/>
                <w:b w:val="0"/>
                <w:sz w:val="16"/>
              </w:rPr>
              <w:t>Every reported match opens the source and exact passage; no source-free percentage-only report.</w:t>
            </w:r>
          </w:p>
        </w:tc>
      </w:tr>
      <w:tr>
        <w:tc>
          <w:tcPr>
            <w:tcW w:type="dxa" w:w="3389"/>
            <w:vAlign w:val="center"/>
          </w:tcPr>
          <w:p>
            <w:pPr>
              <w:spacing w:after="20"/>
            </w:pPr>
            <w:r/>
            <w:r>
              <w:rPr>
                <w:rFonts w:ascii="Aptos" w:hAnsi="Aptos"/>
                <w:b w:val="0"/>
                <w:sz w:val="16"/>
              </w:rPr>
              <w:t>Phase 3 — Benchmark and thresholds</w:t>
            </w:r>
          </w:p>
        </w:tc>
        <w:tc>
          <w:tcPr>
            <w:tcW w:type="dxa" w:w="3389"/>
            <w:vAlign w:val="center"/>
          </w:tcPr>
          <w:p>
            <w:pPr>
              <w:spacing w:after="20"/>
            </w:pPr>
            <w:r/>
            <w:r>
              <w:rPr>
                <w:rFonts w:ascii="Aptos" w:hAnsi="Aptos"/>
                <w:b w:val="0"/>
                <w:sz w:val="16"/>
              </w:rPr>
              <w:t>Label positive/negative text/code pairs; evaluate TF-IDF, semantic and code engines separately and combined.</w:t>
            </w:r>
          </w:p>
        </w:tc>
        <w:tc>
          <w:tcPr>
            <w:tcW w:type="dxa" w:w="3389"/>
            <w:vAlign w:val="center"/>
          </w:tcPr>
          <w:p>
            <w:pPr>
              <w:spacing w:after="20"/>
            </w:pPr>
            <w:r/>
            <w:r>
              <w:rPr>
                <w:rFonts w:ascii="Aptos" w:hAnsi="Aptos"/>
                <w:b w:val="0"/>
                <w:sz w:val="16"/>
              </w:rPr>
              <w:t>Precision/recall/F1/false-positive rate by category; thresholds selected on validation set.</w:t>
            </w:r>
          </w:p>
        </w:tc>
      </w:tr>
      <w:tr>
        <w:tc>
          <w:tcPr>
            <w:tcW w:type="dxa" w:w="3389"/>
            <w:vAlign w:val="center"/>
          </w:tcPr>
          <w:p>
            <w:pPr>
              <w:spacing w:after="20"/>
            </w:pPr>
            <w:r/>
            <w:r>
              <w:rPr>
                <w:rFonts w:ascii="Aptos" w:hAnsi="Aptos"/>
                <w:b w:val="0"/>
                <w:sz w:val="16"/>
              </w:rPr>
              <w:t>Phase 4 — Faculty scoring pilot</w:t>
            </w:r>
          </w:p>
        </w:tc>
        <w:tc>
          <w:tcPr>
            <w:tcW w:type="dxa" w:w="3389"/>
            <w:vAlign w:val="center"/>
          </w:tcPr>
          <w:p>
            <w:pPr>
              <w:spacing w:after="20"/>
            </w:pPr>
            <w:r/>
            <w:r>
              <w:rPr>
                <w:rFonts w:ascii="Aptos" w:hAnsi="Aptos"/>
                <w:b w:val="0"/>
                <w:sz w:val="16"/>
              </w:rPr>
              <w:t>Use a shared rubric; collect blind independent guide/reviewer ratings; adjudicate disagreements.</w:t>
            </w:r>
          </w:p>
        </w:tc>
        <w:tc>
          <w:tcPr>
            <w:tcW w:type="dxa" w:w="3389"/>
            <w:vAlign w:val="center"/>
          </w:tcPr>
          <w:p>
            <w:pPr>
              <w:spacing w:after="20"/>
            </w:pPr>
            <w:r/>
            <w:r>
              <w:rPr>
                <w:rFonts w:ascii="Aptos" w:hAnsi="Aptos"/>
                <w:b w:val="0"/>
                <w:sz w:val="16"/>
              </w:rPr>
              <w:t>FacultyEvaluation table with rubric version, independent ratings and comments.</w:t>
            </w:r>
          </w:p>
        </w:tc>
      </w:tr>
      <w:tr>
        <w:tc>
          <w:tcPr>
            <w:tcW w:type="dxa" w:w="3389"/>
            <w:vAlign w:val="center"/>
          </w:tcPr>
          <w:p>
            <w:pPr>
              <w:spacing w:after="20"/>
            </w:pPr>
            <w:r/>
            <w:r>
              <w:rPr>
                <w:rFonts w:ascii="Aptos" w:hAnsi="Aptos"/>
                <w:b w:val="0"/>
                <w:sz w:val="16"/>
              </w:rPr>
              <w:t>Phase 5 — Score validity</w:t>
            </w:r>
          </w:p>
        </w:tc>
        <w:tc>
          <w:tcPr>
            <w:tcW w:type="dxa" w:w="3389"/>
            <w:vAlign w:val="center"/>
          </w:tcPr>
          <w:p>
            <w:pPr>
              <w:spacing w:after="20"/>
            </w:pPr>
            <w:r/>
            <w:r>
              <w:rPr>
                <w:rFonts w:ascii="Aptos" w:hAnsi="Aptos"/>
                <w:b w:val="0"/>
                <w:sz w:val="16"/>
              </w:rPr>
              <w:t>Compare fixed formula to human scores; report per-dimension and overall MAE/RMSE/Spearman; run ablations.</w:t>
            </w:r>
          </w:p>
        </w:tc>
        <w:tc>
          <w:tcPr>
            <w:tcW w:type="dxa" w:w="3389"/>
            <w:vAlign w:val="center"/>
          </w:tcPr>
          <w:p>
            <w:pPr>
              <w:spacing w:after="20"/>
            </w:pPr>
            <w:r/>
            <w:r>
              <w:rPr>
                <w:rFonts w:ascii="Aptos" w:hAnsi="Aptos"/>
                <w:b w:val="0"/>
                <w:sz w:val="16"/>
              </w:rPr>
              <w:t>Held-out results and documented limitations.</w:t>
            </w:r>
          </w:p>
        </w:tc>
      </w:tr>
      <w:tr>
        <w:tc>
          <w:tcPr>
            <w:tcW w:type="dxa" w:w="3389"/>
            <w:vAlign w:val="center"/>
          </w:tcPr>
          <w:p>
            <w:pPr>
              <w:spacing w:after="20"/>
            </w:pPr>
            <w:r/>
            <w:r>
              <w:rPr>
                <w:rFonts w:ascii="Aptos" w:hAnsi="Aptos"/>
                <w:b w:val="0"/>
                <w:sz w:val="16"/>
              </w:rPr>
              <w:t>Phase 6 — Calibration</w:t>
            </w:r>
          </w:p>
        </w:tc>
        <w:tc>
          <w:tcPr>
            <w:tcW w:type="dxa" w:w="3389"/>
            <w:vAlign w:val="center"/>
          </w:tcPr>
          <w:p>
            <w:pPr>
              <w:spacing w:after="20"/>
            </w:pPr>
            <w:r/>
            <w:r>
              <w:rPr>
                <w:rFonts w:ascii="Aptos" w:hAnsi="Aptos"/>
                <w:b w:val="0"/>
                <w:sz w:val="16"/>
              </w:rPr>
              <w:t>Train Ridge Regression or another suitable model only if enough reliable labelled data exist; compare against fixed baseline.</w:t>
            </w:r>
          </w:p>
        </w:tc>
        <w:tc>
          <w:tcPr>
            <w:tcW w:type="dxa" w:w="3389"/>
            <w:vAlign w:val="center"/>
          </w:tcPr>
          <w:p>
            <w:pPr>
              <w:spacing w:after="20"/>
            </w:pPr>
            <w:r/>
            <w:r>
              <w:rPr>
                <w:rFonts w:ascii="Aptos" w:hAnsi="Aptos"/>
                <w:b w:val="0"/>
                <w:sz w:val="16"/>
              </w:rPr>
              <w:t>Versioned calibrated model with test-set improvement, no leakage, reproducible training and approval.</w:t>
            </w:r>
          </w:p>
        </w:tc>
      </w:tr>
      <w:tr>
        <w:tc>
          <w:tcPr>
            <w:tcW w:type="dxa" w:w="3389"/>
            <w:vAlign w:val="center"/>
          </w:tcPr>
          <w:p>
            <w:pPr>
              <w:spacing w:after="20"/>
            </w:pPr>
            <w:r/>
            <w:r>
              <w:rPr>
                <w:rFonts w:ascii="Aptos" w:hAnsi="Aptos"/>
                <w:b w:val="0"/>
                <w:sz w:val="16"/>
              </w:rPr>
              <w:t>Phase 7 — Expand corpus</w:t>
            </w:r>
          </w:p>
        </w:tc>
        <w:tc>
          <w:tcPr>
            <w:tcW w:type="dxa" w:w="3389"/>
            <w:vAlign w:val="center"/>
          </w:tcPr>
          <w:p>
            <w:pPr>
              <w:spacing w:after="20"/>
            </w:pPr>
            <w:r/>
            <w:r>
              <w:rPr>
                <w:rFonts w:ascii="Aptos" w:hAnsi="Aptos"/>
                <w:b w:val="0"/>
                <w:sz w:val="16"/>
              </w:rPr>
              <w:t>Add scholarly metadata and accessible full text, more reports, PPTX/RTF/PDF and code repositories.</w:t>
            </w:r>
          </w:p>
        </w:tc>
        <w:tc>
          <w:tcPr>
            <w:tcW w:type="dxa" w:w="3389"/>
            <w:vAlign w:val="center"/>
          </w:tcPr>
          <w:p>
            <w:pPr>
              <w:spacing w:after="20"/>
            </w:pPr>
            <w:r/>
            <w:r>
              <w:rPr>
                <w:rFonts w:ascii="Aptos" w:hAnsi="Aptos"/>
                <w:b w:val="0"/>
                <w:sz w:val="16"/>
              </w:rPr>
              <w:t>Measured increase in source coverage and retrieval performance; legal/access review complete.</w:t>
            </w:r>
          </w:p>
        </w:tc>
      </w:tr>
      <w:tr>
        <w:tc>
          <w:tcPr>
            <w:tcW w:type="dxa" w:w="3389"/>
            <w:vAlign w:val="center"/>
          </w:tcPr>
          <w:p>
            <w:pPr>
              <w:spacing w:after="20"/>
            </w:pPr>
            <w:r/>
            <w:r>
              <w:rPr>
                <w:rFonts w:ascii="Aptos" w:hAnsi="Aptos"/>
                <w:b w:val="0"/>
                <w:sz w:val="16"/>
              </w:rPr>
              <w:t>Phase 8 — Research/publication</w:t>
            </w:r>
          </w:p>
        </w:tc>
        <w:tc>
          <w:tcPr>
            <w:tcW w:type="dxa" w:w="3389"/>
            <w:vAlign w:val="center"/>
          </w:tcPr>
          <w:p>
            <w:pPr>
              <w:spacing w:after="20"/>
            </w:pPr>
            <w:r/>
            <w:r>
              <w:rPr>
                <w:rFonts w:ascii="Aptos" w:hAnsi="Aptos"/>
                <w:b w:val="0"/>
                <w:sz w:val="16"/>
              </w:rPr>
              <w:t>Freeze benchmark, publish methods, split protocol, metrics, limitations and anonymised data where permitted.</w:t>
            </w:r>
          </w:p>
        </w:tc>
        <w:tc>
          <w:tcPr>
            <w:tcW w:type="dxa" w:w="3389"/>
            <w:vAlign w:val="center"/>
          </w:tcPr>
          <w:p>
            <w:pPr>
              <w:spacing w:after="20"/>
            </w:pPr>
            <w:r/>
            <w:r>
              <w:rPr>
                <w:rFonts w:ascii="Aptos" w:hAnsi="Aptos"/>
                <w:b w:val="0"/>
                <w:sz w:val="16"/>
              </w:rPr>
              <w:t>Reproducible paper-ready evaluation, not merely a claim that AI is accurate.</w:t>
            </w:r>
          </w:p>
        </w:tc>
      </w:tr>
    </w:tbl>
    <w:p/>
    <w:p>
      <w:pPr>
        <w:pStyle w:val="Heading1"/>
      </w:pPr>
      <w:r>
        <w:t>13. What can we honestly claim in a demo or viva?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FE2F3"/>
          </w:tcPr>
          <w:p>
            <w:pPr>
              <w:spacing w:after="20"/>
            </w:pPr>
            <w:r/>
            <w:r>
              <w:rPr>
                <w:rFonts w:ascii="Aptos" w:hAnsi="Aptos"/>
                <w:b/>
                <w:sz w:val="17"/>
              </w:rPr>
              <w:t>Evidence available</w:t>
            </w:r>
          </w:p>
        </w:tc>
        <w:tc>
          <w:tcPr>
            <w:tcW w:type="dxa" w:w="3389"/>
            <w:vAlign w:val="center"/>
            <w:shd w:fill="CFE2F3"/>
          </w:tcPr>
          <w:p>
            <w:pPr>
              <w:spacing w:after="20"/>
            </w:pPr>
            <w:r/>
            <w:r>
              <w:rPr>
                <w:rFonts w:ascii="Aptos" w:hAnsi="Aptos"/>
                <w:b/>
                <w:sz w:val="17"/>
              </w:rPr>
              <w:t>Defensible claim</w:t>
            </w:r>
          </w:p>
        </w:tc>
        <w:tc>
          <w:tcPr>
            <w:tcW w:type="dxa" w:w="3389"/>
            <w:vAlign w:val="center"/>
            <w:shd w:fill="CFE2F3"/>
          </w:tcPr>
          <w:p>
            <w:pPr>
              <w:spacing w:after="20"/>
            </w:pPr>
            <w:r/>
            <w:r>
              <w:rPr>
                <w:rFonts w:ascii="Aptos" w:hAnsi="Aptos"/>
                <w:b/>
                <w:sz w:val="17"/>
              </w:rPr>
              <w:t>Avoid claiming</w:t>
            </w:r>
          </w:p>
        </w:tc>
      </w:tr>
      <w:tr>
        <w:tc>
          <w:tcPr>
            <w:tcW w:type="dxa" w:w="3389"/>
            <w:vAlign w:val="center"/>
          </w:tcPr>
          <w:p>
            <w:pPr>
              <w:spacing w:after="20"/>
            </w:pPr>
            <w:r/>
            <w:r>
              <w:rPr>
                <w:rFonts w:ascii="Aptos" w:hAnsi="Aptos"/>
                <w:b w:val="0"/>
                <w:sz w:val="16"/>
              </w:rPr>
              <w:t>Only formulas and a working UI</w:t>
            </w:r>
          </w:p>
        </w:tc>
        <w:tc>
          <w:tcPr>
            <w:tcW w:type="dxa" w:w="3389"/>
            <w:vAlign w:val="center"/>
          </w:tcPr>
          <w:p>
            <w:pPr>
              <w:spacing w:after="20"/>
            </w:pPr>
            <w:r/>
            <w:r>
              <w:rPr>
                <w:rFonts w:ascii="Aptos" w:hAnsi="Aptos"/>
                <w:b w:val="0"/>
                <w:sz w:val="16"/>
              </w:rPr>
              <w:t>The system computes a deterministic, explainable score from documented signals.</w:t>
            </w:r>
          </w:p>
        </w:tc>
        <w:tc>
          <w:tcPr>
            <w:tcW w:type="dxa" w:w="3389"/>
            <w:vAlign w:val="center"/>
          </w:tcPr>
          <w:p>
            <w:pPr>
              <w:spacing w:after="20"/>
            </w:pPr>
            <w:r/>
            <w:r>
              <w:rPr>
                <w:rFonts w:ascii="Aptos" w:hAnsi="Aptos"/>
                <w:b w:val="0"/>
                <w:sz w:val="16"/>
              </w:rPr>
              <w:t>“The AI score is accurate.”</w:t>
            </w:r>
          </w:p>
        </w:tc>
      </w:tr>
      <w:tr>
        <w:tc>
          <w:tcPr>
            <w:tcW w:type="dxa" w:w="3389"/>
            <w:vAlign w:val="center"/>
          </w:tcPr>
          <w:p>
            <w:pPr>
              <w:spacing w:after="20"/>
            </w:pPr>
            <w:r/>
            <w:r>
              <w:rPr>
                <w:rFonts w:ascii="Aptos" w:hAnsi="Aptos"/>
                <w:b w:val="0"/>
                <w:sz w:val="16"/>
              </w:rPr>
              <w:t>Unit tests confirm calculations</w:t>
            </w:r>
          </w:p>
        </w:tc>
        <w:tc>
          <w:tcPr>
            <w:tcW w:type="dxa" w:w="3389"/>
            <w:vAlign w:val="center"/>
          </w:tcPr>
          <w:p>
            <w:pPr>
              <w:spacing w:after="20"/>
            </w:pPr>
            <w:r/>
            <w:r>
              <w:rPr>
                <w:rFonts w:ascii="Aptos" w:hAnsi="Aptos"/>
                <w:b w:val="0"/>
                <w:sz w:val="16"/>
              </w:rPr>
              <w:t>The implementation matches the stated formula on tested cases.</w:t>
            </w:r>
          </w:p>
        </w:tc>
        <w:tc>
          <w:tcPr>
            <w:tcW w:type="dxa" w:w="3389"/>
            <w:vAlign w:val="center"/>
          </w:tcPr>
          <w:p>
            <w:pPr>
              <w:spacing w:after="20"/>
            </w:pPr>
            <w:r/>
            <w:r>
              <w:rPr>
                <w:rFonts w:ascii="Aptos" w:hAnsi="Aptos"/>
                <w:b w:val="0"/>
                <w:sz w:val="16"/>
              </w:rPr>
              <w:t>“The formula measures academic quality correctly.”</w:t>
            </w:r>
          </w:p>
        </w:tc>
      </w:tr>
      <w:tr>
        <w:tc>
          <w:tcPr>
            <w:tcW w:type="dxa" w:w="3389"/>
            <w:vAlign w:val="center"/>
          </w:tcPr>
          <w:p>
            <w:pPr>
              <w:spacing w:after="20"/>
            </w:pPr>
            <w:r/>
            <w:r>
              <w:rPr>
                <w:rFonts w:ascii="Aptos" w:hAnsi="Aptos"/>
                <w:b w:val="0"/>
                <w:sz w:val="16"/>
              </w:rPr>
              <w:t>Corpus retrieval plus passage evidence</w:t>
            </w:r>
          </w:p>
        </w:tc>
        <w:tc>
          <w:tcPr>
            <w:tcW w:type="dxa" w:w="3389"/>
            <w:vAlign w:val="center"/>
          </w:tcPr>
          <w:p>
            <w:pPr>
              <w:spacing w:after="20"/>
            </w:pPr>
            <w:r/>
            <w:r>
              <w:rPr>
                <w:rFonts w:ascii="Aptos" w:hAnsi="Aptos"/>
                <w:b w:val="0"/>
                <w:sz w:val="16"/>
              </w:rPr>
              <w:t>The system found matching passages in the specified corpus and can show the sources.</w:t>
            </w:r>
          </w:p>
        </w:tc>
        <w:tc>
          <w:tcPr>
            <w:tcW w:type="dxa" w:w="3389"/>
            <w:vAlign w:val="center"/>
          </w:tcPr>
          <w:p>
            <w:pPr>
              <w:spacing w:after="20"/>
            </w:pPr>
            <w:r/>
            <w:r>
              <w:rPr>
                <w:rFonts w:ascii="Aptos" w:hAnsi="Aptos"/>
                <w:b w:val="0"/>
                <w:sz w:val="16"/>
              </w:rPr>
              <w:t>“It checks the whole internet” or “plagiarism is proven.”</w:t>
            </w:r>
          </w:p>
        </w:tc>
      </w:tr>
      <w:tr>
        <w:tc>
          <w:tcPr>
            <w:tcW w:type="dxa" w:w="3389"/>
            <w:vAlign w:val="center"/>
          </w:tcPr>
          <w:p>
            <w:pPr>
              <w:spacing w:after="20"/>
            </w:pPr>
            <w:r/>
            <w:r>
              <w:rPr>
                <w:rFonts w:ascii="Aptos" w:hAnsi="Aptos"/>
                <w:b w:val="0"/>
                <w:sz w:val="16"/>
              </w:rPr>
              <w:t>Held-out comparison with independent faculty ratings</w:t>
            </w:r>
          </w:p>
        </w:tc>
        <w:tc>
          <w:tcPr>
            <w:tcW w:type="dxa" w:w="3389"/>
            <w:vAlign w:val="center"/>
          </w:tcPr>
          <w:p>
            <w:pPr>
              <w:spacing w:after="20"/>
            </w:pPr>
            <w:r/>
            <w:r>
              <w:rPr>
                <w:rFonts w:ascii="Aptos" w:hAnsi="Aptos"/>
                <w:b w:val="0"/>
                <w:sz w:val="16"/>
              </w:rPr>
              <w:t>On this dataset and rubric, the model achieved the reported metrics.</w:t>
            </w:r>
          </w:p>
        </w:tc>
        <w:tc>
          <w:tcPr>
            <w:tcW w:type="dxa" w:w="3389"/>
            <w:vAlign w:val="center"/>
          </w:tcPr>
          <w:p>
            <w:pPr>
              <w:spacing w:after="20"/>
            </w:pPr>
            <w:r/>
            <w:r>
              <w:rPr>
                <w:rFonts w:ascii="Aptos" w:hAnsi="Aptos"/>
                <w:b w:val="0"/>
                <w:sz w:val="16"/>
              </w:rPr>
              <w:t>“It will be equally accurate for every department/institution.”</w:t>
            </w:r>
          </w:p>
        </w:tc>
      </w:tr>
      <w:tr>
        <w:tc>
          <w:tcPr>
            <w:tcW w:type="dxa" w:w="3389"/>
            <w:vAlign w:val="center"/>
          </w:tcPr>
          <w:p>
            <w:pPr>
              <w:spacing w:after="20"/>
            </w:pPr>
            <w:r/>
            <w:r>
              <w:rPr>
                <w:rFonts w:ascii="Aptos" w:hAnsi="Aptos"/>
                <w:b w:val="0"/>
                <w:sz w:val="16"/>
              </w:rPr>
              <w:t>Calibration model improves on held-out baseline</w:t>
            </w:r>
          </w:p>
        </w:tc>
        <w:tc>
          <w:tcPr>
            <w:tcW w:type="dxa" w:w="3389"/>
            <w:vAlign w:val="center"/>
          </w:tcPr>
          <w:p>
            <w:pPr>
              <w:spacing w:after="20"/>
            </w:pPr>
            <w:r/>
            <w:r>
              <w:rPr>
                <w:rFonts w:ascii="Aptos" w:hAnsi="Aptos"/>
                <w:b w:val="0"/>
                <w:sz w:val="16"/>
              </w:rPr>
              <w:t>Calibration improved the selected metrics on the test population under the reported protocol.</w:t>
            </w:r>
          </w:p>
        </w:tc>
        <w:tc>
          <w:tcPr>
            <w:tcW w:type="dxa" w:w="3389"/>
            <w:vAlign w:val="center"/>
          </w:tcPr>
          <w:p>
            <w:pPr>
              <w:spacing w:after="20"/>
            </w:pPr>
            <w:r/>
            <w:r>
              <w:rPr>
                <w:rFonts w:ascii="Aptos" w:hAnsi="Aptos"/>
                <w:b w:val="0"/>
                <w:sz w:val="16"/>
              </w:rPr>
              <w:t>“Faculty feedback guarantees accuracy” or “the model cannot be wrong.”</w:t>
            </w:r>
          </w:p>
        </w:tc>
      </w:tr>
    </w:tbl>
    <w:p/>
    <w:p>
      <w:pPr>
        <w:pStyle w:val="Heading1"/>
      </w:pPr>
      <w:r>
        <w:t>14. Example of an evidence-backed score report</w:t>
      </w:r>
    </w:p>
    <w:p>
      <w:r>
        <w:t>Project: Example Smart Irrigation Monitoring System (illustrative values only)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FE2F3"/>
          </w:tcPr>
          <w:p>
            <w:pPr>
              <w:spacing w:after="20"/>
            </w:pPr>
            <w:r/>
            <w:r>
              <w:rPr>
                <w:rFonts w:ascii="Aptos" w:hAnsi="Aptos"/>
                <w:b/>
                <w:sz w:val="17"/>
              </w:rPr>
              <w:t>Dimension</w:t>
            </w:r>
          </w:p>
        </w:tc>
        <w:tc>
          <w:tcPr>
            <w:tcW w:type="dxa" w:w="3389"/>
            <w:vAlign w:val="center"/>
            <w:shd w:fill="CFE2F3"/>
          </w:tcPr>
          <w:p>
            <w:pPr>
              <w:spacing w:after="20"/>
            </w:pPr>
            <w:r/>
            <w:r>
              <w:rPr>
                <w:rFonts w:ascii="Aptos" w:hAnsi="Aptos"/>
                <w:b/>
                <w:sz w:val="17"/>
              </w:rPr>
              <w:t>AI score</w:t>
            </w:r>
          </w:p>
        </w:tc>
        <w:tc>
          <w:tcPr>
            <w:tcW w:type="dxa" w:w="3389"/>
            <w:vAlign w:val="center"/>
            <w:shd w:fill="CFE2F3"/>
          </w:tcPr>
          <w:p>
            <w:pPr>
              <w:spacing w:after="20"/>
            </w:pPr>
            <w:r/>
            <w:r>
              <w:rPr>
                <w:rFonts w:ascii="Aptos" w:hAnsi="Aptos"/>
                <w:b/>
                <w:sz w:val="17"/>
              </w:rPr>
              <w:t>What the report should show</w:t>
            </w:r>
          </w:p>
        </w:tc>
      </w:tr>
      <w:tr>
        <w:tc>
          <w:tcPr>
            <w:tcW w:type="dxa" w:w="3389"/>
            <w:vAlign w:val="center"/>
          </w:tcPr>
          <w:p>
            <w:pPr>
              <w:spacing w:after="20"/>
            </w:pPr>
            <w:r/>
            <w:r>
              <w:rPr>
                <w:rFonts w:ascii="Aptos" w:hAnsi="Aptos"/>
                <w:b w:val="0"/>
                <w:sz w:val="16"/>
              </w:rPr>
              <w:t>Novelty</w:t>
            </w:r>
          </w:p>
        </w:tc>
        <w:tc>
          <w:tcPr>
            <w:tcW w:type="dxa" w:w="3389"/>
            <w:vAlign w:val="center"/>
          </w:tcPr>
          <w:p>
            <w:pPr>
              <w:spacing w:after="20"/>
            </w:pPr>
            <w:r/>
            <w:r>
              <w:rPr>
                <w:rFonts w:ascii="Aptos" w:hAnsi="Aptos"/>
                <w:b w:val="0"/>
                <w:sz w:val="16"/>
              </w:rPr>
              <w:t>68/100</w:t>
            </w:r>
          </w:p>
        </w:tc>
        <w:tc>
          <w:tcPr>
            <w:tcW w:type="dxa" w:w="3389"/>
            <w:vAlign w:val="center"/>
          </w:tcPr>
          <w:p>
            <w:pPr>
              <w:spacing w:after="20"/>
            </w:pPr>
            <w:r/>
            <w:r>
              <w:rPr>
                <w:rFonts w:ascii="Aptos" w:hAnsi="Aptos"/>
                <w:b w:val="0"/>
                <w:sz w:val="16"/>
              </w:rPr>
              <w:t>Nearest prior projects, graph signal breakdown, literature candidates and evidence coverage.</w:t>
            </w:r>
          </w:p>
        </w:tc>
      </w:tr>
      <w:tr>
        <w:tc>
          <w:tcPr>
            <w:tcW w:type="dxa" w:w="3389"/>
            <w:vAlign w:val="center"/>
          </w:tcPr>
          <w:p>
            <w:pPr>
              <w:spacing w:after="20"/>
            </w:pPr>
            <w:r/>
            <w:r>
              <w:rPr>
                <w:rFonts w:ascii="Aptos" w:hAnsi="Aptos"/>
                <w:b w:val="0"/>
                <w:sz w:val="16"/>
              </w:rPr>
              <w:t>Technical depth</w:t>
            </w:r>
          </w:p>
        </w:tc>
        <w:tc>
          <w:tcPr>
            <w:tcW w:type="dxa" w:w="3389"/>
            <w:vAlign w:val="center"/>
          </w:tcPr>
          <w:p>
            <w:pPr>
              <w:spacing w:after="20"/>
            </w:pPr>
            <w:r/>
            <w:r>
              <w:rPr>
                <w:rFonts w:ascii="Aptos" w:hAnsi="Aptos"/>
                <w:b w:val="0"/>
                <w:sz w:val="16"/>
              </w:rPr>
              <w:t>74/100</w:t>
            </w:r>
          </w:p>
        </w:tc>
        <w:tc>
          <w:tcPr>
            <w:tcW w:type="dxa" w:w="3389"/>
            <w:vAlign w:val="center"/>
          </w:tcPr>
          <w:p>
            <w:pPr>
              <w:spacing w:after="20"/>
            </w:pPr>
            <w:r/>
            <w:r>
              <w:rPr>
                <w:rFonts w:ascii="Aptos" w:hAnsi="Aptos"/>
                <w:b w:val="0"/>
                <w:sz w:val="16"/>
              </w:rPr>
              <w:t>Algorithms actually found, complexity/implementation evidence, experiments and rubric anchors.</w:t>
            </w:r>
          </w:p>
        </w:tc>
      </w:tr>
      <w:tr>
        <w:tc>
          <w:tcPr>
            <w:tcW w:type="dxa" w:w="3389"/>
            <w:vAlign w:val="center"/>
          </w:tcPr>
          <w:p>
            <w:pPr>
              <w:spacing w:after="20"/>
            </w:pPr>
            <w:r/>
            <w:r>
              <w:rPr>
                <w:rFonts w:ascii="Aptos" w:hAnsi="Aptos"/>
                <w:b w:val="0"/>
                <w:sz w:val="16"/>
              </w:rPr>
              <w:t>Feasibility</w:t>
            </w:r>
          </w:p>
        </w:tc>
        <w:tc>
          <w:tcPr>
            <w:tcW w:type="dxa" w:w="3389"/>
            <w:vAlign w:val="center"/>
          </w:tcPr>
          <w:p>
            <w:pPr>
              <w:spacing w:after="20"/>
            </w:pPr>
            <w:r/>
            <w:r>
              <w:rPr>
                <w:rFonts w:ascii="Aptos" w:hAnsi="Aptos"/>
                <w:b w:val="0"/>
                <w:sz w:val="16"/>
              </w:rPr>
              <w:t>82/100</w:t>
            </w:r>
          </w:p>
        </w:tc>
        <w:tc>
          <w:tcPr>
            <w:tcW w:type="dxa" w:w="3389"/>
            <w:vAlign w:val="center"/>
          </w:tcPr>
          <w:p>
            <w:pPr>
              <w:spacing w:after="20"/>
            </w:pPr>
            <w:r/>
            <w:r>
              <w:rPr>
                <w:rFonts w:ascii="Aptos" w:hAnsi="Aptos"/>
                <w:b w:val="0"/>
                <w:sz w:val="16"/>
              </w:rPr>
              <w:t>Dataset/tool/hardware/timeline evidence; missing assumptions flagged.</w:t>
            </w:r>
          </w:p>
        </w:tc>
      </w:tr>
      <w:tr>
        <w:tc>
          <w:tcPr>
            <w:tcW w:type="dxa" w:w="3389"/>
            <w:vAlign w:val="center"/>
          </w:tcPr>
          <w:p>
            <w:pPr>
              <w:spacing w:after="20"/>
            </w:pPr>
            <w:r/>
            <w:r>
              <w:rPr>
                <w:rFonts w:ascii="Aptos" w:hAnsi="Aptos"/>
                <w:b w:val="0"/>
                <w:sz w:val="16"/>
              </w:rPr>
              <w:t>Completeness</w:t>
            </w:r>
          </w:p>
        </w:tc>
        <w:tc>
          <w:tcPr>
            <w:tcW w:type="dxa" w:w="3389"/>
            <w:vAlign w:val="center"/>
          </w:tcPr>
          <w:p>
            <w:pPr>
              <w:spacing w:after="20"/>
            </w:pPr>
            <w:r/>
            <w:r>
              <w:rPr>
                <w:rFonts w:ascii="Aptos" w:hAnsi="Aptos"/>
                <w:b w:val="0"/>
                <w:sz w:val="16"/>
              </w:rPr>
              <w:t>90/100</w:t>
            </w:r>
          </w:p>
        </w:tc>
        <w:tc>
          <w:tcPr>
            <w:tcW w:type="dxa" w:w="3389"/>
            <w:vAlign w:val="center"/>
          </w:tcPr>
          <w:p>
            <w:pPr>
              <w:spacing w:after="20"/>
            </w:pPr>
            <w:r/>
            <w:r>
              <w:rPr>
                <w:rFonts w:ascii="Aptos" w:hAnsi="Aptos"/>
                <w:b w:val="0"/>
                <w:sz w:val="16"/>
              </w:rPr>
              <w:t>Sections detected, required sections missing, word-count rule and repository evidence.</w:t>
            </w:r>
          </w:p>
        </w:tc>
      </w:tr>
      <w:tr>
        <w:tc>
          <w:tcPr>
            <w:tcW w:type="dxa" w:w="3389"/>
            <w:vAlign w:val="center"/>
          </w:tcPr>
          <w:p>
            <w:pPr>
              <w:spacing w:after="20"/>
            </w:pPr>
            <w:r/>
            <w:r>
              <w:rPr>
                <w:rFonts w:ascii="Aptos" w:hAnsi="Aptos"/>
                <w:b w:val="0"/>
                <w:sz w:val="16"/>
              </w:rPr>
              <w:t>Clarity</w:t>
            </w:r>
          </w:p>
        </w:tc>
        <w:tc>
          <w:tcPr>
            <w:tcW w:type="dxa" w:w="3389"/>
            <w:vAlign w:val="center"/>
          </w:tcPr>
          <w:p>
            <w:pPr>
              <w:spacing w:after="20"/>
            </w:pPr>
            <w:r/>
            <w:r>
              <w:rPr>
                <w:rFonts w:ascii="Aptos" w:hAnsi="Aptos"/>
                <w:b w:val="0"/>
                <w:sz w:val="16"/>
              </w:rPr>
              <w:t>71/100</w:t>
            </w:r>
          </w:p>
        </w:tc>
        <w:tc>
          <w:tcPr>
            <w:tcW w:type="dxa" w:w="3389"/>
            <w:vAlign w:val="center"/>
          </w:tcPr>
          <w:p>
            <w:pPr>
              <w:spacing w:after="20"/>
            </w:pPr>
            <w:r/>
            <w:r>
              <w:rPr>
                <w:rFonts w:ascii="Aptos" w:hAnsi="Aptos"/>
                <w:b w:val="0"/>
                <w:sz w:val="16"/>
              </w:rPr>
              <w:t>Readability measure, citation checks and limitations of language-specific metrics.</w:t>
            </w:r>
          </w:p>
        </w:tc>
      </w:tr>
      <w:tr>
        <w:tc>
          <w:tcPr>
            <w:tcW w:type="dxa" w:w="3389"/>
            <w:vAlign w:val="center"/>
          </w:tcPr>
          <w:p>
            <w:pPr>
              <w:spacing w:after="20"/>
            </w:pPr>
            <w:r/>
            <w:r>
              <w:rPr>
                <w:rFonts w:ascii="Aptos" w:hAnsi="Aptos"/>
                <w:b w:val="0"/>
                <w:sz w:val="16"/>
              </w:rPr>
              <w:t>Publication potential</w:t>
            </w:r>
          </w:p>
        </w:tc>
        <w:tc>
          <w:tcPr>
            <w:tcW w:type="dxa" w:w="3389"/>
            <w:vAlign w:val="center"/>
          </w:tcPr>
          <w:p>
            <w:pPr>
              <w:spacing w:after="20"/>
            </w:pPr>
            <w:r/>
            <w:r>
              <w:rPr>
                <w:rFonts w:ascii="Aptos" w:hAnsi="Aptos"/>
                <w:b w:val="0"/>
                <w:sz w:val="16"/>
              </w:rPr>
              <w:t>58/100</w:t>
            </w:r>
          </w:p>
        </w:tc>
        <w:tc>
          <w:tcPr>
            <w:tcW w:type="dxa" w:w="3389"/>
            <w:vAlign w:val="center"/>
          </w:tcPr>
          <w:p>
            <w:pPr>
              <w:spacing w:after="20"/>
            </w:pPr>
            <w:r/>
            <w:r>
              <w:rPr>
                <w:rFonts w:ascii="Aptos" w:hAnsi="Aptos"/>
                <w:b w:val="0"/>
                <w:sz w:val="16"/>
              </w:rPr>
              <w:t>Trend query/time window, prior-work comparison, research-gap evidence and citation audit.</w:t>
            </w:r>
          </w:p>
        </w:tc>
      </w:tr>
      <w:tr>
        <w:tc>
          <w:tcPr>
            <w:tcW w:type="dxa" w:w="3389"/>
            <w:vAlign w:val="center"/>
          </w:tcPr>
          <w:p>
            <w:pPr>
              <w:spacing w:after="20"/>
            </w:pPr>
            <w:r/>
            <w:r>
              <w:rPr>
                <w:rFonts w:ascii="Aptos" w:hAnsi="Aptos"/>
                <w:b w:val="0"/>
                <w:sz w:val="16"/>
              </w:rPr>
              <w:t>Similarity risk</w:t>
            </w:r>
          </w:p>
        </w:tc>
        <w:tc>
          <w:tcPr>
            <w:tcW w:type="dxa" w:w="3389"/>
            <w:vAlign w:val="center"/>
          </w:tcPr>
          <w:p>
            <w:pPr>
              <w:spacing w:after="20"/>
            </w:pPr>
            <w:r/>
            <w:r>
              <w:rPr>
                <w:rFonts w:ascii="Aptos" w:hAnsi="Aptos"/>
                <w:b w:val="0"/>
                <w:sz w:val="16"/>
              </w:rPr>
              <w:t>22/100</w:t>
            </w:r>
          </w:p>
        </w:tc>
        <w:tc>
          <w:tcPr>
            <w:tcW w:type="dxa" w:w="3389"/>
            <w:vAlign w:val="center"/>
          </w:tcPr>
          <w:p>
            <w:pPr>
              <w:spacing w:after="20"/>
            </w:pPr>
            <w:r/>
            <w:r>
              <w:rPr>
                <w:rFonts w:ascii="Aptos" w:hAnsi="Aptos"/>
                <w:b w:val="0"/>
                <w:sz w:val="16"/>
              </w:rPr>
              <w:t>Text and code results separately; source title/URL, matched passage, location and reviewer status.</w:t>
            </w:r>
          </w:p>
        </w:tc>
      </w:tr>
      <w:tr>
        <w:tc>
          <w:tcPr>
            <w:tcW w:type="dxa" w:w="3389"/>
            <w:vAlign w:val="center"/>
          </w:tcPr>
          <w:p>
            <w:pPr>
              <w:spacing w:after="20"/>
            </w:pPr>
            <w:r/>
            <w:r>
              <w:rPr>
                <w:rFonts w:ascii="Aptos" w:hAnsi="Aptos"/>
                <w:b w:val="0"/>
                <w:sz w:val="16"/>
              </w:rPr>
              <w:t>Overall</w:t>
            </w:r>
          </w:p>
        </w:tc>
        <w:tc>
          <w:tcPr>
            <w:tcW w:type="dxa" w:w="3389"/>
            <w:vAlign w:val="center"/>
          </w:tcPr>
          <w:p>
            <w:pPr>
              <w:spacing w:after="20"/>
            </w:pPr>
            <w:r/>
            <w:r>
              <w:rPr>
                <w:rFonts w:ascii="Aptos" w:hAnsi="Aptos"/>
                <w:b w:val="0"/>
                <w:sz w:val="16"/>
              </w:rPr>
              <w:t>76/100</w:t>
            </w:r>
          </w:p>
        </w:tc>
        <w:tc>
          <w:tcPr>
            <w:tcW w:type="dxa" w:w="3389"/>
            <w:vAlign w:val="center"/>
          </w:tcPr>
          <w:p>
            <w:pPr>
              <w:spacing w:after="20"/>
            </w:pPr>
            <w:r/>
            <w:r>
              <w:rPr>
                <w:rFonts w:ascii="Aptos" w:hAnsi="Aptos"/>
                <w:b w:val="0"/>
                <w:sz w:val="16"/>
              </w:rPr>
              <w:t>Formula version, weights, arithmetic breakdown, data coverage and calibrated-vs-fixed model label.</w:t>
            </w:r>
          </w:p>
        </w:tc>
      </w:tr>
    </w:tbl>
    <w:p/>
    <w:p>
      <w:r>
        <w:t>The example values above are not measured results and must not be presented as real AcadEval+ performance. They demonstrate the report structure.</w:t>
      </w:r>
    </w:p>
    <w:p>
      <w:pPr>
        <w:pStyle w:val="Heading1"/>
      </w:pPr>
      <w:r>
        <w:t>15. Research and technical references</w:t>
      </w:r>
    </w:p>
    <w:p>
      <w:pPr>
        <w:pStyle w:val="ListNumber"/>
        <w:spacing w:after="80"/>
      </w:pPr>
      <w:r>
        <w:t>[1] Turnitin. “Turnitin and plagiarism” / Similarity Report guidance. Explains that similarity reports highlight matching content and do not themselves decide plagiarism. https://guides.turnitin.com/hc/en-us/articles/34400565079053-Turnitin-and-plagiarism</w:t>
      </w:r>
    </w:p>
    <w:p>
      <w:pPr>
        <w:pStyle w:val="ListNumber"/>
        <w:spacing w:after="80"/>
      </w:pPr>
      <w:r>
        <w:t>[2] Turnitin. “Understanding the similarity score.” Explains the comparison corpus and interpretation of the similarity percentage. https://guides.turnitin.com/hc/en-us/articles/23435833938701-Understanding-the-similarity-score</w:t>
      </w:r>
    </w:p>
    <w:p>
      <w:pPr>
        <w:pStyle w:val="ListNumber"/>
        <w:spacing w:after="80"/>
      </w:pPr>
      <w:r>
        <w:t>[3] Schleimer, S., Wilkerson, D. S., &amp; Aiken, A. (2003). “Winnowing: Local Algorithms for Document Fingerprinting.” Proceedings of ACM SIGMOD. DOI: 10.1145/872769.872770. https://doi.org/10.1145/872769.872770</w:t>
      </w:r>
    </w:p>
    <w:p>
      <w:pPr>
        <w:pStyle w:val="ListNumber"/>
        <w:spacing w:after="80"/>
      </w:pPr>
      <w:r>
        <w:t>[4] Manning, C. D., Raghavan, P., &amp; Schütze, H. (2008). Introduction to Information Retrieval. Cambridge University Press. Standard reference for TF-IDF, vector-space retrieval and cosine similarity. Online text: https://nlp.stanford.edu/IR-book/</w:t>
      </w:r>
    </w:p>
    <w:p>
      <w:pPr>
        <w:pStyle w:val="ListNumber"/>
        <w:spacing w:after="80"/>
      </w:pPr>
      <w:r>
        <w:t>[5] Jaccard, P. (1901). “Étude comparative de la distribution florale dans une portion des Alpes et des Jura.” Original source of the Jaccard similarity family. For practical set similarity and implementation, document the exact formula used.</w:t>
      </w:r>
    </w:p>
    <w:p>
      <w:pPr>
        <w:pStyle w:val="ListNumber"/>
        <w:spacing w:after="80"/>
      </w:pPr>
      <w:r>
        <w:t>[6] Hoerl, A. E., &amp; Kennard, R. W. (1970). “Ridge Regression: Biased Estimation for Nonorthogonal Problems.” Technometrics, 12(1), 55–67. DOI: 10.1080/00401706.1970.10488634. https://doi.org/10.1080/00401706.1970.10488634</w:t>
      </w:r>
    </w:p>
    <w:p>
      <w:pPr>
        <w:pStyle w:val="ListNumber"/>
        <w:spacing w:after="80"/>
      </w:pPr>
      <w:r>
        <w:t>[7] scikit-learn documentation. Model evaluation: mean absolute error, mean squared error and related regression metrics. https://scikit-learn.org/stable/modules/model_evaluation.html</w:t>
      </w:r>
    </w:p>
    <w:p>
      <w:pPr>
        <w:pStyle w:val="ListNumber"/>
        <w:spacing w:after="80"/>
      </w:pPr>
      <w:r>
        <w:t>[8] Crossref. REST API documentation. Describes scholarly bibliographic metadata, DOI lookup, abstracts where deposited, licence information and related metadata. https://www.crossref.org/documentation/retrieve-metadata/rest-api/</w:t>
      </w:r>
    </w:p>
    <w:p>
      <w:pPr>
        <w:pStyle w:val="ListNumber"/>
        <w:spacing w:after="80"/>
      </w:pPr>
      <w:r>
        <w:t>[9] OpenAlex. API reference and Works overview. Describes searchable scholarly works metadata and related entities. https://help.openalex.org/api/ and https://help.openalex.org/data/works/</w:t>
      </w:r>
    </w:p>
    <w:p>
      <w:pPr>
        <w:pStyle w:val="ListNumber"/>
        <w:spacing w:after="80"/>
      </w:pPr>
      <w:r>
        <w:t>[10] Flesch, R. (1948). “A New Readability Yardstick.” Journal of Applied Psychology, 32(3), 221–233. DOI: 10.1037/h0057532. The readability formula is a proxy for reading ease, not a complete scientific-writing quality measure.</w:t>
      </w:r>
    </w:p>
    <w:p>
      <w:pPr>
        <w:pStyle w:val="ListNumber"/>
        <w:spacing w:after="80"/>
      </w:pPr>
      <w:r>
        <w:t>[11] Adamic, L. A., &amp; Adar, E. (2003). “Friends and Neighbors on the Web.” Social Networks, 25(3), 211–230. DOI: 10.1016/S0378-8733(03)00009-1. The Adamic–Adar score is a link-prediction/common-neighbour measure; a novelty interpretation requires an explicitly validated transformation.</w:t>
      </w:r>
    </w:p>
    <w:p>
      <w:pPr>
        <w:pStyle w:val="ListNumber"/>
        <w:spacing w:after="80"/>
      </w:pPr>
      <w:r>
        <w:t>[12] AcadEval+ internal design source: “AcadEval+ — Workflow, Implementation &amp; Publication Plan” (project-provided DOCX, latest version surfaced in the user’s File Library). It describes the graph-based novelty concept, dataset roadmap, faculty evaluation and planned NovelBench. Status labels in that source should be checked against the current repository and live database.</w:t>
      </w:r>
    </w:p>
    <w:p>
      <w:pPr>
        <w:pStyle w:val="Heading1"/>
      </w:pPr>
      <w:r>
        <w:t>16. Final recommendation</w:t>
      </w:r>
    </w:p>
    <w:p>
      <w:r>
        <w:t>The strongest AcadEval+ claim is not “our formulas guarantee accuracy.” It is: “AcadEval+ combines established text-retrieval, document-fingerprinting, graph-analysis and rubric-based methods in an explainable workflow. We validate the implementation with tests and measure its real-world performance against independently scored projects and manually labelled similarity cases. We report the data sources, coverage, metrics, limitations and model version so others can audit the result.”</w:t>
      </w:r>
    </w:p>
    <w:p>
      <w:r>
        <w:t>Immediate next action: audit the actual repository against this document, freeze one formula version, and build the evidence-preserving passage index plus independent guide/reviewer evaluation dataset. Only after a held-out evaluation should the project report a measured accuracy/agreement result.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Methodology and implementation plan • Draft for technical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ACAD EVAL+  |  SCORING, VALIDATION &amp; PLAGIARISM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