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898"/>
        <w:tblW w:w="0" w:type="auto"/>
        <w:tblLook w:val="04A0" w:firstRow="1" w:lastRow="0" w:firstColumn="1" w:lastColumn="0" w:noHBand="0" w:noVBand="1"/>
      </w:tblPr>
      <w:tblGrid>
        <w:gridCol w:w="3005"/>
        <w:gridCol w:w="3005"/>
        <w:gridCol w:w="3006"/>
      </w:tblGrid>
      <w:tr w:rsidR="00F07CD2" w14:paraId="4A70D6A2" w14:textId="77777777" w:rsidTr="00DB1F46">
        <w:tc>
          <w:tcPr>
            <w:tcW w:w="3005" w:type="dxa"/>
            <w:shd w:val="clear" w:color="auto" w:fill="BFBFBF" w:themeFill="background1" w:themeFillShade="BF"/>
          </w:tcPr>
          <w:p w14:paraId="5C86DA60" w14:textId="018C66D1" w:rsidR="00F07CD2" w:rsidRPr="00DB1F46" w:rsidRDefault="00F07CD2" w:rsidP="00DB1F46">
            <w:pPr>
              <w:jc w:val="center"/>
              <w:rPr>
                <w:b/>
                <w:bCs/>
                <w:sz w:val="24"/>
                <w:szCs w:val="24"/>
              </w:rPr>
            </w:pPr>
            <w:r w:rsidRPr="00DB1F46">
              <w:rPr>
                <w:b/>
                <w:bCs/>
                <w:sz w:val="24"/>
                <w:szCs w:val="24"/>
              </w:rPr>
              <w:t>Attribute</w:t>
            </w:r>
          </w:p>
        </w:tc>
        <w:tc>
          <w:tcPr>
            <w:tcW w:w="3005" w:type="dxa"/>
            <w:shd w:val="clear" w:color="auto" w:fill="BFBFBF" w:themeFill="background1" w:themeFillShade="BF"/>
          </w:tcPr>
          <w:p w14:paraId="3C748964" w14:textId="2D63655D" w:rsidR="00F07CD2" w:rsidRPr="00DB1F46" w:rsidRDefault="00F07CD2" w:rsidP="00DB1F46">
            <w:pPr>
              <w:jc w:val="center"/>
              <w:rPr>
                <w:b/>
                <w:bCs/>
                <w:sz w:val="24"/>
                <w:szCs w:val="24"/>
              </w:rPr>
            </w:pPr>
            <w:r w:rsidRPr="00DB1F46">
              <w:rPr>
                <w:b/>
                <w:bCs/>
                <w:sz w:val="24"/>
                <w:szCs w:val="24"/>
              </w:rPr>
              <w:t>Data Type</w:t>
            </w:r>
          </w:p>
        </w:tc>
        <w:tc>
          <w:tcPr>
            <w:tcW w:w="3006" w:type="dxa"/>
            <w:shd w:val="clear" w:color="auto" w:fill="BFBFBF" w:themeFill="background1" w:themeFillShade="BF"/>
          </w:tcPr>
          <w:p w14:paraId="5DC7861C" w14:textId="3A1EFD80" w:rsidR="00F07CD2" w:rsidRPr="00DB1F46" w:rsidRDefault="00F07CD2" w:rsidP="00DB1F46">
            <w:pPr>
              <w:jc w:val="center"/>
              <w:rPr>
                <w:b/>
                <w:bCs/>
                <w:sz w:val="24"/>
                <w:szCs w:val="24"/>
              </w:rPr>
            </w:pPr>
            <w:r w:rsidRPr="00DB1F46">
              <w:rPr>
                <w:b/>
                <w:bCs/>
                <w:sz w:val="24"/>
                <w:szCs w:val="24"/>
              </w:rPr>
              <w:t>Description</w:t>
            </w:r>
          </w:p>
        </w:tc>
      </w:tr>
      <w:tr w:rsidR="00F07CD2" w14:paraId="2F14BF1B" w14:textId="77777777" w:rsidTr="00DB1F46">
        <w:tc>
          <w:tcPr>
            <w:tcW w:w="3005" w:type="dxa"/>
          </w:tcPr>
          <w:p w14:paraId="65E6E55B" w14:textId="3B92B499" w:rsidR="00F07CD2" w:rsidRDefault="00F07CD2" w:rsidP="00DB1F46">
            <w:r>
              <w:t>LOAN_AMNT</w:t>
            </w:r>
          </w:p>
        </w:tc>
        <w:tc>
          <w:tcPr>
            <w:tcW w:w="3005" w:type="dxa"/>
          </w:tcPr>
          <w:p w14:paraId="65F9D276" w14:textId="4D81052D" w:rsidR="00F07CD2" w:rsidRDefault="003135A4" w:rsidP="00DB1F46">
            <w:r>
              <w:t>Continuous</w:t>
            </w:r>
          </w:p>
        </w:tc>
        <w:tc>
          <w:tcPr>
            <w:tcW w:w="3006" w:type="dxa"/>
          </w:tcPr>
          <w:p w14:paraId="1B59F637" w14:textId="77777777" w:rsidR="00DB1F46" w:rsidRDefault="00DB1F46" w:rsidP="00D229AD">
            <w:pPr>
              <w:jc w:val="both"/>
              <w:rPr>
                <w:rFonts w:ascii="Calibri" w:hAnsi="Calibri" w:cs="Calibri"/>
                <w:color w:val="000000"/>
              </w:rPr>
            </w:pPr>
            <w:r>
              <w:rPr>
                <w:rFonts w:ascii="Calibri" w:hAnsi="Calibri" w:cs="Calibri"/>
                <w:color w:val="000000"/>
              </w:rPr>
              <w:t>The listed amount of the loan applied for by the borrower. If at some point in time, the credit department reduces the loan amount, then it will be reflected in this value.</w:t>
            </w:r>
          </w:p>
          <w:p w14:paraId="3C0BE31E" w14:textId="77777777" w:rsidR="00F07CD2" w:rsidRDefault="00F07CD2" w:rsidP="00D229AD">
            <w:pPr>
              <w:jc w:val="both"/>
            </w:pPr>
          </w:p>
        </w:tc>
      </w:tr>
      <w:tr w:rsidR="00F07CD2" w14:paraId="3E8C2F15" w14:textId="77777777" w:rsidTr="00DB1F46">
        <w:tc>
          <w:tcPr>
            <w:tcW w:w="3005" w:type="dxa"/>
          </w:tcPr>
          <w:p w14:paraId="49F4340B" w14:textId="6FF641F3" w:rsidR="00F07CD2" w:rsidRDefault="003135A4" w:rsidP="00DB1F46">
            <w:r>
              <w:t>TERM</w:t>
            </w:r>
          </w:p>
        </w:tc>
        <w:tc>
          <w:tcPr>
            <w:tcW w:w="3005" w:type="dxa"/>
          </w:tcPr>
          <w:p w14:paraId="387D5D8B" w14:textId="4CD4A928" w:rsidR="00F07CD2" w:rsidRDefault="003135A4" w:rsidP="00DB1F46">
            <w:r>
              <w:t>C</w:t>
            </w:r>
            <w:r w:rsidR="00581925">
              <w:t>ategorical</w:t>
            </w:r>
          </w:p>
        </w:tc>
        <w:tc>
          <w:tcPr>
            <w:tcW w:w="3006" w:type="dxa"/>
          </w:tcPr>
          <w:p w14:paraId="1F5A9539" w14:textId="77777777" w:rsidR="00DB1F46" w:rsidRDefault="00DB1F46" w:rsidP="00D229AD">
            <w:pPr>
              <w:jc w:val="both"/>
              <w:rPr>
                <w:rFonts w:ascii="Calibri" w:hAnsi="Calibri" w:cs="Calibri"/>
                <w:color w:val="000000"/>
              </w:rPr>
            </w:pPr>
            <w:r>
              <w:rPr>
                <w:rFonts w:ascii="Calibri" w:hAnsi="Calibri" w:cs="Calibri"/>
                <w:color w:val="000000"/>
              </w:rPr>
              <w:t>The number of payments on the loan. Values are in months and can be either 36 or 60.</w:t>
            </w:r>
          </w:p>
          <w:p w14:paraId="3C7A6547" w14:textId="77777777" w:rsidR="00F07CD2" w:rsidRDefault="00F07CD2" w:rsidP="00D229AD">
            <w:pPr>
              <w:jc w:val="both"/>
            </w:pPr>
          </w:p>
        </w:tc>
      </w:tr>
      <w:tr w:rsidR="00F07CD2" w14:paraId="148E9B53" w14:textId="77777777" w:rsidTr="00DB1F46">
        <w:tc>
          <w:tcPr>
            <w:tcW w:w="3005" w:type="dxa"/>
          </w:tcPr>
          <w:p w14:paraId="22F70DC0" w14:textId="2BF641A7" w:rsidR="00F07CD2" w:rsidRDefault="003135A4" w:rsidP="00DB1F46">
            <w:r>
              <w:t>INT_RATE</w:t>
            </w:r>
          </w:p>
        </w:tc>
        <w:tc>
          <w:tcPr>
            <w:tcW w:w="3005" w:type="dxa"/>
          </w:tcPr>
          <w:p w14:paraId="7AD73F69" w14:textId="776C3B11" w:rsidR="00F07CD2" w:rsidRDefault="003135A4" w:rsidP="00DB1F46">
            <w:r>
              <w:t>Continuous</w:t>
            </w:r>
          </w:p>
        </w:tc>
        <w:tc>
          <w:tcPr>
            <w:tcW w:w="3006" w:type="dxa"/>
          </w:tcPr>
          <w:p w14:paraId="4137A2C5" w14:textId="77777777" w:rsidR="00DB1F46" w:rsidRDefault="00DB1F46" w:rsidP="00D229AD">
            <w:pPr>
              <w:jc w:val="both"/>
              <w:rPr>
                <w:rFonts w:ascii="Calibri" w:hAnsi="Calibri" w:cs="Calibri"/>
                <w:color w:val="000000"/>
              </w:rPr>
            </w:pPr>
            <w:r>
              <w:rPr>
                <w:rFonts w:ascii="Calibri" w:hAnsi="Calibri" w:cs="Calibri"/>
                <w:color w:val="000000"/>
              </w:rPr>
              <w:t>Interest Rate on the loan</w:t>
            </w:r>
          </w:p>
          <w:p w14:paraId="2EA895FB" w14:textId="77777777" w:rsidR="00F07CD2" w:rsidRDefault="00F07CD2" w:rsidP="00D229AD">
            <w:pPr>
              <w:jc w:val="both"/>
            </w:pPr>
          </w:p>
        </w:tc>
      </w:tr>
      <w:tr w:rsidR="00F07CD2" w14:paraId="7F4DD9D4" w14:textId="77777777" w:rsidTr="00DB1F46">
        <w:tc>
          <w:tcPr>
            <w:tcW w:w="3005" w:type="dxa"/>
          </w:tcPr>
          <w:p w14:paraId="3DE96A29" w14:textId="7A8DE1D0" w:rsidR="00F07CD2" w:rsidRDefault="003135A4" w:rsidP="00DB1F46">
            <w:r>
              <w:t>GRADE</w:t>
            </w:r>
          </w:p>
        </w:tc>
        <w:tc>
          <w:tcPr>
            <w:tcW w:w="3005" w:type="dxa"/>
          </w:tcPr>
          <w:p w14:paraId="3E9A8AC6" w14:textId="2C015B8E" w:rsidR="00F07CD2" w:rsidRDefault="003135A4" w:rsidP="00DB1F46">
            <w:r>
              <w:t>Categorical</w:t>
            </w:r>
          </w:p>
        </w:tc>
        <w:tc>
          <w:tcPr>
            <w:tcW w:w="3006" w:type="dxa"/>
          </w:tcPr>
          <w:p w14:paraId="25ADFBA2" w14:textId="77777777" w:rsidR="00DB1F46" w:rsidRDefault="00DB1F46" w:rsidP="00D229AD">
            <w:pPr>
              <w:jc w:val="both"/>
              <w:rPr>
                <w:rFonts w:ascii="Calibri" w:hAnsi="Calibri" w:cs="Calibri"/>
                <w:color w:val="000000"/>
              </w:rPr>
            </w:pPr>
            <w:r>
              <w:rPr>
                <w:rFonts w:ascii="Calibri" w:hAnsi="Calibri" w:cs="Calibri"/>
                <w:color w:val="000000"/>
              </w:rPr>
              <w:t>LC assigned loan grade</w:t>
            </w:r>
          </w:p>
          <w:p w14:paraId="49CAACA4" w14:textId="77777777" w:rsidR="00F07CD2" w:rsidRDefault="00F07CD2" w:rsidP="00D229AD">
            <w:pPr>
              <w:jc w:val="both"/>
            </w:pPr>
          </w:p>
        </w:tc>
      </w:tr>
      <w:tr w:rsidR="00F07CD2" w14:paraId="4C97C33C" w14:textId="77777777" w:rsidTr="00DB1F46">
        <w:tc>
          <w:tcPr>
            <w:tcW w:w="3005" w:type="dxa"/>
          </w:tcPr>
          <w:p w14:paraId="68AA9A71" w14:textId="3178E30A" w:rsidR="00F07CD2" w:rsidRDefault="003135A4" w:rsidP="00DB1F46">
            <w:r>
              <w:t>EMP_LENGTH</w:t>
            </w:r>
          </w:p>
        </w:tc>
        <w:tc>
          <w:tcPr>
            <w:tcW w:w="3005" w:type="dxa"/>
          </w:tcPr>
          <w:p w14:paraId="73F3C7C6" w14:textId="0E22F6F6" w:rsidR="00F07CD2" w:rsidRDefault="003135A4" w:rsidP="00DB1F46">
            <w:r>
              <w:t>Continuous</w:t>
            </w:r>
          </w:p>
        </w:tc>
        <w:tc>
          <w:tcPr>
            <w:tcW w:w="3006" w:type="dxa"/>
          </w:tcPr>
          <w:p w14:paraId="60548DE8" w14:textId="77777777" w:rsidR="00DB1F46" w:rsidRDefault="00DB1F46" w:rsidP="00D229AD">
            <w:pPr>
              <w:jc w:val="both"/>
              <w:rPr>
                <w:rFonts w:ascii="Calibri" w:hAnsi="Calibri" w:cs="Calibri"/>
                <w:color w:val="000000"/>
              </w:rPr>
            </w:pPr>
            <w:r>
              <w:rPr>
                <w:rFonts w:ascii="Calibri" w:hAnsi="Calibri" w:cs="Calibri"/>
                <w:color w:val="000000"/>
              </w:rPr>
              <w:t xml:space="preserve">Employment length in years. Possible values are between 0 and 10 where 0 means less than one year and 10 means ten or more years. </w:t>
            </w:r>
          </w:p>
          <w:p w14:paraId="6A43F841" w14:textId="77777777" w:rsidR="00F07CD2" w:rsidRDefault="00F07CD2" w:rsidP="00D229AD">
            <w:pPr>
              <w:jc w:val="both"/>
            </w:pPr>
          </w:p>
        </w:tc>
      </w:tr>
      <w:tr w:rsidR="00F07CD2" w14:paraId="0E2331B1" w14:textId="77777777" w:rsidTr="00DB1F46">
        <w:tc>
          <w:tcPr>
            <w:tcW w:w="3005" w:type="dxa"/>
          </w:tcPr>
          <w:p w14:paraId="7529A4AB" w14:textId="3D16B7D0" w:rsidR="00F07CD2" w:rsidRDefault="003135A4" w:rsidP="00DB1F46">
            <w:r>
              <w:t>HOME_OWNERSHIP</w:t>
            </w:r>
          </w:p>
        </w:tc>
        <w:tc>
          <w:tcPr>
            <w:tcW w:w="3005" w:type="dxa"/>
          </w:tcPr>
          <w:p w14:paraId="599F2616" w14:textId="285D6413" w:rsidR="00F07CD2" w:rsidRDefault="008529F4" w:rsidP="00DB1F46">
            <w:r>
              <w:t>Categorical</w:t>
            </w:r>
          </w:p>
        </w:tc>
        <w:tc>
          <w:tcPr>
            <w:tcW w:w="3006" w:type="dxa"/>
          </w:tcPr>
          <w:p w14:paraId="4984FE79" w14:textId="51B1CA84" w:rsidR="00F07CD2" w:rsidRPr="009B7A0F" w:rsidRDefault="00DB1F46" w:rsidP="00D229AD">
            <w:pPr>
              <w:jc w:val="both"/>
              <w:rPr>
                <w:rFonts w:ascii="Calibri" w:hAnsi="Calibri" w:cs="Calibri"/>
                <w:color w:val="000000"/>
              </w:rPr>
            </w:pPr>
            <w:r>
              <w:rPr>
                <w:rFonts w:ascii="Calibri" w:hAnsi="Calibri" w:cs="Calibri"/>
                <w:color w:val="000000"/>
              </w:rPr>
              <w:t>The home ownership status provided by the borrower during registration or obtained from the credit report. Our values are: RENT, OWN, MORTGAGE, OTHER</w:t>
            </w:r>
          </w:p>
        </w:tc>
      </w:tr>
      <w:tr w:rsidR="00F07CD2" w14:paraId="0906F9BB" w14:textId="77777777" w:rsidTr="00DB1F46">
        <w:tc>
          <w:tcPr>
            <w:tcW w:w="3005" w:type="dxa"/>
          </w:tcPr>
          <w:p w14:paraId="7735FC95" w14:textId="379B32D6" w:rsidR="00F07CD2" w:rsidRDefault="003135A4" w:rsidP="00DB1F46">
            <w:r>
              <w:t>ANNUAL_INC</w:t>
            </w:r>
          </w:p>
        </w:tc>
        <w:tc>
          <w:tcPr>
            <w:tcW w:w="3005" w:type="dxa"/>
          </w:tcPr>
          <w:p w14:paraId="6D27E38D" w14:textId="6E68F18A" w:rsidR="00F07CD2" w:rsidRDefault="003135A4" w:rsidP="00DB1F46">
            <w:r>
              <w:t>Continuous</w:t>
            </w:r>
          </w:p>
        </w:tc>
        <w:tc>
          <w:tcPr>
            <w:tcW w:w="3006" w:type="dxa"/>
          </w:tcPr>
          <w:p w14:paraId="62DC1BE1" w14:textId="77777777" w:rsidR="00DB1F46" w:rsidRDefault="00DB1F46" w:rsidP="00D229AD">
            <w:pPr>
              <w:jc w:val="both"/>
              <w:rPr>
                <w:rFonts w:ascii="Calibri" w:hAnsi="Calibri" w:cs="Calibri"/>
                <w:color w:val="000000"/>
              </w:rPr>
            </w:pPr>
            <w:r>
              <w:rPr>
                <w:rFonts w:ascii="Calibri" w:hAnsi="Calibri" w:cs="Calibri"/>
                <w:color w:val="000000"/>
              </w:rPr>
              <w:t>The self-reported annual income provided by the borrower during registration.</w:t>
            </w:r>
          </w:p>
          <w:p w14:paraId="2E518924" w14:textId="77777777" w:rsidR="00F07CD2" w:rsidRDefault="00F07CD2" w:rsidP="00D229AD">
            <w:pPr>
              <w:jc w:val="both"/>
            </w:pPr>
          </w:p>
        </w:tc>
      </w:tr>
      <w:tr w:rsidR="003135A4" w14:paraId="20EE01C1" w14:textId="77777777" w:rsidTr="00DB1F46">
        <w:tc>
          <w:tcPr>
            <w:tcW w:w="3005" w:type="dxa"/>
          </w:tcPr>
          <w:p w14:paraId="08258DD1" w14:textId="2A42DE78" w:rsidR="003135A4" w:rsidRDefault="003135A4" w:rsidP="00DB1F46">
            <w:r>
              <w:t>VERIFICATION_STATUS</w:t>
            </w:r>
          </w:p>
        </w:tc>
        <w:tc>
          <w:tcPr>
            <w:tcW w:w="3005" w:type="dxa"/>
          </w:tcPr>
          <w:p w14:paraId="23BE4CCA" w14:textId="21D50818" w:rsidR="003135A4" w:rsidRDefault="008529F4" w:rsidP="00DB1F46">
            <w:r>
              <w:t>Categorical</w:t>
            </w:r>
          </w:p>
        </w:tc>
        <w:tc>
          <w:tcPr>
            <w:tcW w:w="3006" w:type="dxa"/>
          </w:tcPr>
          <w:p w14:paraId="6864256D" w14:textId="77777777" w:rsidR="00DB1F46" w:rsidRDefault="00DB1F46" w:rsidP="00D229AD">
            <w:pPr>
              <w:jc w:val="both"/>
              <w:rPr>
                <w:rFonts w:ascii="Calibri" w:hAnsi="Calibri" w:cs="Calibri"/>
                <w:color w:val="000000"/>
              </w:rPr>
            </w:pPr>
            <w:r>
              <w:rPr>
                <w:rFonts w:ascii="Calibri" w:hAnsi="Calibri" w:cs="Calibri"/>
                <w:color w:val="000000"/>
              </w:rPr>
              <w:t>Indicates if income was verified by LC, not verified, or if the income source was verified</w:t>
            </w:r>
          </w:p>
          <w:p w14:paraId="5694AE42" w14:textId="77777777" w:rsidR="003135A4" w:rsidRDefault="003135A4" w:rsidP="00D229AD">
            <w:pPr>
              <w:jc w:val="both"/>
            </w:pPr>
          </w:p>
        </w:tc>
      </w:tr>
      <w:tr w:rsidR="003135A4" w14:paraId="6BD008EB" w14:textId="77777777" w:rsidTr="00DB1F46">
        <w:tc>
          <w:tcPr>
            <w:tcW w:w="3005" w:type="dxa"/>
          </w:tcPr>
          <w:p w14:paraId="20E04C7A" w14:textId="1D70EE38" w:rsidR="003135A4" w:rsidRDefault="003135A4" w:rsidP="00DB1F46">
            <w:r>
              <w:t>LOAN_STATUS</w:t>
            </w:r>
          </w:p>
        </w:tc>
        <w:tc>
          <w:tcPr>
            <w:tcW w:w="3005" w:type="dxa"/>
          </w:tcPr>
          <w:p w14:paraId="57E29732" w14:textId="04A4365F" w:rsidR="003135A4" w:rsidRDefault="008529F4" w:rsidP="00DB1F46">
            <w:r>
              <w:t>Categorical</w:t>
            </w:r>
          </w:p>
        </w:tc>
        <w:tc>
          <w:tcPr>
            <w:tcW w:w="3006" w:type="dxa"/>
          </w:tcPr>
          <w:p w14:paraId="2A0576CD" w14:textId="7EE695EC" w:rsidR="00DB1F46" w:rsidRDefault="00DB1F46" w:rsidP="00D229AD">
            <w:pPr>
              <w:jc w:val="both"/>
              <w:rPr>
                <w:rFonts w:ascii="Calibri" w:hAnsi="Calibri" w:cs="Calibri"/>
                <w:color w:val="000000"/>
              </w:rPr>
            </w:pPr>
            <w:r>
              <w:rPr>
                <w:rFonts w:ascii="Calibri" w:hAnsi="Calibri" w:cs="Calibri"/>
                <w:color w:val="000000"/>
              </w:rPr>
              <w:t>Current status of the loan</w:t>
            </w:r>
            <w:r w:rsidR="00EB3FD3">
              <w:rPr>
                <w:rFonts w:ascii="Calibri" w:hAnsi="Calibri" w:cs="Calibri"/>
                <w:color w:val="000000"/>
              </w:rPr>
              <w:t>- Fully paid or default [Class Variable]</w:t>
            </w:r>
          </w:p>
          <w:p w14:paraId="2ACF3FD1" w14:textId="77777777" w:rsidR="003135A4" w:rsidRDefault="003135A4" w:rsidP="00D229AD">
            <w:pPr>
              <w:jc w:val="both"/>
            </w:pPr>
          </w:p>
        </w:tc>
      </w:tr>
      <w:tr w:rsidR="003135A4" w14:paraId="4DC92F7B" w14:textId="77777777" w:rsidTr="00DB1F46">
        <w:tc>
          <w:tcPr>
            <w:tcW w:w="3005" w:type="dxa"/>
          </w:tcPr>
          <w:p w14:paraId="709F99EE" w14:textId="60C4342C" w:rsidR="003135A4" w:rsidRDefault="003135A4" w:rsidP="00DB1F46">
            <w:r>
              <w:t>DTI</w:t>
            </w:r>
          </w:p>
        </w:tc>
        <w:tc>
          <w:tcPr>
            <w:tcW w:w="3005" w:type="dxa"/>
          </w:tcPr>
          <w:p w14:paraId="35E12DC2" w14:textId="4B07217C" w:rsidR="003135A4" w:rsidRDefault="003135A4" w:rsidP="00DB1F46">
            <w:r>
              <w:t>Continuous</w:t>
            </w:r>
          </w:p>
        </w:tc>
        <w:tc>
          <w:tcPr>
            <w:tcW w:w="3006" w:type="dxa"/>
          </w:tcPr>
          <w:p w14:paraId="3C1AAE68" w14:textId="77777777" w:rsidR="00DB1F46" w:rsidRDefault="00DB1F46" w:rsidP="00D229AD">
            <w:pPr>
              <w:jc w:val="both"/>
              <w:rPr>
                <w:rFonts w:ascii="Calibri" w:hAnsi="Calibri" w:cs="Calibri"/>
                <w:color w:val="000000"/>
              </w:rPr>
            </w:pPr>
            <w:r>
              <w:rPr>
                <w:rFonts w:ascii="Calibri" w:hAnsi="Calibri" w:cs="Calibri"/>
                <w:color w:val="000000"/>
              </w:rPr>
              <w:t>A ratio calculated using the borrower’s total monthly debt payments on the total debt obligations, excluding mortgage and the requested LC loan, divided by the borrower’s self-reported monthly income.</w:t>
            </w:r>
          </w:p>
          <w:p w14:paraId="1AA52D57" w14:textId="77777777" w:rsidR="003135A4" w:rsidRDefault="003135A4" w:rsidP="00D229AD">
            <w:pPr>
              <w:jc w:val="both"/>
            </w:pPr>
          </w:p>
        </w:tc>
      </w:tr>
      <w:tr w:rsidR="003135A4" w14:paraId="5473B3C7" w14:textId="77777777" w:rsidTr="00DB1F46">
        <w:tc>
          <w:tcPr>
            <w:tcW w:w="3005" w:type="dxa"/>
          </w:tcPr>
          <w:p w14:paraId="36342FC8" w14:textId="1364F21F" w:rsidR="003135A4" w:rsidRDefault="003135A4" w:rsidP="00DB1F46">
            <w:r>
              <w:t>OPEN_ACC</w:t>
            </w:r>
          </w:p>
        </w:tc>
        <w:tc>
          <w:tcPr>
            <w:tcW w:w="3005" w:type="dxa"/>
          </w:tcPr>
          <w:p w14:paraId="0B19E8CC" w14:textId="6B9C70AE" w:rsidR="003135A4" w:rsidRDefault="003135A4" w:rsidP="00DB1F46">
            <w:r>
              <w:t>Continuous</w:t>
            </w:r>
          </w:p>
        </w:tc>
        <w:tc>
          <w:tcPr>
            <w:tcW w:w="3006" w:type="dxa"/>
          </w:tcPr>
          <w:p w14:paraId="7C04851D" w14:textId="0F188612" w:rsidR="003135A4" w:rsidRPr="00D229AD" w:rsidRDefault="00DB1F46" w:rsidP="00D229AD">
            <w:pPr>
              <w:jc w:val="both"/>
              <w:rPr>
                <w:rFonts w:ascii="Calibri" w:hAnsi="Calibri" w:cs="Calibri"/>
                <w:color w:val="000000"/>
              </w:rPr>
            </w:pPr>
            <w:r>
              <w:rPr>
                <w:rFonts w:ascii="Calibri" w:hAnsi="Calibri" w:cs="Calibri"/>
                <w:color w:val="000000"/>
              </w:rPr>
              <w:t>The number of open credit lines in the borrower's credit file.</w:t>
            </w:r>
          </w:p>
        </w:tc>
      </w:tr>
      <w:tr w:rsidR="003135A4" w14:paraId="0584CFAD" w14:textId="77777777" w:rsidTr="00DB1F46">
        <w:tc>
          <w:tcPr>
            <w:tcW w:w="3005" w:type="dxa"/>
          </w:tcPr>
          <w:p w14:paraId="5DC59434" w14:textId="5ACBA629" w:rsidR="003135A4" w:rsidRDefault="003135A4" w:rsidP="00DB1F46">
            <w:r>
              <w:t>TOTAL_ACC</w:t>
            </w:r>
          </w:p>
        </w:tc>
        <w:tc>
          <w:tcPr>
            <w:tcW w:w="3005" w:type="dxa"/>
          </w:tcPr>
          <w:p w14:paraId="7FD375C3" w14:textId="6B9BACDC" w:rsidR="003135A4" w:rsidRDefault="003135A4" w:rsidP="00DB1F46">
            <w:r>
              <w:t>Continuous</w:t>
            </w:r>
          </w:p>
        </w:tc>
        <w:tc>
          <w:tcPr>
            <w:tcW w:w="3006" w:type="dxa"/>
          </w:tcPr>
          <w:p w14:paraId="189B1C3A" w14:textId="77777777" w:rsidR="00DB1F46" w:rsidRDefault="00DB1F46" w:rsidP="00D229AD">
            <w:pPr>
              <w:jc w:val="both"/>
              <w:rPr>
                <w:rFonts w:ascii="Calibri" w:hAnsi="Calibri" w:cs="Calibri"/>
                <w:color w:val="000000"/>
              </w:rPr>
            </w:pPr>
            <w:r>
              <w:rPr>
                <w:rFonts w:ascii="Calibri" w:hAnsi="Calibri" w:cs="Calibri"/>
                <w:color w:val="000000"/>
              </w:rPr>
              <w:t>The total number of credit lines currently in the borrower's credit file</w:t>
            </w:r>
          </w:p>
          <w:p w14:paraId="6E59C91A" w14:textId="77777777" w:rsidR="003135A4" w:rsidRDefault="003135A4" w:rsidP="00D229AD">
            <w:pPr>
              <w:jc w:val="both"/>
            </w:pPr>
          </w:p>
        </w:tc>
      </w:tr>
    </w:tbl>
    <w:p w14:paraId="47D0E443" w14:textId="77777777" w:rsidR="005C4ED0" w:rsidRDefault="005C4ED0"/>
    <w:sectPr w:rsidR="005C4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FDE"/>
    <w:rsid w:val="003135A4"/>
    <w:rsid w:val="00581925"/>
    <w:rsid w:val="005C4ED0"/>
    <w:rsid w:val="008529F4"/>
    <w:rsid w:val="009B7A0F"/>
    <w:rsid w:val="00D10FDE"/>
    <w:rsid w:val="00D229AD"/>
    <w:rsid w:val="00DB1F46"/>
    <w:rsid w:val="00EB3FD3"/>
    <w:rsid w:val="00F07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1A1"/>
  <w15:chartTrackingRefBased/>
  <w15:docId w15:val="{1BB32BB4-7BC6-4355-BCD9-F4262FB1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7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4196">
      <w:bodyDiv w:val="1"/>
      <w:marLeft w:val="0"/>
      <w:marRight w:val="0"/>
      <w:marTop w:val="0"/>
      <w:marBottom w:val="0"/>
      <w:divBdr>
        <w:top w:val="none" w:sz="0" w:space="0" w:color="auto"/>
        <w:left w:val="none" w:sz="0" w:space="0" w:color="auto"/>
        <w:bottom w:val="none" w:sz="0" w:space="0" w:color="auto"/>
        <w:right w:val="none" w:sz="0" w:space="0" w:color="auto"/>
      </w:divBdr>
    </w:div>
    <w:div w:id="114834512">
      <w:bodyDiv w:val="1"/>
      <w:marLeft w:val="0"/>
      <w:marRight w:val="0"/>
      <w:marTop w:val="0"/>
      <w:marBottom w:val="0"/>
      <w:divBdr>
        <w:top w:val="none" w:sz="0" w:space="0" w:color="auto"/>
        <w:left w:val="none" w:sz="0" w:space="0" w:color="auto"/>
        <w:bottom w:val="none" w:sz="0" w:space="0" w:color="auto"/>
        <w:right w:val="none" w:sz="0" w:space="0" w:color="auto"/>
      </w:divBdr>
    </w:div>
    <w:div w:id="422842619">
      <w:bodyDiv w:val="1"/>
      <w:marLeft w:val="0"/>
      <w:marRight w:val="0"/>
      <w:marTop w:val="0"/>
      <w:marBottom w:val="0"/>
      <w:divBdr>
        <w:top w:val="none" w:sz="0" w:space="0" w:color="auto"/>
        <w:left w:val="none" w:sz="0" w:space="0" w:color="auto"/>
        <w:bottom w:val="none" w:sz="0" w:space="0" w:color="auto"/>
        <w:right w:val="none" w:sz="0" w:space="0" w:color="auto"/>
      </w:divBdr>
    </w:div>
    <w:div w:id="1351643495">
      <w:bodyDiv w:val="1"/>
      <w:marLeft w:val="0"/>
      <w:marRight w:val="0"/>
      <w:marTop w:val="0"/>
      <w:marBottom w:val="0"/>
      <w:divBdr>
        <w:top w:val="none" w:sz="0" w:space="0" w:color="auto"/>
        <w:left w:val="none" w:sz="0" w:space="0" w:color="auto"/>
        <w:bottom w:val="none" w:sz="0" w:space="0" w:color="auto"/>
        <w:right w:val="none" w:sz="0" w:space="0" w:color="auto"/>
      </w:divBdr>
    </w:div>
    <w:div w:id="1361707592">
      <w:bodyDiv w:val="1"/>
      <w:marLeft w:val="0"/>
      <w:marRight w:val="0"/>
      <w:marTop w:val="0"/>
      <w:marBottom w:val="0"/>
      <w:divBdr>
        <w:top w:val="none" w:sz="0" w:space="0" w:color="auto"/>
        <w:left w:val="none" w:sz="0" w:space="0" w:color="auto"/>
        <w:bottom w:val="none" w:sz="0" w:space="0" w:color="auto"/>
        <w:right w:val="none" w:sz="0" w:space="0" w:color="auto"/>
      </w:divBdr>
    </w:div>
    <w:div w:id="1369644691">
      <w:bodyDiv w:val="1"/>
      <w:marLeft w:val="0"/>
      <w:marRight w:val="0"/>
      <w:marTop w:val="0"/>
      <w:marBottom w:val="0"/>
      <w:divBdr>
        <w:top w:val="none" w:sz="0" w:space="0" w:color="auto"/>
        <w:left w:val="none" w:sz="0" w:space="0" w:color="auto"/>
        <w:bottom w:val="none" w:sz="0" w:space="0" w:color="auto"/>
        <w:right w:val="none" w:sz="0" w:space="0" w:color="auto"/>
      </w:divBdr>
    </w:div>
    <w:div w:id="1454789976">
      <w:bodyDiv w:val="1"/>
      <w:marLeft w:val="0"/>
      <w:marRight w:val="0"/>
      <w:marTop w:val="0"/>
      <w:marBottom w:val="0"/>
      <w:divBdr>
        <w:top w:val="none" w:sz="0" w:space="0" w:color="auto"/>
        <w:left w:val="none" w:sz="0" w:space="0" w:color="auto"/>
        <w:bottom w:val="none" w:sz="0" w:space="0" w:color="auto"/>
        <w:right w:val="none" w:sz="0" w:space="0" w:color="auto"/>
      </w:divBdr>
    </w:div>
    <w:div w:id="1545096600">
      <w:bodyDiv w:val="1"/>
      <w:marLeft w:val="0"/>
      <w:marRight w:val="0"/>
      <w:marTop w:val="0"/>
      <w:marBottom w:val="0"/>
      <w:divBdr>
        <w:top w:val="none" w:sz="0" w:space="0" w:color="auto"/>
        <w:left w:val="none" w:sz="0" w:space="0" w:color="auto"/>
        <w:bottom w:val="none" w:sz="0" w:space="0" w:color="auto"/>
        <w:right w:val="none" w:sz="0" w:space="0" w:color="auto"/>
      </w:divBdr>
    </w:div>
    <w:div w:id="1603102656">
      <w:bodyDiv w:val="1"/>
      <w:marLeft w:val="0"/>
      <w:marRight w:val="0"/>
      <w:marTop w:val="0"/>
      <w:marBottom w:val="0"/>
      <w:divBdr>
        <w:top w:val="none" w:sz="0" w:space="0" w:color="auto"/>
        <w:left w:val="none" w:sz="0" w:space="0" w:color="auto"/>
        <w:bottom w:val="none" w:sz="0" w:space="0" w:color="auto"/>
        <w:right w:val="none" w:sz="0" w:space="0" w:color="auto"/>
      </w:divBdr>
    </w:div>
    <w:div w:id="1691906942">
      <w:bodyDiv w:val="1"/>
      <w:marLeft w:val="0"/>
      <w:marRight w:val="0"/>
      <w:marTop w:val="0"/>
      <w:marBottom w:val="0"/>
      <w:divBdr>
        <w:top w:val="none" w:sz="0" w:space="0" w:color="auto"/>
        <w:left w:val="none" w:sz="0" w:space="0" w:color="auto"/>
        <w:bottom w:val="none" w:sz="0" w:space="0" w:color="auto"/>
        <w:right w:val="none" w:sz="0" w:space="0" w:color="auto"/>
      </w:divBdr>
    </w:div>
    <w:div w:id="1898321110">
      <w:bodyDiv w:val="1"/>
      <w:marLeft w:val="0"/>
      <w:marRight w:val="0"/>
      <w:marTop w:val="0"/>
      <w:marBottom w:val="0"/>
      <w:divBdr>
        <w:top w:val="none" w:sz="0" w:space="0" w:color="auto"/>
        <w:left w:val="none" w:sz="0" w:space="0" w:color="auto"/>
        <w:bottom w:val="none" w:sz="0" w:space="0" w:color="auto"/>
        <w:right w:val="none" w:sz="0" w:space="0" w:color="auto"/>
      </w:divBdr>
    </w:div>
    <w:div w:id="202080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SRIJON MALLICK</dc:creator>
  <cp:keywords/>
  <dc:description/>
  <cp:lastModifiedBy>SRIJON MALLICK</cp:lastModifiedBy>
  <cp:revision>6</cp:revision>
  <dcterms:created xsi:type="dcterms:W3CDTF">2022-06-08T15:22:00Z</dcterms:created>
  <dcterms:modified xsi:type="dcterms:W3CDTF">2022-06-08T17:33:00Z</dcterms:modified>
</cp:coreProperties>
</file>