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1F4E79" w:sz="4"/>
              <w:left w:val="single" w:color="1F4E79" w:sz="4"/>
              <w:bottom w:val="single" w:color="1F4E79" w:sz="4"/>
              <w:right w:val="single" w:color="1F4E79" w:sz="4"/>
            </w:tcBorders>
            <w:shd w:fill="1F4E79" w:val="clear"/>
            <w:tcMar>
              <w:top w:type="dxa" w:w="110"/>
              <w:left w:type="dxa" w:w="240"/>
              <w:bottom w:type="dxa" w:w="110"/>
              <w:right w:type="dxa" w:w="240"/>
            </w:tcMar>
          </w:tcPr>
          <w:p>
            <w:pPr>
              <w:jc w:val="center"/>
            </w:pPr>
            <w:r>
              <w:rPr>
                <w:rFonts w:ascii="Arial" w:cs="Arial" w:eastAsia="Arial" w:hAnsi="Arial"/>
                <w:b/>
                <w:bCs/>
                <w:color w:val="FFFFFF"/>
                <w:sz w:val="26"/>
                <w:szCs w:val="26"/>
              </w:rPr>
              <w:t xml:space="preserve">SEBI-Aware CFA Agent  |  Mutual Fund Portfolio Guide</w:t>
            </w:r>
          </w:p>
          <w:p>
            <w:pPr>
              <w:jc w:val="center"/>
            </w:pPr>
            <w:r>
              <w:rPr>
                <w:rFonts w:ascii="Arial" w:cs="Arial" w:eastAsia="Arial" w:hAnsi="Arial"/>
                <w:color w:val="BDD7EE"/>
                <w:sz w:val="16"/>
                <w:szCs w:val="16"/>
              </w:rPr>
              <w:t xml:space="preserve">Version 7.0  |  June 2026  |  New: Deterministic Regime  |  Decision Hierarchy  |  Scaled Cost Gate  |  Bear Eval-Only  |  Two-Tier Core Warning</w:t>
            </w:r>
          </w:p>
        </w:tc>
      </w:tr>
    </w:tbl>
    <w:p>
      <w:pPr>
        <w:spacing w:after="55" w:before="55"/>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200"/>
        <w:gridCol w:w="1500"/>
        <w:gridCol w:w="2740"/>
      </w:tblGrid>
      <w:tr>
        <w:trPr>
          <w:tblHeader/>
        </w:trPr>
        <w:tc>
          <w:tcPr>
            <w:tcW w:type="dxa" w:w="20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Risk Profile</w:t>
            </w:r>
          </w:p>
        </w:tc>
        <w:tc>
          <w:tcPr>
            <w:tcW w:type="dxa" w:w="20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Monthly SIP</w:t>
            </w:r>
          </w:p>
        </w:tc>
        <w:tc>
          <w:tcPr>
            <w:tcW w:type="dxa" w:w="22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Target Corpus</w:t>
            </w:r>
          </w:p>
        </w:tc>
        <w:tc>
          <w:tcPr>
            <w:tcW w:type="dxa" w:w="15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Max Churn</w:t>
            </w:r>
          </w:p>
        </w:tc>
        <w:tc>
          <w:tcPr>
            <w:tcW w:type="dxa" w:w="274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Portfolio Status</w:t>
            </w:r>
          </w:p>
        </w:tc>
      </w:tr>
      <w:tr>
        <w:tc>
          <w:tcPr>
            <w:tcW w:type="dxa" w:w="20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AGGRESSIVE</w:t>
            </w:r>
          </w:p>
        </w:tc>
        <w:tc>
          <w:tcPr>
            <w:tcW w:type="dxa" w:w="20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Rs 50,000</w:t>
            </w:r>
          </w:p>
        </w:tc>
        <w:tc>
          <w:tcPr>
            <w:tcW w:type="dxa" w:w="22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Rs 50,00,000</w:t>
            </w:r>
          </w:p>
        </w:tc>
        <w:tc>
          <w:tcPr>
            <w:tcW w:type="dxa" w:w="15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2 per review</w:t>
            </w:r>
          </w:p>
        </w:tc>
        <w:tc>
          <w:tcPr>
            <w:tcW w:type="dxa" w:w="274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Meets All Requirements (Jun 2026)</w:t>
            </w:r>
          </w:p>
        </w:tc>
      </w:tr>
    </w:tbl>
    <w:p>
      <w:pPr>
        <w:spacing w:after="55" w:before="55"/>
      </w:pPr>
    </w:p>
    <w:p>
      <w:pPr>
        <w:spacing w:after="70" w:before="70"/>
      </w:pPr>
      <w:r>
        <w:rPr>
          <w:rFonts w:ascii="Arial" w:cs="Arial" w:eastAsia="Arial" w:hAnsi="Arial"/>
          <w:b w:val="false"/>
          <w:bCs w:val="false"/>
          <w:i/>
          <w:iCs/>
          <w:color w:val="000000"/>
          <w:sz w:val="16"/>
          <w:szCs w:val="16"/>
        </w:rPr>
        <w:t xml:space="preserve">SIP Split: 5th Rs 20,000 | 15th Rs 15,000 | 25th Rs 15,000  |  Platform: MyCams  |  Next Review: Dec 2026</w:t>
      </w:r>
    </w:p>
    <w:p>
      <w:pPr>
        <w:spacing w:after="55" w:before="55"/>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1F4E79" w:sz="4"/>
              <w:left w:val="single" w:color="1F4E79" w:sz="4"/>
              <w:bottom w:val="single" w:color="1F4E79" w:sz="4"/>
              <w:right w:val="single" w:color="1F4E79" w:sz="4"/>
            </w:tcBorders>
            <w:shd w:fill="1F4E79" w:val="clear"/>
            <w:tcMar>
              <w:top w:type="dxa" w:w="110"/>
              <w:left w:type="dxa" w:w="240"/>
              <w:bottom w:type="dxa" w:w="110"/>
              <w:right w:type="dxa" w:w="240"/>
            </w:tcMar>
          </w:tcPr>
          <w:p>
            <w:pPr>
              <w:jc w:val="center"/>
            </w:pPr>
            <w:r>
              <w:rPr>
                <w:rFonts w:ascii="Arial" w:cs="Arial" w:eastAsia="Arial" w:hAnsi="Arial"/>
                <w:b/>
                <w:bCs/>
                <w:color w:val="FFFFFF"/>
                <w:sz w:val="26"/>
                <w:szCs w:val="26"/>
              </w:rPr>
              <w:t xml:space="preserve">LAYER 1 — DATA LAYER  (Sections 1–3)</w:t>
            </w:r>
          </w:p>
        </w:tc>
      </w:tr>
    </w:tbl>
    <w:p>
      <w:pPr>
        <w:spacing w:after="55" w:before="55"/>
      </w:pPr>
    </w:p>
    <w:p>
      <w:pPr>
        <w:pStyle w:val="Heading1"/>
        <w:shd w:fill="1F4E79" w:val="clear"/>
        <w:spacing w:after="100" w:before="240"/>
        <w:ind w:left="150"/>
      </w:pPr>
      <w:r>
        <w:rPr>
          <w:rFonts w:ascii="Arial" w:cs="Arial" w:eastAsia="Arial" w:hAnsi="Arial"/>
          <w:b/>
          <w:bCs/>
          <w:color w:val="FFFFFF"/>
          <w:sz w:val="24"/>
          <w:szCs w:val="24"/>
        </w:rPr>
        <w:t xml:space="preserve">1. Investor Profile (June 2026)</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800"/>
        <w:gridCol w:w="7640"/>
      </w:tblGrid>
      <w:tr>
        <w:trPr>
          <w:tblHeader/>
        </w:trPr>
        <w:tc>
          <w:tcPr>
            <w:tcW w:type="dxa" w:w="28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Parameter</w:t>
            </w:r>
          </w:p>
        </w:tc>
        <w:tc>
          <w:tcPr>
            <w:tcW w:type="dxa" w:w="764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Details</w:t>
            </w:r>
          </w:p>
        </w:tc>
      </w:tr>
      <w:tr>
        <w:tc>
          <w:tcPr>
            <w:tcW w:type="dxa" w:w="28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Risk Appetite</w:t>
            </w:r>
          </w:p>
        </w:tc>
        <w:tc>
          <w:tcPr>
            <w:tcW w:type="dxa" w:w="764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AGGRESSIVE — equity-only, no debt or hybrid</w:t>
            </w:r>
          </w:p>
        </w:tc>
      </w:tr>
      <w:tr>
        <w:tc>
          <w:tcPr>
            <w:tcW w:type="dxa" w:w="28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Monthly SIP</w:t>
            </w:r>
          </w:p>
        </w:tc>
        <w:tc>
          <w:tcPr>
            <w:tcW w:type="dxa" w:w="764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Rs 50,000 (all 8 funds) | Split: 5th Rs 20K | 15th Rs 15K | 25th Rs 15K</w:t>
            </w:r>
          </w:p>
        </w:tc>
      </w:tr>
      <w:tr>
        <w:tc>
          <w:tcPr>
            <w:tcW w:type="dxa" w:w="28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Investment Horizon</w:t>
            </w:r>
          </w:p>
        </w:tc>
        <w:tc>
          <w:tcPr>
            <w:tcW w:type="dxa" w:w="764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Minimum 3 years (target 5–7 years)</w:t>
            </w:r>
          </w:p>
        </w:tc>
      </w:tr>
      <w:tr>
        <w:tc>
          <w:tcPr>
            <w:tcW w:type="dxa" w:w="28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Existing Corpus</w:t>
            </w:r>
          </w:p>
        </w:tc>
        <w:tc>
          <w:tcPr>
            <w:tcW w:type="dxa" w:w="764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Rs 20,50,000 as of June 2026</w:t>
            </w:r>
          </w:p>
        </w:tc>
      </w:tr>
      <w:tr>
        <w:tc>
          <w:tcPr>
            <w:tcW w:type="dxa" w:w="28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Corpus Target / XIRR Target</w:t>
            </w:r>
          </w:p>
        </w:tc>
        <w:tc>
          <w:tcPr>
            <w:tcW w:type="dxa" w:w="764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Rs 50,00,000 | &gt;= 15% per year</w:t>
            </w:r>
          </w:p>
        </w:tc>
      </w:tr>
      <w:tr>
        <w:tc>
          <w:tcPr>
            <w:tcW w:type="dxa" w:w="28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Minimum XIRR Floor</w:t>
            </w:r>
          </w:p>
        </w:tc>
        <w:tc>
          <w:tcPr>
            <w:tcW w:type="dxa" w:w="764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&gt; 0% (capital preservation threshold — EROSION zone)</w:t>
            </w:r>
          </w:p>
        </w:tc>
      </w:tr>
      <w:tr>
        <w:tc>
          <w:tcPr>
            <w:tcW w:type="dxa" w:w="28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Plan Type / Platform</w:t>
            </w:r>
          </w:p>
        </w:tc>
        <w:tc>
          <w:tcPr>
            <w:tcW w:type="dxa" w:w="764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Direct Plans ONLY | MyCams (mycams.camsonline.com)</w:t>
            </w:r>
          </w:p>
        </w:tc>
      </w:tr>
      <w:tr>
        <w:tc>
          <w:tcPr>
            <w:tcW w:type="dxa" w:w="28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Portfolio Review</w:t>
            </w:r>
          </w:p>
        </w:tc>
        <w:tc>
          <w:tcPr>
            <w:tcW w:type="dxa" w:w="764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Every 6 months | Next: December 2026</w:t>
            </w:r>
          </w:p>
        </w:tc>
      </w:tr>
      <w:tr>
        <w:tc>
          <w:tcPr>
            <w:tcW w:type="dxa" w:w="28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Liquidity Buffer</w:t>
            </w:r>
          </w:p>
        </w:tc>
        <w:tc>
          <w:tcPr>
            <w:tcW w:type="dxa" w:w="764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Rs 1.5L–3.0L maintained OUTSIDE equity at all times (Section 8.2)</w:t>
            </w:r>
          </w:p>
        </w:tc>
      </w:tr>
      <w:tr>
        <w:tc>
          <w:tcPr>
            <w:tcW w:type="dxa" w:w="28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Maximum Churn Limit</w:t>
            </w:r>
          </w:p>
        </w:tc>
        <w:tc>
          <w:tcPr>
            <w:tcW w:type="dxa" w:w="764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2 fund changes per 6-month review period (Section 6.2)</w:t>
            </w:r>
          </w:p>
        </w:tc>
      </w:tr>
    </w:tbl>
    <w:p>
      <w:pPr>
        <w:spacing w:after="55" w:before="55"/>
      </w:pPr>
    </w:p>
    <w:p>
      <w:pPr>
        <w:pStyle w:val="Heading1"/>
        <w:shd w:fill="1F4E79" w:val="clear"/>
        <w:spacing w:after="100" w:before="240"/>
        <w:ind w:left="150"/>
      </w:pPr>
      <w:r>
        <w:rPr>
          <w:rFonts w:ascii="Arial" w:cs="Arial" w:eastAsia="Arial" w:hAnsi="Arial"/>
          <w:b/>
          <w:bCs/>
          <w:color w:val="FFFFFF"/>
          <w:sz w:val="24"/>
          <w:szCs w:val="24"/>
        </w:rPr>
        <w:t xml:space="preserve">2. Active Portfolio — Final Locked (June 2026)</w:t>
      </w:r>
    </w:p>
    <w:p>
      <w:pPr>
        <w:spacing w:after="70" w:before="70"/>
      </w:pPr>
      <w:r>
        <w:rPr>
          <w:rFonts w:ascii="Arial" w:cs="Arial" w:eastAsia="Arial" w:hAnsi="Arial"/>
          <w:b w:val="false"/>
          <w:bCs w:val="false"/>
          <w:i w:val="false"/>
          <w:iCs w:val="false"/>
          <w:color w:val="000000"/>
          <w:sz w:val="17"/>
          <w:szCs w:val="17"/>
        </w:rPr>
        <w:t xml:space="preserve">All SIPs in Direct Plan — Growth option. Blended ER: 0.57%. All 8 funds confirmed on MyCams.</w:t>
      </w:r>
    </w:p>
    <w:p>
      <w:pPr>
        <w:spacing w:after="55" w:before="55"/>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80"/>
        <w:gridCol w:w="2450"/>
        <w:gridCol w:w="1200"/>
        <w:gridCol w:w="860"/>
        <w:gridCol w:w="860"/>
        <w:gridCol w:w="1000"/>
        <w:gridCol w:w="860"/>
        <w:gridCol w:w="860"/>
        <w:gridCol w:w="970"/>
        <w:gridCol w:w="660"/>
        <w:gridCol w:w="660"/>
      </w:tblGrid>
      <w:tr>
        <w:trPr>
          <w:tblHeader/>
        </w:trPr>
        <w:tc>
          <w:tcPr>
            <w:tcW w:type="dxa" w:w="48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w:t>
            </w:r>
          </w:p>
        </w:tc>
        <w:tc>
          <w:tcPr>
            <w:tcW w:type="dxa" w:w="245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Fund Name</w:t>
            </w:r>
          </w:p>
        </w:tc>
        <w:tc>
          <w:tcPr>
            <w:tcW w:type="dxa" w:w="12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Category</w:t>
            </w:r>
          </w:p>
        </w:tc>
        <w:tc>
          <w:tcPr>
            <w:tcW w:type="dxa" w:w="86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Type</w:t>
            </w:r>
          </w:p>
        </w:tc>
        <w:tc>
          <w:tcPr>
            <w:tcW w:type="dxa" w:w="86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Alloc%</w:t>
            </w:r>
          </w:p>
        </w:tc>
        <w:tc>
          <w:tcPr>
            <w:tcW w:type="dxa" w:w="10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SIP/Mo</w:t>
            </w:r>
          </w:p>
        </w:tc>
        <w:tc>
          <w:tcPr>
            <w:tcW w:type="dxa" w:w="86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5th</w:t>
            </w:r>
          </w:p>
        </w:tc>
        <w:tc>
          <w:tcPr>
            <w:tcW w:type="dxa" w:w="86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15th</w:t>
            </w:r>
          </w:p>
        </w:tc>
        <w:tc>
          <w:tcPr>
            <w:tcW w:type="dxa" w:w="97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25th</w:t>
            </w:r>
          </w:p>
        </w:tc>
        <w:tc>
          <w:tcPr>
            <w:tcW w:type="dxa" w:w="66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ER</w:t>
            </w:r>
          </w:p>
        </w:tc>
        <w:tc>
          <w:tcPr>
            <w:tcW w:type="dxa" w:w="66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Status</w:t>
            </w:r>
          </w:p>
        </w:tc>
      </w:tr>
      <w:tr>
        <w:tc>
          <w:tcPr>
            <w:tcW w:type="dxa" w:w="480"/>
            <w:tcBorders>
              <w:top w:val="single" w:color="CCCCCC" w:sz="4"/>
              <w:left w:val="single" w:color="CCCCCC" w:sz="4"/>
              <w:bottom w:val="single" w:color="CCCCCC" w:sz="4"/>
              <w:right w:val="single" w:color="CCCCCC" w:sz="4"/>
            </w:tcBorders>
            <w:shd w:fill="EBF3FB"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6"/>
                <w:szCs w:val="16"/>
              </w:rPr>
              <w:t xml:space="preserve">1</w:t>
            </w:r>
          </w:p>
        </w:tc>
        <w:tc>
          <w:tcPr>
            <w:tcW w:type="dxa" w:w="2450"/>
            <w:tcBorders>
              <w:top w:val="single" w:color="CCCCCC" w:sz="4"/>
              <w:left w:val="single" w:color="CCCCCC" w:sz="4"/>
              <w:bottom w:val="single" w:color="CCCCCC" w:sz="4"/>
              <w:right w:val="single" w:color="CCCCCC" w:sz="4"/>
            </w:tcBorders>
            <w:shd w:fill="EBF3FB"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6"/>
                <w:szCs w:val="16"/>
              </w:rPr>
              <w:t xml:space="preserve">Bandhan Small Cap Fund</w:t>
            </w:r>
          </w:p>
        </w:tc>
        <w:tc>
          <w:tcPr>
            <w:tcW w:type="dxa" w:w="1200"/>
            <w:tcBorders>
              <w:top w:val="single" w:color="CCCCCC" w:sz="4"/>
              <w:left w:val="single" w:color="CCCCCC" w:sz="4"/>
              <w:bottom w:val="single" w:color="CCCCCC" w:sz="4"/>
              <w:right w:val="single" w:color="CCCCCC" w:sz="4"/>
            </w:tcBorders>
            <w:shd w:fill="EBF3FB"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6"/>
                <w:szCs w:val="16"/>
              </w:rPr>
              <w:t xml:space="preserve">Small Cap</w:t>
            </w:r>
          </w:p>
        </w:tc>
        <w:tc>
          <w:tcPr>
            <w:tcW w:type="dxa" w:w="860"/>
            <w:tcBorders>
              <w:top w:val="single" w:color="CCCCCC" w:sz="4"/>
              <w:left w:val="single" w:color="CCCCCC" w:sz="4"/>
              <w:bottom w:val="single" w:color="CCCCCC" w:sz="4"/>
              <w:right w:val="single" w:color="CCCCCC" w:sz="4"/>
            </w:tcBorders>
            <w:shd w:fill="EBF3FB"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6"/>
                <w:szCs w:val="16"/>
              </w:rPr>
              <w:t xml:space="preserve">CORE</w:t>
            </w:r>
          </w:p>
        </w:tc>
        <w:tc>
          <w:tcPr>
            <w:tcW w:type="dxa" w:w="860"/>
            <w:tcBorders>
              <w:top w:val="single" w:color="CCCCCC" w:sz="4"/>
              <w:left w:val="single" w:color="CCCCCC" w:sz="4"/>
              <w:bottom w:val="single" w:color="CCCCCC" w:sz="4"/>
              <w:right w:val="single" w:color="CCCCCC" w:sz="4"/>
            </w:tcBorders>
            <w:shd w:fill="EBF3FB"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6"/>
                <w:szCs w:val="16"/>
              </w:rPr>
              <w:t xml:space="preserve">14%</w:t>
            </w:r>
          </w:p>
        </w:tc>
        <w:tc>
          <w:tcPr>
            <w:tcW w:type="dxa" w:w="1000"/>
            <w:tcBorders>
              <w:top w:val="single" w:color="CCCCCC" w:sz="4"/>
              <w:left w:val="single" w:color="CCCCCC" w:sz="4"/>
              <w:bottom w:val="single" w:color="CCCCCC" w:sz="4"/>
              <w:right w:val="single" w:color="CCCCCC" w:sz="4"/>
            </w:tcBorders>
            <w:shd w:fill="EBF3FB"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6"/>
                <w:szCs w:val="16"/>
              </w:rPr>
              <w:t xml:space="preserve">7,000</w:t>
            </w:r>
          </w:p>
        </w:tc>
        <w:tc>
          <w:tcPr>
            <w:tcW w:type="dxa" w:w="860"/>
            <w:tcBorders>
              <w:top w:val="single" w:color="CCCCCC" w:sz="4"/>
              <w:left w:val="single" w:color="CCCCCC" w:sz="4"/>
              <w:bottom w:val="single" w:color="CCCCCC" w:sz="4"/>
              <w:right w:val="single" w:color="CCCCCC" w:sz="4"/>
            </w:tcBorders>
            <w:shd w:fill="EBF3FB"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6"/>
                <w:szCs w:val="16"/>
              </w:rPr>
              <w:t xml:space="preserve">2,500</w:t>
            </w:r>
          </w:p>
        </w:tc>
        <w:tc>
          <w:tcPr>
            <w:tcW w:type="dxa" w:w="860"/>
            <w:tcBorders>
              <w:top w:val="single" w:color="CCCCCC" w:sz="4"/>
              <w:left w:val="single" w:color="CCCCCC" w:sz="4"/>
              <w:bottom w:val="single" w:color="CCCCCC" w:sz="4"/>
              <w:right w:val="single" w:color="CCCCCC" w:sz="4"/>
            </w:tcBorders>
            <w:shd w:fill="EBF3FB"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6"/>
                <w:szCs w:val="16"/>
              </w:rPr>
              <w:t xml:space="preserve">2,000</w:t>
            </w:r>
          </w:p>
        </w:tc>
        <w:tc>
          <w:tcPr>
            <w:tcW w:type="dxa" w:w="970"/>
            <w:tcBorders>
              <w:top w:val="single" w:color="CCCCCC" w:sz="4"/>
              <w:left w:val="single" w:color="CCCCCC" w:sz="4"/>
              <w:bottom w:val="single" w:color="CCCCCC" w:sz="4"/>
              <w:right w:val="single" w:color="CCCCCC" w:sz="4"/>
            </w:tcBorders>
            <w:shd w:fill="EBF3FB"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6"/>
                <w:szCs w:val="16"/>
              </w:rPr>
              <w:t xml:space="preserve">2,500</w:t>
            </w:r>
          </w:p>
        </w:tc>
        <w:tc>
          <w:tcPr>
            <w:tcW w:type="dxa" w:w="660"/>
            <w:tcBorders>
              <w:top w:val="single" w:color="CCCCCC" w:sz="4"/>
              <w:left w:val="single" w:color="CCCCCC" w:sz="4"/>
              <w:bottom w:val="single" w:color="CCCCCC" w:sz="4"/>
              <w:right w:val="single" w:color="CCCCCC" w:sz="4"/>
            </w:tcBorders>
            <w:shd w:fill="EBF3FB"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6"/>
                <w:szCs w:val="16"/>
              </w:rPr>
              <w:t xml:space="preserve">0.34%</w:t>
            </w:r>
          </w:p>
        </w:tc>
        <w:tc>
          <w:tcPr>
            <w:tcW w:type="dxa" w:w="660"/>
            <w:tcBorders>
              <w:top w:val="single" w:color="CCCCCC" w:sz="4"/>
              <w:left w:val="single" w:color="CCCCCC" w:sz="4"/>
              <w:bottom w:val="single" w:color="CCCCCC" w:sz="4"/>
              <w:right w:val="single" w:color="CCCCCC" w:sz="4"/>
            </w:tcBorders>
            <w:shd w:fill="EBF3FB"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6"/>
                <w:szCs w:val="16"/>
              </w:rPr>
              <w:t xml:space="preserve">NORMAL</w:t>
            </w:r>
          </w:p>
        </w:tc>
      </w:tr>
      <w:tr>
        <w:tc>
          <w:tcPr>
            <w:tcW w:type="dxa" w:w="48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6"/>
                <w:szCs w:val="16"/>
              </w:rPr>
              <w:t xml:space="preserve">2</w:t>
            </w:r>
          </w:p>
        </w:tc>
        <w:tc>
          <w:tcPr>
            <w:tcW w:type="dxa" w:w="245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6"/>
                <w:szCs w:val="16"/>
              </w:rPr>
              <w:t xml:space="preserve">Nippon India Small Cap Fund</w:t>
            </w:r>
          </w:p>
        </w:tc>
        <w:tc>
          <w:tcPr>
            <w:tcW w:type="dxa" w:w="12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6"/>
                <w:szCs w:val="16"/>
              </w:rPr>
              <w:t xml:space="preserve">Small Cap</w:t>
            </w:r>
          </w:p>
        </w:tc>
        <w:tc>
          <w:tcPr>
            <w:tcW w:type="dxa" w:w="86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6"/>
                <w:szCs w:val="16"/>
              </w:rPr>
              <w:t xml:space="preserve">SAT</w:t>
            </w:r>
          </w:p>
        </w:tc>
        <w:tc>
          <w:tcPr>
            <w:tcW w:type="dxa" w:w="86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6"/>
                <w:szCs w:val="16"/>
              </w:rPr>
              <w:t xml:space="preserve">12%</w:t>
            </w:r>
          </w:p>
        </w:tc>
        <w:tc>
          <w:tcPr>
            <w:tcW w:type="dxa" w:w="10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6"/>
                <w:szCs w:val="16"/>
              </w:rPr>
              <w:t xml:space="preserve">6,000</w:t>
            </w:r>
          </w:p>
        </w:tc>
        <w:tc>
          <w:tcPr>
            <w:tcW w:type="dxa" w:w="86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6"/>
                <w:szCs w:val="16"/>
              </w:rPr>
              <w:t xml:space="preserve">2,500</w:t>
            </w:r>
          </w:p>
        </w:tc>
        <w:tc>
          <w:tcPr>
            <w:tcW w:type="dxa" w:w="86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6"/>
                <w:szCs w:val="16"/>
              </w:rPr>
              <w:t xml:space="preserve">1,500</w:t>
            </w:r>
          </w:p>
        </w:tc>
        <w:tc>
          <w:tcPr>
            <w:tcW w:type="dxa" w:w="97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6"/>
                <w:szCs w:val="16"/>
              </w:rPr>
              <w:t xml:space="preserve">2,000</w:t>
            </w:r>
          </w:p>
        </w:tc>
        <w:tc>
          <w:tcPr>
            <w:tcW w:type="dxa" w:w="66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6"/>
                <w:szCs w:val="16"/>
              </w:rPr>
              <w:t xml:space="preserve">0.41%</w:t>
            </w:r>
          </w:p>
        </w:tc>
        <w:tc>
          <w:tcPr>
            <w:tcW w:type="dxa" w:w="66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6"/>
                <w:szCs w:val="16"/>
              </w:rPr>
              <w:t xml:space="preserve">—</w:t>
            </w:r>
          </w:p>
        </w:tc>
      </w:tr>
      <w:tr>
        <w:tc>
          <w:tcPr>
            <w:tcW w:type="dxa" w:w="480"/>
            <w:tcBorders>
              <w:top w:val="single" w:color="CCCCCC" w:sz="4"/>
              <w:left w:val="single" w:color="CCCCCC" w:sz="4"/>
              <w:bottom w:val="single" w:color="CCCCCC" w:sz="4"/>
              <w:right w:val="single" w:color="CCCCCC" w:sz="4"/>
            </w:tcBorders>
            <w:shd w:fill="EBF3FB"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6"/>
                <w:szCs w:val="16"/>
              </w:rPr>
              <w:t xml:space="preserve">3</w:t>
            </w:r>
          </w:p>
        </w:tc>
        <w:tc>
          <w:tcPr>
            <w:tcW w:type="dxa" w:w="2450"/>
            <w:tcBorders>
              <w:top w:val="single" w:color="CCCCCC" w:sz="4"/>
              <w:left w:val="single" w:color="CCCCCC" w:sz="4"/>
              <w:bottom w:val="single" w:color="CCCCCC" w:sz="4"/>
              <w:right w:val="single" w:color="CCCCCC" w:sz="4"/>
            </w:tcBorders>
            <w:shd w:fill="EBF3FB"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6"/>
                <w:szCs w:val="16"/>
              </w:rPr>
              <w:t xml:space="preserve">HDFC Midcap Opportunities Fund</w:t>
            </w:r>
          </w:p>
        </w:tc>
        <w:tc>
          <w:tcPr>
            <w:tcW w:type="dxa" w:w="1200"/>
            <w:tcBorders>
              <w:top w:val="single" w:color="CCCCCC" w:sz="4"/>
              <w:left w:val="single" w:color="CCCCCC" w:sz="4"/>
              <w:bottom w:val="single" w:color="CCCCCC" w:sz="4"/>
              <w:right w:val="single" w:color="CCCCCC" w:sz="4"/>
            </w:tcBorders>
            <w:shd w:fill="EBF3FB"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6"/>
                <w:szCs w:val="16"/>
              </w:rPr>
              <w:t xml:space="preserve">Mid Cap</w:t>
            </w:r>
          </w:p>
        </w:tc>
        <w:tc>
          <w:tcPr>
            <w:tcW w:type="dxa" w:w="860"/>
            <w:tcBorders>
              <w:top w:val="single" w:color="CCCCCC" w:sz="4"/>
              <w:left w:val="single" w:color="CCCCCC" w:sz="4"/>
              <w:bottom w:val="single" w:color="CCCCCC" w:sz="4"/>
              <w:right w:val="single" w:color="CCCCCC" w:sz="4"/>
            </w:tcBorders>
            <w:shd w:fill="EBF3FB"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6"/>
                <w:szCs w:val="16"/>
              </w:rPr>
              <w:t xml:space="preserve">CORE</w:t>
            </w:r>
          </w:p>
        </w:tc>
        <w:tc>
          <w:tcPr>
            <w:tcW w:type="dxa" w:w="860"/>
            <w:tcBorders>
              <w:top w:val="single" w:color="CCCCCC" w:sz="4"/>
              <w:left w:val="single" w:color="CCCCCC" w:sz="4"/>
              <w:bottom w:val="single" w:color="CCCCCC" w:sz="4"/>
              <w:right w:val="single" w:color="CCCCCC" w:sz="4"/>
            </w:tcBorders>
            <w:shd w:fill="EBF3FB"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6"/>
                <w:szCs w:val="16"/>
              </w:rPr>
              <w:t xml:space="preserve">14%</w:t>
            </w:r>
          </w:p>
        </w:tc>
        <w:tc>
          <w:tcPr>
            <w:tcW w:type="dxa" w:w="1000"/>
            <w:tcBorders>
              <w:top w:val="single" w:color="CCCCCC" w:sz="4"/>
              <w:left w:val="single" w:color="CCCCCC" w:sz="4"/>
              <w:bottom w:val="single" w:color="CCCCCC" w:sz="4"/>
              <w:right w:val="single" w:color="CCCCCC" w:sz="4"/>
            </w:tcBorders>
            <w:shd w:fill="EBF3FB"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6"/>
                <w:szCs w:val="16"/>
              </w:rPr>
              <w:t xml:space="preserve">7,000</w:t>
            </w:r>
          </w:p>
        </w:tc>
        <w:tc>
          <w:tcPr>
            <w:tcW w:type="dxa" w:w="860"/>
            <w:tcBorders>
              <w:top w:val="single" w:color="CCCCCC" w:sz="4"/>
              <w:left w:val="single" w:color="CCCCCC" w:sz="4"/>
              <w:bottom w:val="single" w:color="CCCCCC" w:sz="4"/>
              <w:right w:val="single" w:color="CCCCCC" w:sz="4"/>
            </w:tcBorders>
            <w:shd w:fill="EBF3FB"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6"/>
                <w:szCs w:val="16"/>
              </w:rPr>
              <w:t xml:space="preserve">2,500</w:t>
            </w:r>
          </w:p>
        </w:tc>
        <w:tc>
          <w:tcPr>
            <w:tcW w:type="dxa" w:w="860"/>
            <w:tcBorders>
              <w:top w:val="single" w:color="CCCCCC" w:sz="4"/>
              <w:left w:val="single" w:color="CCCCCC" w:sz="4"/>
              <w:bottom w:val="single" w:color="CCCCCC" w:sz="4"/>
              <w:right w:val="single" w:color="CCCCCC" w:sz="4"/>
            </w:tcBorders>
            <w:shd w:fill="EBF3FB"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6"/>
                <w:szCs w:val="16"/>
              </w:rPr>
              <w:t xml:space="preserve">2,500</w:t>
            </w:r>
          </w:p>
        </w:tc>
        <w:tc>
          <w:tcPr>
            <w:tcW w:type="dxa" w:w="970"/>
            <w:tcBorders>
              <w:top w:val="single" w:color="CCCCCC" w:sz="4"/>
              <w:left w:val="single" w:color="CCCCCC" w:sz="4"/>
              <w:bottom w:val="single" w:color="CCCCCC" w:sz="4"/>
              <w:right w:val="single" w:color="CCCCCC" w:sz="4"/>
            </w:tcBorders>
            <w:shd w:fill="EBF3FB"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6"/>
                <w:szCs w:val="16"/>
              </w:rPr>
              <w:t xml:space="preserve">2,000</w:t>
            </w:r>
          </w:p>
        </w:tc>
        <w:tc>
          <w:tcPr>
            <w:tcW w:type="dxa" w:w="660"/>
            <w:tcBorders>
              <w:top w:val="single" w:color="CCCCCC" w:sz="4"/>
              <w:left w:val="single" w:color="CCCCCC" w:sz="4"/>
              <w:bottom w:val="single" w:color="CCCCCC" w:sz="4"/>
              <w:right w:val="single" w:color="CCCCCC" w:sz="4"/>
            </w:tcBorders>
            <w:shd w:fill="EBF3FB"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6"/>
                <w:szCs w:val="16"/>
              </w:rPr>
              <w:t xml:space="preserve">0.72%</w:t>
            </w:r>
          </w:p>
        </w:tc>
        <w:tc>
          <w:tcPr>
            <w:tcW w:type="dxa" w:w="660"/>
            <w:tcBorders>
              <w:top w:val="single" w:color="CCCCCC" w:sz="4"/>
              <w:left w:val="single" w:color="CCCCCC" w:sz="4"/>
              <w:bottom w:val="single" w:color="CCCCCC" w:sz="4"/>
              <w:right w:val="single" w:color="CCCCCC" w:sz="4"/>
            </w:tcBorders>
            <w:shd w:fill="EBF3FB"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6"/>
                <w:szCs w:val="16"/>
              </w:rPr>
              <w:t xml:space="preserve">NORMAL</w:t>
            </w:r>
          </w:p>
        </w:tc>
      </w:tr>
      <w:tr>
        <w:tc>
          <w:tcPr>
            <w:tcW w:type="dxa" w:w="48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6"/>
                <w:szCs w:val="16"/>
              </w:rPr>
              <w:t xml:space="preserve">4</w:t>
            </w:r>
          </w:p>
        </w:tc>
        <w:tc>
          <w:tcPr>
            <w:tcW w:type="dxa" w:w="245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6"/>
                <w:szCs w:val="16"/>
              </w:rPr>
              <w:t xml:space="preserve">Edelweiss Midcap Fund</w:t>
            </w:r>
          </w:p>
        </w:tc>
        <w:tc>
          <w:tcPr>
            <w:tcW w:type="dxa" w:w="12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6"/>
                <w:szCs w:val="16"/>
              </w:rPr>
              <w:t xml:space="preserve">Mid Cap</w:t>
            </w:r>
          </w:p>
        </w:tc>
        <w:tc>
          <w:tcPr>
            <w:tcW w:type="dxa" w:w="86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6"/>
                <w:szCs w:val="16"/>
              </w:rPr>
              <w:t xml:space="preserve">SAT</w:t>
            </w:r>
          </w:p>
        </w:tc>
        <w:tc>
          <w:tcPr>
            <w:tcW w:type="dxa" w:w="86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6"/>
                <w:szCs w:val="16"/>
              </w:rPr>
              <w:t xml:space="preserve">10%</w:t>
            </w:r>
          </w:p>
        </w:tc>
        <w:tc>
          <w:tcPr>
            <w:tcW w:type="dxa" w:w="10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6"/>
                <w:szCs w:val="16"/>
              </w:rPr>
              <w:t xml:space="preserve">5,000</w:t>
            </w:r>
          </w:p>
        </w:tc>
        <w:tc>
          <w:tcPr>
            <w:tcW w:type="dxa" w:w="86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6"/>
                <w:szCs w:val="16"/>
              </w:rPr>
              <w:t xml:space="preserve">2,000</w:t>
            </w:r>
          </w:p>
        </w:tc>
        <w:tc>
          <w:tcPr>
            <w:tcW w:type="dxa" w:w="86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6"/>
                <w:szCs w:val="16"/>
              </w:rPr>
              <w:t xml:space="preserve">1,500</w:t>
            </w:r>
          </w:p>
        </w:tc>
        <w:tc>
          <w:tcPr>
            <w:tcW w:type="dxa" w:w="97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6"/>
                <w:szCs w:val="16"/>
              </w:rPr>
              <w:t xml:space="preserve">1,500</w:t>
            </w:r>
          </w:p>
        </w:tc>
        <w:tc>
          <w:tcPr>
            <w:tcW w:type="dxa" w:w="66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6"/>
                <w:szCs w:val="16"/>
              </w:rPr>
              <w:t xml:space="preserve">0.48%</w:t>
            </w:r>
          </w:p>
        </w:tc>
        <w:tc>
          <w:tcPr>
            <w:tcW w:type="dxa" w:w="66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6"/>
                <w:szCs w:val="16"/>
              </w:rPr>
              <w:t xml:space="preserve">—</w:t>
            </w:r>
          </w:p>
        </w:tc>
      </w:tr>
      <w:tr>
        <w:tc>
          <w:tcPr>
            <w:tcW w:type="dxa" w:w="480"/>
            <w:tcBorders>
              <w:top w:val="single" w:color="CCCCCC" w:sz="4"/>
              <w:left w:val="single" w:color="CCCCCC" w:sz="4"/>
              <w:bottom w:val="single" w:color="CCCCCC" w:sz="4"/>
              <w:right w:val="single" w:color="CCCCCC" w:sz="4"/>
            </w:tcBorders>
            <w:shd w:fill="EBF3FB"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6"/>
                <w:szCs w:val="16"/>
              </w:rPr>
              <w:t xml:space="preserve">5</w:t>
            </w:r>
          </w:p>
        </w:tc>
        <w:tc>
          <w:tcPr>
            <w:tcW w:type="dxa" w:w="2450"/>
            <w:tcBorders>
              <w:top w:val="single" w:color="CCCCCC" w:sz="4"/>
              <w:left w:val="single" w:color="CCCCCC" w:sz="4"/>
              <w:bottom w:val="single" w:color="CCCCCC" w:sz="4"/>
              <w:right w:val="single" w:color="CCCCCC" w:sz="4"/>
            </w:tcBorders>
            <w:shd w:fill="EBF3FB"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6"/>
                <w:szCs w:val="16"/>
              </w:rPr>
              <w:t xml:space="preserve">Nippon India Large Cap Fund</w:t>
            </w:r>
          </w:p>
        </w:tc>
        <w:tc>
          <w:tcPr>
            <w:tcW w:type="dxa" w:w="1200"/>
            <w:tcBorders>
              <w:top w:val="single" w:color="CCCCCC" w:sz="4"/>
              <w:left w:val="single" w:color="CCCCCC" w:sz="4"/>
              <w:bottom w:val="single" w:color="CCCCCC" w:sz="4"/>
              <w:right w:val="single" w:color="CCCCCC" w:sz="4"/>
            </w:tcBorders>
            <w:shd w:fill="EBF3FB"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6"/>
                <w:szCs w:val="16"/>
              </w:rPr>
              <w:t xml:space="preserve">Large Cap</w:t>
            </w:r>
          </w:p>
        </w:tc>
        <w:tc>
          <w:tcPr>
            <w:tcW w:type="dxa" w:w="860"/>
            <w:tcBorders>
              <w:top w:val="single" w:color="CCCCCC" w:sz="4"/>
              <w:left w:val="single" w:color="CCCCCC" w:sz="4"/>
              <w:bottom w:val="single" w:color="CCCCCC" w:sz="4"/>
              <w:right w:val="single" w:color="CCCCCC" w:sz="4"/>
            </w:tcBorders>
            <w:shd w:fill="EBF3FB"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6"/>
                <w:szCs w:val="16"/>
              </w:rPr>
              <w:t xml:space="preserve">CORE</w:t>
            </w:r>
          </w:p>
        </w:tc>
        <w:tc>
          <w:tcPr>
            <w:tcW w:type="dxa" w:w="860"/>
            <w:tcBorders>
              <w:top w:val="single" w:color="CCCCCC" w:sz="4"/>
              <w:left w:val="single" w:color="CCCCCC" w:sz="4"/>
              <w:bottom w:val="single" w:color="CCCCCC" w:sz="4"/>
              <w:right w:val="single" w:color="CCCCCC" w:sz="4"/>
            </w:tcBorders>
            <w:shd w:fill="EBF3FB"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6"/>
                <w:szCs w:val="16"/>
              </w:rPr>
              <w:t xml:space="preserve">14%</w:t>
            </w:r>
          </w:p>
        </w:tc>
        <w:tc>
          <w:tcPr>
            <w:tcW w:type="dxa" w:w="1000"/>
            <w:tcBorders>
              <w:top w:val="single" w:color="CCCCCC" w:sz="4"/>
              <w:left w:val="single" w:color="CCCCCC" w:sz="4"/>
              <w:bottom w:val="single" w:color="CCCCCC" w:sz="4"/>
              <w:right w:val="single" w:color="CCCCCC" w:sz="4"/>
            </w:tcBorders>
            <w:shd w:fill="EBF3FB"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6"/>
                <w:szCs w:val="16"/>
              </w:rPr>
              <w:t xml:space="preserve">7,000</w:t>
            </w:r>
          </w:p>
        </w:tc>
        <w:tc>
          <w:tcPr>
            <w:tcW w:type="dxa" w:w="860"/>
            <w:tcBorders>
              <w:top w:val="single" w:color="CCCCCC" w:sz="4"/>
              <w:left w:val="single" w:color="CCCCCC" w:sz="4"/>
              <w:bottom w:val="single" w:color="CCCCCC" w:sz="4"/>
              <w:right w:val="single" w:color="CCCCCC" w:sz="4"/>
            </w:tcBorders>
            <w:shd w:fill="EBF3FB"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6"/>
                <w:szCs w:val="16"/>
              </w:rPr>
              <w:t xml:space="preserve">3,000</w:t>
            </w:r>
          </w:p>
        </w:tc>
        <w:tc>
          <w:tcPr>
            <w:tcW w:type="dxa" w:w="860"/>
            <w:tcBorders>
              <w:top w:val="single" w:color="CCCCCC" w:sz="4"/>
              <w:left w:val="single" w:color="CCCCCC" w:sz="4"/>
              <w:bottom w:val="single" w:color="CCCCCC" w:sz="4"/>
              <w:right w:val="single" w:color="CCCCCC" w:sz="4"/>
            </w:tcBorders>
            <w:shd w:fill="EBF3FB"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6"/>
                <w:szCs w:val="16"/>
              </w:rPr>
              <w:t xml:space="preserve">2,000</w:t>
            </w:r>
          </w:p>
        </w:tc>
        <w:tc>
          <w:tcPr>
            <w:tcW w:type="dxa" w:w="970"/>
            <w:tcBorders>
              <w:top w:val="single" w:color="CCCCCC" w:sz="4"/>
              <w:left w:val="single" w:color="CCCCCC" w:sz="4"/>
              <w:bottom w:val="single" w:color="CCCCCC" w:sz="4"/>
              <w:right w:val="single" w:color="CCCCCC" w:sz="4"/>
            </w:tcBorders>
            <w:shd w:fill="EBF3FB"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6"/>
                <w:szCs w:val="16"/>
              </w:rPr>
              <w:t xml:space="preserve">2,000</w:t>
            </w:r>
          </w:p>
        </w:tc>
        <w:tc>
          <w:tcPr>
            <w:tcW w:type="dxa" w:w="660"/>
            <w:tcBorders>
              <w:top w:val="single" w:color="CCCCCC" w:sz="4"/>
              <w:left w:val="single" w:color="CCCCCC" w:sz="4"/>
              <w:bottom w:val="single" w:color="CCCCCC" w:sz="4"/>
              <w:right w:val="single" w:color="CCCCCC" w:sz="4"/>
            </w:tcBorders>
            <w:shd w:fill="EBF3FB"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6"/>
                <w:szCs w:val="16"/>
              </w:rPr>
              <w:t xml:space="preserve">0.65%</w:t>
            </w:r>
          </w:p>
        </w:tc>
        <w:tc>
          <w:tcPr>
            <w:tcW w:type="dxa" w:w="660"/>
            <w:tcBorders>
              <w:top w:val="single" w:color="CCCCCC" w:sz="4"/>
              <w:left w:val="single" w:color="CCCCCC" w:sz="4"/>
              <w:bottom w:val="single" w:color="CCCCCC" w:sz="4"/>
              <w:right w:val="single" w:color="CCCCCC" w:sz="4"/>
            </w:tcBorders>
            <w:shd w:fill="EBF3FB"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6"/>
                <w:szCs w:val="16"/>
              </w:rPr>
              <w:t xml:space="preserve">NORMAL</w:t>
            </w:r>
          </w:p>
        </w:tc>
      </w:tr>
      <w:tr>
        <w:tc>
          <w:tcPr>
            <w:tcW w:type="dxa" w:w="480"/>
            <w:tcBorders>
              <w:top w:val="single" w:color="CCCCCC" w:sz="4"/>
              <w:left w:val="single" w:color="CCCCCC" w:sz="4"/>
              <w:bottom w:val="single" w:color="CCCCCC" w:sz="4"/>
              <w:right w:val="single" w:color="CCCCCC" w:sz="4"/>
            </w:tcBorders>
            <w:shd w:fill="D6E9F8"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6"/>
                <w:szCs w:val="16"/>
              </w:rPr>
              <w:t xml:space="preserve">6</w:t>
            </w:r>
          </w:p>
        </w:tc>
        <w:tc>
          <w:tcPr>
            <w:tcW w:type="dxa" w:w="2450"/>
            <w:tcBorders>
              <w:top w:val="single" w:color="CCCCCC" w:sz="4"/>
              <w:left w:val="single" w:color="CCCCCC" w:sz="4"/>
              <w:bottom w:val="single" w:color="CCCCCC" w:sz="4"/>
              <w:right w:val="single" w:color="CCCCCC" w:sz="4"/>
            </w:tcBorders>
            <w:shd w:fill="D6E9F8"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6"/>
                <w:szCs w:val="16"/>
              </w:rPr>
              <w:t xml:space="preserve">Parag Parikh Flexi Cap Fund</w:t>
            </w:r>
          </w:p>
        </w:tc>
        <w:tc>
          <w:tcPr>
            <w:tcW w:type="dxa" w:w="1200"/>
            <w:tcBorders>
              <w:top w:val="single" w:color="CCCCCC" w:sz="4"/>
              <w:left w:val="single" w:color="CCCCCC" w:sz="4"/>
              <w:bottom w:val="single" w:color="CCCCCC" w:sz="4"/>
              <w:right w:val="single" w:color="CCCCCC" w:sz="4"/>
            </w:tcBorders>
            <w:shd w:fill="D6E9F8"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6"/>
                <w:szCs w:val="16"/>
              </w:rPr>
              <w:t xml:space="preserve">Flexi Cap</w:t>
            </w:r>
          </w:p>
        </w:tc>
        <w:tc>
          <w:tcPr>
            <w:tcW w:type="dxa" w:w="860"/>
            <w:tcBorders>
              <w:top w:val="single" w:color="CCCCCC" w:sz="4"/>
              <w:left w:val="single" w:color="CCCCCC" w:sz="4"/>
              <w:bottom w:val="single" w:color="CCCCCC" w:sz="4"/>
              <w:right w:val="single" w:color="CCCCCC" w:sz="4"/>
            </w:tcBorders>
            <w:shd w:fill="D6E9F8"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6"/>
                <w:szCs w:val="16"/>
              </w:rPr>
              <w:t xml:space="preserve">CORE</w:t>
            </w:r>
          </w:p>
        </w:tc>
        <w:tc>
          <w:tcPr>
            <w:tcW w:type="dxa" w:w="860"/>
            <w:tcBorders>
              <w:top w:val="single" w:color="CCCCCC" w:sz="4"/>
              <w:left w:val="single" w:color="CCCCCC" w:sz="4"/>
              <w:bottom w:val="single" w:color="CCCCCC" w:sz="4"/>
              <w:right w:val="single" w:color="CCCCCC" w:sz="4"/>
            </w:tcBorders>
            <w:shd w:fill="D6E9F8"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6"/>
                <w:szCs w:val="16"/>
              </w:rPr>
              <w:t xml:space="preserve">16%</w:t>
            </w:r>
          </w:p>
        </w:tc>
        <w:tc>
          <w:tcPr>
            <w:tcW w:type="dxa" w:w="1000"/>
            <w:tcBorders>
              <w:top w:val="single" w:color="CCCCCC" w:sz="4"/>
              <w:left w:val="single" w:color="CCCCCC" w:sz="4"/>
              <w:bottom w:val="single" w:color="CCCCCC" w:sz="4"/>
              <w:right w:val="single" w:color="CCCCCC" w:sz="4"/>
            </w:tcBorders>
            <w:shd w:fill="D6E9F8"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6"/>
                <w:szCs w:val="16"/>
              </w:rPr>
              <w:t xml:space="preserve">8,000</w:t>
            </w:r>
          </w:p>
        </w:tc>
        <w:tc>
          <w:tcPr>
            <w:tcW w:type="dxa" w:w="860"/>
            <w:tcBorders>
              <w:top w:val="single" w:color="CCCCCC" w:sz="4"/>
              <w:left w:val="single" w:color="CCCCCC" w:sz="4"/>
              <w:bottom w:val="single" w:color="CCCCCC" w:sz="4"/>
              <w:right w:val="single" w:color="CCCCCC" w:sz="4"/>
            </w:tcBorders>
            <w:shd w:fill="D6E9F8"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6"/>
                <w:szCs w:val="16"/>
              </w:rPr>
              <w:t xml:space="preserve">4,000</w:t>
            </w:r>
          </w:p>
        </w:tc>
        <w:tc>
          <w:tcPr>
            <w:tcW w:type="dxa" w:w="860"/>
            <w:tcBorders>
              <w:top w:val="single" w:color="CCCCCC" w:sz="4"/>
              <w:left w:val="single" w:color="CCCCCC" w:sz="4"/>
              <w:bottom w:val="single" w:color="CCCCCC" w:sz="4"/>
              <w:right w:val="single" w:color="CCCCCC" w:sz="4"/>
            </w:tcBorders>
            <w:shd w:fill="D6E9F8"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6"/>
                <w:szCs w:val="16"/>
              </w:rPr>
              <w:t xml:space="preserve">2,000</w:t>
            </w:r>
          </w:p>
        </w:tc>
        <w:tc>
          <w:tcPr>
            <w:tcW w:type="dxa" w:w="970"/>
            <w:tcBorders>
              <w:top w:val="single" w:color="CCCCCC" w:sz="4"/>
              <w:left w:val="single" w:color="CCCCCC" w:sz="4"/>
              <w:bottom w:val="single" w:color="CCCCCC" w:sz="4"/>
              <w:right w:val="single" w:color="CCCCCC" w:sz="4"/>
            </w:tcBorders>
            <w:shd w:fill="D6E9F8"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6"/>
                <w:szCs w:val="16"/>
              </w:rPr>
              <w:t xml:space="preserve">2,000</w:t>
            </w:r>
          </w:p>
        </w:tc>
        <w:tc>
          <w:tcPr>
            <w:tcW w:type="dxa" w:w="660"/>
            <w:tcBorders>
              <w:top w:val="single" w:color="CCCCCC" w:sz="4"/>
              <w:left w:val="single" w:color="CCCCCC" w:sz="4"/>
              <w:bottom w:val="single" w:color="CCCCCC" w:sz="4"/>
              <w:right w:val="single" w:color="CCCCCC" w:sz="4"/>
            </w:tcBorders>
            <w:shd w:fill="D6E9F8"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6"/>
                <w:szCs w:val="16"/>
              </w:rPr>
              <w:t xml:space="preserve">0.53%</w:t>
            </w:r>
          </w:p>
        </w:tc>
        <w:tc>
          <w:tcPr>
            <w:tcW w:type="dxa" w:w="660"/>
            <w:tcBorders>
              <w:top w:val="single" w:color="CCCCCC" w:sz="4"/>
              <w:left w:val="single" w:color="CCCCCC" w:sz="4"/>
              <w:bottom w:val="single" w:color="CCCCCC" w:sz="4"/>
              <w:right w:val="single" w:color="CCCCCC" w:sz="4"/>
            </w:tcBorders>
            <w:shd w:fill="D6E9F8"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6"/>
                <w:szCs w:val="16"/>
              </w:rPr>
              <w:t xml:space="preserve">NORMAL</w:t>
            </w:r>
          </w:p>
        </w:tc>
      </w:tr>
      <w:tr>
        <w:tc>
          <w:tcPr>
            <w:tcW w:type="dxa" w:w="48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6"/>
                <w:szCs w:val="16"/>
              </w:rPr>
              <w:t xml:space="preserve">7</w:t>
            </w:r>
          </w:p>
        </w:tc>
        <w:tc>
          <w:tcPr>
            <w:tcW w:type="dxa" w:w="245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6"/>
                <w:szCs w:val="16"/>
              </w:rPr>
              <w:t xml:space="preserve">ICICI Pru India Opp. Fund</w:t>
            </w:r>
          </w:p>
        </w:tc>
        <w:tc>
          <w:tcPr>
            <w:tcW w:type="dxa" w:w="12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6"/>
                <w:szCs w:val="16"/>
              </w:rPr>
              <w:t xml:space="preserve">Thematic</w:t>
            </w:r>
          </w:p>
        </w:tc>
        <w:tc>
          <w:tcPr>
            <w:tcW w:type="dxa" w:w="86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6"/>
                <w:szCs w:val="16"/>
              </w:rPr>
              <w:t xml:space="preserve">SAT</w:t>
            </w:r>
          </w:p>
        </w:tc>
        <w:tc>
          <w:tcPr>
            <w:tcW w:type="dxa" w:w="86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6"/>
                <w:szCs w:val="16"/>
              </w:rPr>
              <w:t xml:space="preserve">10%</w:t>
            </w:r>
          </w:p>
        </w:tc>
        <w:tc>
          <w:tcPr>
            <w:tcW w:type="dxa" w:w="10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6"/>
                <w:szCs w:val="16"/>
              </w:rPr>
              <w:t xml:space="preserve">5,000</w:t>
            </w:r>
          </w:p>
        </w:tc>
        <w:tc>
          <w:tcPr>
            <w:tcW w:type="dxa" w:w="86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6"/>
                <w:szCs w:val="16"/>
              </w:rPr>
              <w:t xml:space="preserve">4,000</w:t>
            </w:r>
          </w:p>
        </w:tc>
        <w:tc>
          <w:tcPr>
            <w:tcW w:type="dxa" w:w="86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6"/>
                <w:szCs w:val="16"/>
              </w:rPr>
              <w:t xml:space="preserve">1,000</w:t>
            </w:r>
          </w:p>
        </w:tc>
        <w:tc>
          <w:tcPr>
            <w:tcW w:type="dxa" w:w="97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6"/>
                <w:szCs w:val="16"/>
              </w:rPr>
              <w:t xml:space="preserve">—</w:t>
            </w:r>
          </w:p>
        </w:tc>
        <w:tc>
          <w:tcPr>
            <w:tcW w:type="dxa" w:w="66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6"/>
                <w:szCs w:val="16"/>
              </w:rPr>
              <w:t xml:space="preserve">0.57%</w:t>
            </w:r>
          </w:p>
        </w:tc>
        <w:tc>
          <w:tcPr>
            <w:tcW w:type="dxa" w:w="66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6"/>
                <w:szCs w:val="16"/>
              </w:rPr>
              <w:t xml:space="preserve">—</w:t>
            </w:r>
          </w:p>
        </w:tc>
      </w:tr>
      <w:tr>
        <w:tc>
          <w:tcPr>
            <w:tcW w:type="dxa" w:w="48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6"/>
                <w:szCs w:val="16"/>
              </w:rPr>
              <w:t xml:space="preserve">8</w:t>
            </w:r>
          </w:p>
        </w:tc>
        <w:tc>
          <w:tcPr>
            <w:tcW w:type="dxa" w:w="245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6"/>
                <w:szCs w:val="16"/>
              </w:rPr>
              <w:t xml:space="preserve">HDFC Flexi Cap Fund</w:t>
            </w:r>
          </w:p>
        </w:tc>
        <w:tc>
          <w:tcPr>
            <w:tcW w:type="dxa" w:w="12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6"/>
                <w:szCs w:val="16"/>
              </w:rPr>
              <w:t xml:space="preserve">Flexi Cap</w:t>
            </w:r>
          </w:p>
        </w:tc>
        <w:tc>
          <w:tcPr>
            <w:tcW w:type="dxa" w:w="86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6"/>
                <w:szCs w:val="16"/>
              </w:rPr>
              <w:t xml:space="preserve">SAT</w:t>
            </w:r>
          </w:p>
        </w:tc>
        <w:tc>
          <w:tcPr>
            <w:tcW w:type="dxa" w:w="86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6"/>
                <w:szCs w:val="16"/>
              </w:rPr>
              <w:t xml:space="preserve">10%</w:t>
            </w:r>
          </w:p>
        </w:tc>
        <w:tc>
          <w:tcPr>
            <w:tcW w:type="dxa" w:w="10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6"/>
                <w:szCs w:val="16"/>
              </w:rPr>
              <w:t xml:space="preserve">5,000</w:t>
            </w:r>
          </w:p>
        </w:tc>
        <w:tc>
          <w:tcPr>
            <w:tcW w:type="dxa" w:w="86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6"/>
                <w:szCs w:val="16"/>
              </w:rPr>
              <w:t xml:space="preserve">—</w:t>
            </w:r>
          </w:p>
        </w:tc>
        <w:tc>
          <w:tcPr>
            <w:tcW w:type="dxa" w:w="86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6"/>
                <w:szCs w:val="16"/>
              </w:rPr>
              <w:t xml:space="preserve">2,500</w:t>
            </w:r>
          </w:p>
        </w:tc>
        <w:tc>
          <w:tcPr>
            <w:tcW w:type="dxa" w:w="97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6"/>
                <w:szCs w:val="16"/>
              </w:rPr>
              <w:t xml:space="preserve">2,500</w:t>
            </w:r>
          </w:p>
        </w:tc>
        <w:tc>
          <w:tcPr>
            <w:tcW w:type="dxa" w:w="66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6"/>
                <w:szCs w:val="16"/>
              </w:rPr>
              <w:t xml:space="preserve">0.75%</w:t>
            </w:r>
          </w:p>
        </w:tc>
        <w:tc>
          <w:tcPr>
            <w:tcW w:type="dxa" w:w="66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6"/>
                <w:szCs w:val="16"/>
              </w:rPr>
              <w:t xml:space="preserve">—</w:t>
            </w:r>
          </w:p>
        </w:tc>
      </w:tr>
      <w:tr>
        <w:tc>
          <w:tcPr>
            <w:tcW w:type="dxa" w:w="48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6"/>
                <w:szCs w:val="16"/>
              </w:rPr>
              <w:t xml:space="preserve"/>
            </w:r>
          </w:p>
        </w:tc>
        <w:tc>
          <w:tcPr>
            <w:tcW w:type="dxa" w:w="245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6"/>
                <w:szCs w:val="16"/>
              </w:rPr>
              <w:t xml:space="preserve">TOTAL</w:t>
            </w:r>
          </w:p>
        </w:tc>
        <w:tc>
          <w:tcPr>
            <w:tcW w:type="dxa" w:w="12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6"/>
                <w:szCs w:val="16"/>
              </w:rPr>
              <w:t xml:space="preserve">5 Categories</w:t>
            </w:r>
          </w:p>
        </w:tc>
        <w:tc>
          <w:tcPr>
            <w:tcW w:type="dxa" w:w="86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6"/>
                <w:szCs w:val="16"/>
              </w:rPr>
              <w:t xml:space="preserve"/>
            </w:r>
          </w:p>
        </w:tc>
        <w:tc>
          <w:tcPr>
            <w:tcW w:type="dxa" w:w="86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6"/>
                <w:szCs w:val="16"/>
              </w:rPr>
              <w:t xml:space="preserve">100%</w:t>
            </w:r>
          </w:p>
        </w:tc>
        <w:tc>
          <w:tcPr>
            <w:tcW w:type="dxa" w:w="10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6"/>
                <w:szCs w:val="16"/>
              </w:rPr>
              <w:t xml:space="preserve">50,000</w:t>
            </w:r>
          </w:p>
        </w:tc>
        <w:tc>
          <w:tcPr>
            <w:tcW w:type="dxa" w:w="86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6"/>
                <w:szCs w:val="16"/>
              </w:rPr>
              <w:t xml:space="preserve">20,000</w:t>
            </w:r>
          </w:p>
        </w:tc>
        <w:tc>
          <w:tcPr>
            <w:tcW w:type="dxa" w:w="86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6"/>
                <w:szCs w:val="16"/>
              </w:rPr>
              <w:t xml:space="preserve">15,000</w:t>
            </w:r>
          </w:p>
        </w:tc>
        <w:tc>
          <w:tcPr>
            <w:tcW w:type="dxa" w:w="97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6"/>
                <w:szCs w:val="16"/>
              </w:rPr>
              <w:t xml:space="preserve">15,000</w:t>
            </w:r>
          </w:p>
        </w:tc>
        <w:tc>
          <w:tcPr>
            <w:tcW w:type="dxa" w:w="66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6"/>
                <w:szCs w:val="16"/>
              </w:rPr>
              <w:t xml:space="preserve">0.57%</w:t>
            </w:r>
          </w:p>
        </w:tc>
        <w:tc>
          <w:tcPr>
            <w:tcW w:type="dxa" w:w="66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6"/>
                <w:szCs w:val="16"/>
              </w:rPr>
              <w:t xml:space="preserve"/>
            </w:r>
          </w:p>
        </w:tc>
      </w:tr>
    </w:tbl>
    <w:p>
      <w:pPr>
        <w:spacing w:after="55" w:before="55"/>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1F4E79" w:sz="4"/>
              <w:left w:val="single" w:color="1F4E79" w:sz="4"/>
              <w:bottom w:val="single" w:color="1F4E79" w:sz="4"/>
              <w:right w:val="single" w:color="1F4E79" w:sz="4"/>
            </w:tcBorders>
            <w:shd w:fill="E2EFDA" w:val="clear"/>
            <w:tcMar>
              <w:top w:type="dxa" w:w="75"/>
              <w:left w:type="dxa" w:w="140"/>
              <w:bottom w:type="dxa" w:w="75"/>
              <w:right w:type="dxa" w:w="140"/>
            </w:tcMar>
          </w:tcPr>
          <w:p>
            <w:r>
              <w:rPr>
                <w:rFonts w:ascii="Arial" w:cs="Arial" w:eastAsia="Arial" w:hAnsi="Arial"/>
                <w:color w:val="000000"/>
                <w:sz w:val="17"/>
                <w:szCs w:val="17"/>
              </w:rPr>
              <w:t xml:space="preserve">CORE funds (light blue rows): protected by two-tier structural weakness clause (Section 5.6), not an absolute 'never change' rule.
SATELLITE funds: evaluated via delta filter at each review. Status column tracks Core warning state at each review.</w:t>
            </w:r>
          </w:p>
        </w:tc>
      </w:tr>
    </w:tbl>
    <w:p>
      <w:pPr>
        <w:spacing w:after="55" w:before="55"/>
      </w:pPr>
    </w:p>
    <w:p>
      <w:pPr>
        <w:pStyle w:val="Heading1"/>
        <w:shd w:fill="1F4E79" w:val="clear"/>
        <w:spacing w:after="100" w:before="240"/>
        <w:ind w:left="150"/>
      </w:pPr>
      <w:r>
        <w:rPr>
          <w:rFonts w:ascii="Arial" w:cs="Arial" w:eastAsia="Arial" w:hAnsi="Arial"/>
          <w:b/>
          <w:bCs/>
          <w:color w:val="FFFFFF"/>
          <w:sz w:val="24"/>
          <w:szCs w:val="24"/>
        </w:rPr>
        <w:t xml:space="preserve">3. Historical Decisions Log</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900"/>
        <w:gridCol w:w="800"/>
        <w:gridCol w:w="4000"/>
        <w:gridCol w:w="4740"/>
      </w:tblGrid>
      <w:tr>
        <w:trPr>
          <w:tblHeader/>
        </w:trPr>
        <w:tc>
          <w:tcPr>
            <w:tcW w:type="dxa" w:w="9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Version</w:t>
            </w:r>
          </w:p>
        </w:tc>
        <w:tc>
          <w:tcPr>
            <w:tcW w:type="dxa" w:w="8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Score</w:t>
            </w:r>
          </w:p>
        </w:tc>
        <w:tc>
          <w:tcPr>
            <w:tcW w:type="dxa" w:w="40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Change</w:t>
            </w:r>
          </w:p>
        </w:tc>
        <w:tc>
          <w:tcPr>
            <w:tcW w:type="dxa" w:w="474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Necessary?</w:t>
            </w:r>
          </w:p>
        </w:tc>
      </w:tr>
      <w:tr>
        <w:tc>
          <w:tcPr>
            <w:tcW w:type="dxa" w:w="9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V1→V2</w:t>
            </w:r>
          </w:p>
        </w:tc>
        <w:tc>
          <w:tcPr>
            <w:tcW w:type="dxa" w:w="8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63→76</w:t>
            </w:r>
          </w:p>
        </w:tc>
        <w:tc>
          <w:tcPr>
            <w:tcW w:type="dxa" w:w="40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Removed 4 hard-fail funds</w:t>
            </w:r>
          </w:p>
        </w:tc>
        <w:tc>
          <w:tcPr>
            <w:tcW w:type="dxa" w:w="474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YES — all had hard data failures</w:t>
            </w:r>
          </w:p>
        </w:tc>
      </w:tr>
      <w:tr>
        <w:tc>
          <w:tcPr>
            <w:tcW w:type="dxa" w:w="9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V2→V3</w:t>
            </w:r>
          </w:p>
        </w:tc>
        <w:tc>
          <w:tcPr>
            <w:tcW w:type="dxa" w:w="8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76→79</w:t>
            </w:r>
          </w:p>
        </w:tc>
        <w:tc>
          <w:tcPr>
            <w:tcW w:type="dxa" w:w="40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ICICI Infra replaced (Alpha -7.18)</w:t>
            </w:r>
          </w:p>
        </w:tc>
        <w:tc>
          <w:tcPr>
            <w:tcW w:type="dxa" w:w="474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YES — 3 CFA mandatory fails</w:t>
            </w:r>
          </w:p>
        </w:tc>
      </w:tr>
      <w:tr>
        <w:tc>
          <w:tcPr>
            <w:tcW w:type="dxa" w:w="9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V3→V4</w:t>
            </w:r>
          </w:p>
        </w:tc>
        <w:tc>
          <w:tcPr>
            <w:tcW w:type="dxa" w:w="8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79→89</w:t>
            </w:r>
          </w:p>
        </w:tc>
        <w:tc>
          <w:tcPr>
            <w:tcW w:type="dxa" w:w="40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Invesco/Edelweiss confirmed</w:t>
            </w:r>
          </w:p>
        </w:tc>
        <w:tc>
          <w:tcPr>
            <w:tcW w:type="dxa" w:w="474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MARGINAL — both SC options were strong</w:t>
            </w:r>
          </w:p>
        </w:tc>
      </w:tr>
      <w:tr>
        <w:tc>
          <w:tcPr>
            <w:tcW w:type="dxa" w:w="9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V4→V5</w:t>
            </w:r>
          </w:p>
        </w:tc>
        <w:tc>
          <w:tcPr>
            <w:tcW w:type="dxa" w:w="8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89→92</w:t>
            </w:r>
          </w:p>
        </w:tc>
        <w:tc>
          <w:tcPr>
            <w:tcW w:type="dxa" w:w="40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ICICI India Opp replaces Manufacturing</w:t>
            </w:r>
          </w:p>
        </w:tc>
        <w:tc>
          <w:tcPr>
            <w:tcW w:type="dxa" w:w="474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INCREMENTAL — rank + ER improvement</w:t>
            </w:r>
          </w:p>
        </w:tc>
      </w:tr>
      <w:tr>
        <w:tc>
          <w:tcPr>
            <w:tcW w:type="dxa" w:w="9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V5→V6</w:t>
            </w:r>
          </w:p>
        </w:tc>
        <w:tc>
          <w:tcPr>
            <w:tcW w:type="dxa" w:w="8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w:t>
            </w:r>
          </w:p>
        </w:tc>
        <w:tc>
          <w:tcPr>
            <w:tcW w:type="dxa" w:w="40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3-layer restructure. No fund changes.</w:t>
            </w:r>
          </w:p>
        </w:tc>
        <w:tc>
          <w:tcPr>
            <w:tcW w:type="dxa" w:w="474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Structural — improves LLM parsing</w:t>
            </w:r>
          </w:p>
        </w:tc>
      </w:tr>
      <w:tr>
        <w:tc>
          <w:tcPr>
            <w:tcW w:type="dxa" w:w="9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V6→V7</w:t>
            </w:r>
          </w:p>
        </w:tc>
        <w:tc>
          <w:tcPr>
            <w:tcW w:type="dxa" w:w="8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w:t>
            </w:r>
          </w:p>
        </w:tc>
        <w:tc>
          <w:tcPr>
            <w:tcW w:type="dxa" w:w="40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Engine logic hardened (7 fixes). No fund changes.</w:t>
            </w:r>
          </w:p>
        </w:tc>
        <w:tc>
          <w:tcPr>
            <w:tcW w:type="dxa" w:w="474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Structural — closes logical gaps</w:t>
            </w:r>
          </w:p>
        </w:tc>
      </w:tr>
    </w:tbl>
    <w:p>
      <w:pPr>
        <w:spacing w:after="55" w:before="55"/>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1F4E79" w:sz="4"/>
              <w:left w:val="single" w:color="1F4E79" w:sz="4"/>
              <w:bottom w:val="single" w:color="1F4E79" w:sz="4"/>
              <w:right w:val="single" w:color="1F4E79" w:sz="4"/>
            </w:tcBorders>
            <w:shd w:fill="FCE4D6" w:val="clear"/>
            <w:tcMar>
              <w:top w:type="dxa" w:w="75"/>
              <w:left w:type="dxa" w:w="140"/>
              <w:bottom w:type="dxa" w:w="75"/>
              <w:right w:type="dxa" w:w="140"/>
            </w:tcMar>
          </w:tcPr>
          <w:p>
            <w:r>
              <w:rPr>
                <w:rFonts w:ascii="Arial" w:cs="Arial" w:eastAsia="Arial" w:hAnsi="Arial"/>
                <w:color w:val="000000"/>
                <w:sz w:val="17"/>
                <w:szCs w:val="17"/>
              </w:rPr>
              <w:t xml:space="preserve">STOPPED SIPS: Hold ALL units. STCG 20% if &lt; 1 year. LTCG 12.5% if &gt; 1 year (Rs 1.25L exempt). Redeem oldest lots FIRST (FIFO).
Quant SC (ER/volatile) | MO Midcap (-8.53%/ER) | MO L&amp;M (overlap) | Franklin US (13.9% CAGR) | ICICI Infra (3 fails) | ICICI Mfg (#26/48)</w:t>
            </w:r>
          </w:p>
        </w:tc>
      </w:tr>
    </w:tbl>
    <w:p>
      <w:pPr>
        <w:spacing w:after="55" w:before="55"/>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1F4E79" w:sz="4"/>
              <w:left w:val="single" w:color="1F4E79" w:sz="4"/>
              <w:bottom w:val="single" w:color="1F4E79" w:sz="4"/>
              <w:right w:val="single" w:color="1F4E79" w:sz="4"/>
            </w:tcBorders>
            <w:shd w:fill="1F4E79" w:val="clear"/>
            <w:tcMar>
              <w:top w:type="dxa" w:w="110"/>
              <w:left w:type="dxa" w:w="240"/>
              <w:bottom w:type="dxa" w:w="110"/>
              <w:right w:type="dxa" w:w="240"/>
            </w:tcMar>
          </w:tcPr>
          <w:p>
            <w:pPr>
              <w:jc w:val="center"/>
            </w:pPr>
            <w:r>
              <w:rPr>
                <w:rFonts w:ascii="Arial" w:cs="Arial" w:eastAsia="Arial" w:hAnsi="Arial"/>
                <w:b/>
                <w:bCs/>
                <w:color w:val="FFFFFF"/>
                <w:sz w:val="26"/>
                <w:szCs w:val="26"/>
              </w:rPr>
              <w:t xml:space="preserve">LAYER 2 — ENGINE LOGIC  (Sections 4–10)</w:t>
            </w:r>
          </w:p>
        </w:tc>
      </w:tr>
    </w:tbl>
    <w:p>
      <w:pPr>
        <w:spacing w:after="55" w:before="55"/>
      </w:pPr>
    </w:p>
    <w:p>
      <w:pPr>
        <w:pStyle w:val="Heading1"/>
        <w:shd w:fill="1F4E79" w:val="clear"/>
        <w:spacing w:after="100" w:before="240"/>
        <w:ind w:left="150"/>
      </w:pPr>
      <w:r>
        <w:rPr>
          <w:rFonts w:ascii="Arial" w:cs="Arial" w:eastAsia="Arial" w:hAnsi="Arial"/>
          <w:b/>
          <w:bCs/>
          <w:color w:val="FFFFFF"/>
          <w:sz w:val="24"/>
          <w:szCs w:val="24"/>
        </w:rPr>
        <w:t xml:space="preserve">4. Pre-Analysis Checks — Run First, Every Review</w:t>
      </w:r>
    </w:p>
    <w:p>
      <w:pPr>
        <w:pStyle w:val="Heading2"/>
        <w:pBdr>
          <w:bottom w:val="single" w:color="BDD7EE" w:sz="6"/>
        </w:pBdr>
        <w:spacing w:after="65" w:before="160"/>
      </w:pPr>
      <w:r>
        <w:rPr>
          <w:rFonts w:ascii="Arial" w:cs="Arial" w:eastAsia="Arial" w:hAnsi="Arial"/>
          <w:b/>
          <w:bCs/>
          <w:color w:val="1F4E79"/>
          <w:sz w:val="21"/>
          <w:szCs w:val="21"/>
        </w:rPr>
        <w:t xml:space="preserve">4.0 Central Decision Router — Run First, Every Decision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1F4E79" w:sz="4"/>
              <w:left w:val="single" w:color="1F4E79" w:sz="4"/>
              <w:bottom w:val="single" w:color="1F4E79" w:sz="4"/>
              <w:right w:val="single" w:color="1F4E79" w:sz="4"/>
            </w:tcBorders>
            <w:shd w:fill="CFE2F3" w:val="clear"/>
            <w:tcMar>
              <w:top w:type="dxa" w:w="75"/>
              <w:left w:type="dxa" w:w="140"/>
              <w:bottom w:type="dxa" w:w="75"/>
              <w:right w:type="dxa" w:w="140"/>
            </w:tcMar>
          </w:tcPr>
          <w:p>
            <w:r>
              <w:rPr>
                <w:rFonts w:ascii="Arial" w:cs="Arial" w:eastAsia="Arial" w:hAnsi="Arial"/>
                <w:color w:val="000000"/>
                <w:sz w:val="17"/>
                <w:szCs w:val="17"/>
              </w:rPr>
              <w:t xml:space="preserve">MANDATORY: Every decision must pass through this router before any section-specific logic. This single IF-ELSE classifier resolves all scope overlaps and prevents hallucinated actions.</w:t>
            </w:r>
          </w:p>
        </w:tc>
      </w:tr>
    </w:tbl>
    <w:p>
      <w:pPr>
        <w:spacing w:after="55" w:before="55"/>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3700"/>
        <w:gridCol w:w="2840"/>
      </w:tblGrid>
      <w:tr>
        <w:trPr>
          <w:tblHeader/>
        </w:trPr>
        <w:tc>
          <w:tcPr>
            <w:tcW w:type="dxa" w:w="7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Step</w:t>
            </w:r>
          </w:p>
        </w:tc>
        <w:tc>
          <w:tcPr>
            <w:tcW w:type="dxa" w:w="32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Condition</w:t>
            </w:r>
          </w:p>
        </w:tc>
        <w:tc>
          <w:tcPr>
            <w:tcW w:type="dxa" w:w="37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Route</w:t>
            </w:r>
          </w:p>
        </w:tc>
        <w:tc>
          <w:tcPr>
            <w:tcW w:type="dxa" w:w="284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Notes</w:t>
            </w:r>
          </w:p>
        </w:tc>
      </w:tr>
      <w:tr>
        <w:tc>
          <w:tcPr>
            <w:tcW w:type="dxa" w:w="7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STEP 1</w:t>
            </w:r>
          </w:p>
        </w:tc>
        <w:tc>
          <w:tcPr>
            <w:tcW w:type="dxa" w:w="32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T1/T2/T3 fires?</w:t>
            </w:r>
          </w:p>
        </w:tc>
        <w:tc>
          <w:tcPr>
            <w:tcW w:type="dxa" w:w="37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EXECUTE IMMEDIATELY (P1). Exempt from churn limit.</w:t>
            </w:r>
          </w:p>
        </w:tc>
        <w:tc>
          <w:tcPr>
            <w:tcW w:type="dxa" w:w="284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Always checked first. Blocks nothing else.</w:t>
            </w:r>
          </w:p>
        </w:tc>
      </w:tr>
      <w:tr>
        <w:tc>
          <w:tcPr>
            <w:tcW w:type="dxa" w:w="7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STEP 2</w:t>
            </w:r>
          </w:p>
        </w:tc>
        <w:tc>
          <w:tcPr>
            <w:tcW w:type="dxa" w:w="32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Regime = BEAR?</w:t>
            </w:r>
          </w:p>
        </w:tc>
        <w:tc>
          <w:tcPr>
            <w:tcW w:type="dxa" w:w="37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BLOCK fund switches + SIP changes. PERMIT: buffer updates, logging, monitoring state, audit writing only.</w:t>
            </w:r>
          </w:p>
        </w:tc>
        <w:tc>
          <w:tcPr>
            <w:tcW w:type="dxa" w:w="284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Run Steps 3–7 for diagnostics only in Bear.</w:t>
            </w:r>
          </w:p>
        </w:tc>
      </w:tr>
      <w:tr>
        <w:tc>
          <w:tcPr>
            <w:tcW w:type="dxa" w:w="7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STEP 3</w:t>
            </w:r>
          </w:p>
        </w:tc>
        <w:tc>
          <w:tcPr>
            <w:tcW w:type="dxa" w:w="32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T12-A fires? (2x WEAK/EROSION, no T12-B yet)</w:t>
            </w:r>
          </w:p>
        </w:tc>
        <w:tc>
          <w:tcPr>
            <w:tcW w:type="dxa" w:w="37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LOG ONLY. Written audit summary. No execution. No churn count. Does NOT break NO ACTION.</w:t>
            </w:r>
          </w:p>
        </w:tc>
        <w:tc>
          <w:tcPr>
            <w:tcW w:type="dxa" w:w="284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Audit deferred to next review.</w:t>
            </w:r>
          </w:p>
        </w:tc>
      </w:tr>
      <w:tr>
        <w:tc>
          <w:tcPr>
            <w:tcW w:type="dxa" w:w="7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STEP 4</w:t>
            </w:r>
          </w:p>
        </w:tc>
        <w:tc>
          <w:tcPr>
            <w:tcW w:type="dxa" w:w="32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T12-B fires? (T12-A audit found actionable issue)</w:t>
            </w:r>
          </w:p>
        </w:tc>
        <w:tc>
          <w:tcPr>
            <w:tcW w:type="dxa" w:w="37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EXECUTE per regime. Bear: buffer/logging only. Bull/Flat: may include SIP rebalance. Counts toward churn.</w:t>
            </w:r>
          </w:p>
        </w:tc>
        <w:tc>
          <w:tcPr>
            <w:tcW w:type="dxa" w:w="284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Breaks NO ACTION eligibility.</w:t>
            </w:r>
          </w:p>
        </w:tc>
      </w:tr>
      <w:tr>
        <w:tc>
          <w:tcPr>
            <w:tcW w:type="dxa" w:w="7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STEP 5</w:t>
            </w:r>
          </w:p>
        </w:tc>
        <w:tc>
          <w:tcPr>
            <w:tcW w:type="dxa" w:w="32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Core fund downgrade? (all 3 conditions met — 5.6)</w:t>
            </w:r>
          </w:p>
        </w:tc>
        <w:tc>
          <w:tcPr>
            <w:tcW w:type="dxa" w:w="37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Reclassify to Satellite. Run delta filter. If clears: PERMIT switch (1 churn slot).</w:t>
            </w:r>
          </w:p>
        </w:tc>
        <w:tc>
          <w:tcPr>
            <w:tcW w:type="dxa" w:w="284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P2 priority after T1/T2/T3.</w:t>
            </w:r>
          </w:p>
        </w:tc>
      </w:tr>
      <w:tr>
        <w:tc>
          <w:tcPr>
            <w:tcW w:type="dxa" w:w="7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STEP 6</w:t>
            </w:r>
          </w:p>
        </w:tc>
        <w:tc>
          <w:tcPr>
            <w:tcW w:type="dxa" w:w="32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T4–T11 fires? AND regime is Bull/Flat?</w:t>
            </w:r>
          </w:p>
        </w:tc>
        <w:tc>
          <w:tcPr>
            <w:tcW w:type="dxa" w:w="37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EXECUTE per trigger rules. Count toward churn limit.</w:t>
            </w:r>
          </w:p>
        </w:tc>
        <w:tc>
          <w:tcPr>
            <w:tcW w:type="dxa" w:w="284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P3. Evaluation-only in Bear.</w:t>
            </w:r>
          </w:p>
        </w:tc>
      </w:tr>
      <w:tr>
        <w:tc>
          <w:tcPr>
            <w:tcW w:type="dxa" w:w="7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STEP 7</w:t>
            </w:r>
          </w:p>
        </w:tc>
        <w:tc>
          <w:tcPr>
            <w:tcW w:type="dxa" w:w="32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Delta filter clears? AND regime ≠ Bear AND churn slots remain?</w:t>
            </w:r>
          </w:p>
        </w:tc>
        <w:tc>
          <w:tcPr>
            <w:tcW w:type="dxa" w:w="37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PERMIT switch (not mandatory). Count toward churn.</w:t>
            </w:r>
          </w:p>
        </w:tc>
        <w:tc>
          <w:tcPr>
            <w:tcW w:type="dxa" w:w="284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P4. Run full cost gate (Section 7.3).</w:t>
            </w:r>
          </w:p>
        </w:tc>
      </w:tr>
      <w:tr>
        <w:tc>
          <w:tcPr>
            <w:tcW w:type="dxa" w:w="7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STEP 8</w:t>
            </w:r>
          </w:p>
        </w:tc>
        <w:tc>
          <w:tcPr>
            <w:tcW w:type="dxa" w:w="32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None of steps 1–7 produced execution</w:t>
            </w:r>
          </w:p>
        </w:tc>
        <w:tc>
          <w:tcPr>
            <w:tcW w:type="dxa" w:w="37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Check Hard NO ACTION (all 9 conditions). If any deferred: Soft NO ACTION. Output mandatory 5-line declaration. STOP.</w:t>
            </w:r>
          </w:p>
        </w:tc>
        <w:tc>
          <w:tcPr>
            <w:tcW w:type="dxa" w:w="284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Do not add commentary beyond 5 lines.</w:t>
            </w:r>
          </w:p>
        </w:tc>
      </w:tr>
    </w:tbl>
    <w:p>
      <w:pPr>
        <w:spacing w:after="55" w:before="55"/>
      </w:pPr>
    </w:p>
    <w:p>
      <w:pPr>
        <w:pStyle w:val="Heading2"/>
        <w:pBdr>
          <w:bottom w:val="single" w:color="BDD7EE" w:sz="6"/>
        </w:pBdr>
        <w:spacing w:after="65" w:before="160"/>
      </w:pPr>
      <w:r>
        <w:rPr>
          <w:rFonts w:ascii="Arial" w:cs="Arial" w:eastAsia="Arial" w:hAnsi="Arial"/>
          <w:b/>
          <w:bCs/>
          <w:color w:val="1F4E79"/>
          <w:sz w:val="21"/>
          <w:szCs w:val="21"/>
        </w:rPr>
        <w:t xml:space="preserve">4.1 Master Decision Hierarchy</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1F4E79" w:sz="4"/>
              <w:left w:val="single" w:color="1F4E79" w:sz="4"/>
              <w:bottom w:val="single" w:color="1F4E79" w:sz="4"/>
              <w:right w:val="single" w:color="1F4E79" w:sz="4"/>
            </w:tcBorders>
            <w:shd w:fill="CFE2F3" w:val="clear"/>
            <w:tcMar>
              <w:top w:type="dxa" w:w="75"/>
              <w:left w:type="dxa" w:w="140"/>
              <w:bottom w:type="dxa" w:w="75"/>
              <w:right w:type="dxa" w:w="140"/>
            </w:tcMar>
          </w:tcPr>
          <w:p>
            <w:r>
              <w:rPr>
                <w:rFonts w:ascii="Arial" w:cs="Arial" w:eastAsia="Arial" w:hAnsi="Arial"/>
                <w:color w:val="000000"/>
                <w:sz w:val="17"/>
                <w:szCs w:val="17"/>
              </w:rPr>
              <w:t xml:space="preserve">Every decision flows through this hierarchy in strict order. A lower layer cannot override a higher layer.
  LAYER A: HARD TRIGGERS  →  always checked first (Section 7.1)
  LAYER B: REGIME RULES   →  applied after hard triggers are cleared
  LAYER C: XIRR ZONES     →  interpreted within active regime context
  LAYER D: DELTA FILTER   →  applied last; cannot override Layers A–C
In Bear regime: Layer D runs in EVALUATION-ONLY mode (no switches).
XIRR zones (Layer C) inform diagnostics only — they do NOT independently trigger fund switches.</w:t>
            </w:r>
          </w:p>
        </w:tc>
      </w:tr>
    </w:tbl>
    <w:p>
      <w:pPr>
        <w:spacing w:after="55" w:before="55"/>
      </w:pPr>
    </w:p>
    <w:p>
      <w:pPr>
        <w:pStyle w:val="Heading2"/>
        <w:pBdr>
          <w:bottom w:val="single" w:color="BDD7EE" w:sz="6"/>
        </w:pBdr>
        <w:spacing w:after="65" w:before="160"/>
      </w:pPr>
      <w:r>
        <w:rPr>
          <w:rFonts w:ascii="Arial" w:cs="Arial" w:eastAsia="Arial" w:hAnsi="Arial"/>
          <w:b/>
          <w:bCs/>
          <w:color w:val="1F4E79"/>
          <w:sz w:val="21"/>
          <w:szCs w:val="21"/>
        </w:rPr>
        <w:t xml:space="preserve">4.2 Market Regime Detection — Deterministic Rules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1F4E79" w:sz="4"/>
              <w:left w:val="single" w:color="1F4E79" w:sz="4"/>
              <w:bottom w:val="single" w:color="1F4E79" w:sz="4"/>
              <w:right w:val="single" w:color="1F4E79" w:sz="4"/>
            </w:tcBorders>
            <w:shd w:fill="FFF2CC" w:val="clear"/>
            <w:tcMar>
              <w:top w:type="dxa" w:w="75"/>
              <w:left w:type="dxa" w:w="140"/>
              <w:bottom w:type="dxa" w:w="75"/>
              <w:right w:type="dxa" w:w="140"/>
            </w:tcMar>
          </w:tcPr>
          <w:p>
            <w:r>
              <w:rPr>
                <w:rFonts w:ascii="Arial" w:cs="Arial" w:eastAsia="Arial" w:hAnsi="Arial"/>
                <w:color w:val="000000"/>
                <w:sz w:val="17"/>
                <w:szCs w:val="17"/>
              </w:rPr>
              <w:t xml:space="preserve">RETURN DOMINATES. Volatility adjusts confidence only — it does NOT change the regime classification. Never guess regime — always compute from NSE data.</w:t>
            </w:r>
          </w:p>
        </w:tc>
      </w:tr>
    </w:tbl>
    <w:p>
      <w:pPr>
        <w:spacing w:after="55" w:before="55"/>
      </w:pPr>
    </w:p>
    <w:p>
      <w:pPr>
        <w:spacing w:after="70" w:before="70"/>
      </w:pPr>
      <w:r>
        <w:rPr>
          <w:rFonts w:ascii="Arial" w:cs="Arial" w:eastAsia="Arial" w:hAnsi="Arial"/>
          <w:b/>
          <w:bCs/>
          <w:i w:val="false"/>
          <w:iCs w:val="false"/>
          <w:color w:val="000000"/>
          <w:sz w:val="17"/>
          <w:szCs w:val="17"/>
        </w:rPr>
        <w:t xml:space="preserve">STEP 1 — Data source priority:</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4000"/>
        <w:gridCol w:w="2440"/>
      </w:tblGrid>
      <w:tr>
        <w:trPr>
          <w:tblHeader/>
        </w:trPr>
        <w:tc>
          <w:tcPr>
            <w:tcW w:type="dxa" w:w="12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Priority</w:t>
            </w:r>
          </w:p>
        </w:tc>
        <w:tc>
          <w:tcPr>
            <w:tcW w:type="dxa" w:w="28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Source</w:t>
            </w:r>
          </w:p>
        </w:tc>
        <w:tc>
          <w:tcPr>
            <w:tcW w:type="dxa" w:w="40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Data Points</w:t>
            </w:r>
          </w:p>
        </w:tc>
        <w:tc>
          <w:tcPr>
            <w:tcW w:type="dxa" w:w="244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Fallback</w:t>
            </w:r>
          </w:p>
        </w:tc>
      </w:tr>
      <w:tr>
        <w:tc>
          <w:tcPr>
            <w:tcW w:type="dxa" w:w="12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Primary</w:t>
            </w:r>
          </w:p>
        </w:tc>
        <w:tc>
          <w:tcPr>
            <w:tcW w:type="dxa" w:w="28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NSE website (nseindia.com)</w:t>
            </w:r>
          </w:p>
        </w:tc>
        <w:tc>
          <w:tcPr>
            <w:tcW w:type="dxa" w:w="40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6M Nifty 50 return (exact dates) + India VIX latest close</w:t>
            </w:r>
          </w:p>
        </w:tc>
        <w:tc>
          <w:tcPr>
            <w:tcW w:type="dxa" w:w="244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w:t>
            </w:r>
          </w:p>
        </w:tc>
      </w:tr>
      <w:tr>
        <w:tc>
          <w:tcPr>
            <w:tcW w:type="dxa" w:w="12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Secondary</w:t>
            </w:r>
          </w:p>
        </w:tc>
        <w:tc>
          <w:tcPr>
            <w:tcW w:type="dxa" w:w="28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Moneycontrol / NSE India app</w:t>
            </w:r>
          </w:p>
        </w:tc>
        <w:tc>
          <w:tcPr>
            <w:tcW w:type="dxa" w:w="40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Same data points</w:t>
            </w:r>
          </w:p>
        </w:tc>
        <w:tc>
          <w:tcPr>
            <w:tcW w:type="dxa" w:w="244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Use if NSE website unavailable</w:t>
            </w:r>
          </w:p>
        </w:tc>
      </w:tr>
      <w:tr>
        <w:tc>
          <w:tcPr>
            <w:tcW w:type="dxa" w:w="12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Last resort</w:t>
            </w:r>
          </w:p>
        </w:tc>
        <w:tc>
          <w:tcPr>
            <w:tcW w:type="dxa" w:w="28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Any major financial data source</w:t>
            </w:r>
          </w:p>
        </w:tc>
        <w:tc>
          <w:tcPr>
            <w:tcW w:type="dxa" w:w="40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State source name in output</w:t>
            </w:r>
          </w:p>
        </w:tc>
        <w:tc>
          <w:tcPr>
            <w:tcW w:type="dxa" w:w="244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Flag as non-standard</w:t>
            </w:r>
          </w:p>
        </w:tc>
      </w:tr>
    </w:tbl>
    <w:p>
      <w:pPr>
        <w:spacing w:after="55" w:before="55"/>
      </w:pPr>
    </w:p>
    <w:p>
      <w:pPr>
        <w:spacing w:after="70" w:before="70"/>
      </w:pPr>
      <w:r>
        <w:rPr>
          <w:rFonts w:ascii="Arial" w:cs="Arial" w:eastAsia="Arial" w:hAnsi="Arial"/>
          <w:b/>
          <w:bCs/>
          <w:i w:val="false"/>
          <w:iCs w:val="false"/>
          <w:color w:val="000000"/>
          <w:sz w:val="17"/>
          <w:szCs w:val="17"/>
        </w:rPr>
        <w:t xml:space="preserve">STEP 2 — Classification rule (return is the ONLY classifier):</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6340"/>
      </w:tblGrid>
      <w:tr>
        <w:trPr>
          <w:tblHeader/>
        </w:trPr>
        <w:tc>
          <w:tcPr>
            <w:tcW w:type="dxa" w:w="26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6M Nifty 50 Return</w:t>
            </w:r>
          </w:p>
        </w:tc>
        <w:tc>
          <w:tcPr>
            <w:tcW w:type="dxa" w:w="15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Regime</w:t>
            </w:r>
          </w:p>
        </w:tc>
        <w:tc>
          <w:tcPr>
            <w:tcW w:type="dxa" w:w="634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Rule</w:t>
            </w:r>
          </w:p>
        </w:tc>
      </w:tr>
      <w:tr>
        <w:tc>
          <w:tcPr>
            <w:tcW w:type="dxa" w:w="26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&gt; +10%</w:t>
            </w:r>
          </w:p>
        </w:tc>
        <w:tc>
          <w:tcPr>
            <w:tcW w:type="dxa" w:w="15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BULL</w:t>
            </w:r>
          </w:p>
        </w:tc>
        <w:tc>
          <w:tcPr>
            <w:tcW w:type="dxa" w:w="634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Return alone determines this. No other input overrides.</w:t>
            </w:r>
          </w:p>
        </w:tc>
      </w:tr>
      <w:tr>
        <w:tc>
          <w:tcPr>
            <w:tcW w:type="dxa" w:w="26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-10% to +10% (inclusive)</w:t>
            </w:r>
          </w:p>
        </w:tc>
        <w:tc>
          <w:tcPr>
            <w:tcW w:type="dxa" w:w="15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FLAT</w:t>
            </w:r>
          </w:p>
        </w:tc>
        <w:tc>
          <w:tcPr>
            <w:tcW w:type="dxa" w:w="634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Return alone determines this.</w:t>
            </w:r>
          </w:p>
        </w:tc>
      </w:tr>
      <w:tr>
        <w:tc>
          <w:tcPr>
            <w:tcW w:type="dxa" w:w="26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&lt; -10%</w:t>
            </w:r>
          </w:p>
        </w:tc>
        <w:tc>
          <w:tcPr>
            <w:tcW w:type="dxa" w:w="15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BEAR</w:t>
            </w:r>
          </w:p>
        </w:tc>
        <w:tc>
          <w:tcPr>
            <w:tcW w:type="dxa" w:w="634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Return alone determines this.</w:t>
            </w:r>
          </w:p>
        </w:tc>
      </w:tr>
    </w:tbl>
    <w:p>
      <w:pPr>
        <w:spacing w:after="55" w:before="55"/>
      </w:pPr>
    </w:p>
    <w:p>
      <w:pPr>
        <w:spacing w:after="70" w:before="70"/>
      </w:pPr>
      <w:r>
        <w:rPr>
          <w:rFonts w:ascii="Arial" w:cs="Arial" w:eastAsia="Arial" w:hAnsi="Arial"/>
          <w:b/>
          <w:bCs/>
          <w:i w:val="false"/>
          <w:iCs w:val="false"/>
          <w:color w:val="000000"/>
          <w:sz w:val="17"/>
          <w:szCs w:val="17"/>
        </w:rPr>
        <w:t xml:space="preserve">STEP 3 — Volatility confidence adjustment (does NOT change regime):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800"/>
        <w:gridCol w:w="5640"/>
      </w:tblGrid>
      <w:tr>
        <w:trPr>
          <w:tblHeader/>
        </w:trPr>
        <w:tc>
          <w:tcPr>
            <w:tcW w:type="dxa" w:w="15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Regime (by Return)</w:t>
            </w:r>
          </w:p>
        </w:tc>
        <w:tc>
          <w:tcPr>
            <w:tcW w:type="dxa" w:w="15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India VIX</w:t>
            </w:r>
          </w:p>
        </w:tc>
        <w:tc>
          <w:tcPr>
            <w:tcW w:type="dxa" w:w="18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Confidence Level</w:t>
            </w:r>
          </w:p>
        </w:tc>
        <w:tc>
          <w:tcPr>
            <w:tcW w:type="dxa" w:w="564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Practical Effect</w:t>
            </w:r>
          </w:p>
        </w:tc>
      </w:tr>
      <w:tr>
        <w:tc>
          <w:tcPr>
            <w:tcW w:type="dxa" w:w="15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BULL</w:t>
            </w:r>
          </w:p>
        </w:tc>
        <w:tc>
          <w:tcPr>
            <w:tcW w:type="dxa" w:w="15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VIX &lt; 18</w:t>
            </w:r>
          </w:p>
        </w:tc>
        <w:tc>
          <w:tcPr>
            <w:tcW w:type="dxa" w:w="18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HIGH</w:t>
            </w:r>
          </w:p>
        </w:tc>
        <w:tc>
          <w:tcPr>
            <w:tcW w:type="dxa" w:w="564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Full Bull rules. Standard thresholds.</w:t>
            </w:r>
          </w:p>
        </w:tc>
      </w:tr>
      <w:tr>
        <w:tc>
          <w:tcPr>
            <w:tcW w:type="dxa" w:w="15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BULL</w:t>
            </w:r>
          </w:p>
        </w:tc>
        <w:tc>
          <w:tcPr>
            <w:tcW w:type="dxa" w:w="15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VIX 18–25</w:t>
            </w:r>
          </w:p>
        </w:tc>
        <w:tc>
          <w:tcPr>
            <w:tcW w:type="dxa" w:w="18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MODERATE</w:t>
            </w:r>
          </w:p>
        </w:tc>
        <w:tc>
          <w:tcPr>
            <w:tcW w:type="dxa" w:w="564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Apply Bull rules. Note elevated risk in output.</w:t>
            </w:r>
          </w:p>
        </w:tc>
      </w:tr>
      <w:tr>
        <w:tc>
          <w:tcPr>
            <w:tcW w:type="dxa" w:w="15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BULL</w:t>
            </w:r>
          </w:p>
        </w:tc>
        <w:tc>
          <w:tcPr>
            <w:tcW w:type="dxa" w:w="15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VIX &gt; 25</w:t>
            </w:r>
          </w:p>
        </w:tc>
        <w:tc>
          <w:tcPr>
            <w:tcW w:type="dxa" w:w="18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LOW</w:t>
            </w:r>
          </w:p>
        </w:tc>
        <w:tc>
          <w:tcPr>
            <w:tcW w:type="dxa" w:w="564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Apply Bull rules. Use Flat-level delta thresholds.</w:t>
            </w:r>
          </w:p>
        </w:tc>
      </w:tr>
      <w:tr>
        <w:tc>
          <w:tcPr>
            <w:tcW w:type="dxa" w:w="15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FLAT</w:t>
            </w:r>
          </w:p>
        </w:tc>
        <w:tc>
          <w:tcPr>
            <w:tcW w:type="dxa" w:w="15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Any VIX</w:t>
            </w:r>
          </w:p>
        </w:tc>
        <w:tc>
          <w:tcPr>
            <w:tcW w:type="dxa" w:w="18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STANDARD</w:t>
            </w:r>
          </w:p>
        </w:tc>
        <w:tc>
          <w:tcPr>
            <w:tcW w:type="dxa" w:w="564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Standard Flat rules.</w:t>
            </w:r>
          </w:p>
        </w:tc>
      </w:tr>
      <w:tr>
        <w:tc>
          <w:tcPr>
            <w:tcW w:type="dxa" w:w="15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BEAR</w:t>
            </w:r>
          </w:p>
        </w:tc>
        <w:tc>
          <w:tcPr>
            <w:tcW w:type="dxa" w:w="15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VIX &lt; 20</w:t>
            </w:r>
          </w:p>
        </w:tc>
        <w:tc>
          <w:tcPr>
            <w:tcW w:type="dxa" w:w="18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MODERATE</w:t>
            </w:r>
          </w:p>
        </w:tc>
        <w:tc>
          <w:tcPr>
            <w:tcW w:type="dxa" w:w="564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Standard Bear rules.</w:t>
            </w:r>
          </w:p>
        </w:tc>
      </w:tr>
      <w:tr>
        <w:tc>
          <w:tcPr>
            <w:tcW w:type="dxa" w:w="15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BEAR</w:t>
            </w:r>
          </w:p>
        </w:tc>
        <w:tc>
          <w:tcPr>
            <w:tcW w:type="dxa" w:w="15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VIX &gt; 20</w:t>
            </w:r>
          </w:p>
        </w:tc>
        <w:tc>
          <w:tcPr>
            <w:tcW w:type="dxa" w:w="18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HIGH</w:t>
            </w:r>
          </w:p>
        </w:tc>
        <w:tc>
          <w:tcPr>
            <w:tcW w:type="dxa" w:w="564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Full Bear rules. ST1/ST2 with urgency.</w:t>
            </w:r>
          </w:p>
        </w:tc>
      </w:tr>
    </w:tbl>
    <w:p>
      <w:pPr>
        <w:spacing w:after="55" w:before="55"/>
      </w:pPr>
    </w:p>
    <w:p>
      <w:pPr>
        <w:spacing w:after="70" w:before="70"/>
      </w:pPr>
      <w:r>
        <w:rPr>
          <w:rFonts w:ascii="Arial" w:cs="Arial" w:eastAsia="Arial" w:hAnsi="Arial"/>
          <w:b/>
          <w:bCs/>
          <w:i w:val="false"/>
          <w:iCs w:val="false"/>
          <w:color w:val="000000"/>
          <w:sz w:val="17"/>
          <w:szCs w:val="17"/>
        </w:rPr>
        <w:t xml:space="preserve">STEP 4 — Missing VIX data:</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1F4E79" w:sz="4"/>
              <w:left w:val="single" w:color="1F4E79" w:sz="4"/>
              <w:bottom w:val="single" w:color="1F4E79" w:sz="4"/>
              <w:right w:val="single" w:color="1F4E79" w:sz="4"/>
            </w:tcBorders>
            <w:shd w:fill="F2F2F2" w:val="clear"/>
            <w:tcMar>
              <w:top w:type="dxa" w:w="75"/>
              <w:left w:type="dxa" w:w="140"/>
              <w:bottom w:type="dxa" w:w="75"/>
              <w:right w:type="dxa" w:w="140"/>
            </w:tcMar>
          </w:tcPr>
          <w:p>
            <w:r>
              <w:rPr>
                <w:rFonts w:ascii="Arial" w:cs="Arial" w:eastAsia="Arial" w:hAnsi="Arial"/>
                <w:color w:val="000000"/>
                <w:sz w:val="17"/>
                <w:szCs w:val="17"/>
              </w:rPr>
              <w:t xml:space="preserve">If India VIX is unavailable: classify by return only. Set confidence = MODERATE regardless of return. State: 'VIX data unavailable. Regime classified by return only. Confidence: MODERATE.' Do NOT delay or skip regime detection.</w:t>
            </w:r>
          </w:p>
        </w:tc>
      </w:tr>
    </w:tbl>
    <w:p>
      <w:pPr>
        <w:spacing w:after="55" w:before="55"/>
      </w:pPr>
    </w:p>
    <w:p>
      <w:pPr>
        <w:spacing w:after="70" w:before="70"/>
      </w:pPr>
      <w:r>
        <w:rPr>
          <w:rFonts w:ascii="Arial" w:cs="Arial" w:eastAsia="Arial" w:hAnsi="Arial"/>
          <w:b/>
          <w:bCs/>
          <w:i w:val="false"/>
          <w:iCs w:val="false"/>
          <w:color w:val="000000"/>
          <w:sz w:val="17"/>
          <w:szCs w:val="17"/>
        </w:rPr>
        <w:t xml:space="preserve">STEP 5 — Mixed signal examples: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600"/>
        <w:gridCol w:w="1400"/>
        <w:gridCol w:w="1600"/>
        <w:gridCol w:w="3040"/>
      </w:tblGrid>
      <w:tr>
        <w:trPr>
          <w:tblHeader/>
        </w:trPr>
        <w:tc>
          <w:tcPr>
            <w:tcW w:type="dxa" w:w="12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Signal</w:t>
            </w:r>
          </w:p>
        </w:tc>
        <w:tc>
          <w:tcPr>
            <w:tcW w:type="dxa" w:w="16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Return</w:t>
            </w:r>
          </w:p>
        </w:tc>
        <w:tc>
          <w:tcPr>
            <w:tcW w:type="dxa" w:w="16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VIX</w:t>
            </w:r>
          </w:p>
        </w:tc>
        <w:tc>
          <w:tcPr>
            <w:tcW w:type="dxa" w:w="14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Regime</w:t>
            </w:r>
          </w:p>
        </w:tc>
        <w:tc>
          <w:tcPr>
            <w:tcW w:type="dxa" w:w="16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Confidence</w:t>
            </w:r>
          </w:p>
        </w:tc>
        <w:tc>
          <w:tcPr>
            <w:tcW w:type="dxa" w:w="304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Action</w:t>
            </w:r>
          </w:p>
        </w:tc>
      </w:tr>
      <w:tr>
        <w:tc>
          <w:tcPr>
            <w:tcW w:type="dxa" w:w="12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Example A</w:t>
            </w:r>
          </w:p>
        </w:tc>
        <w:tc>
          <w:tcPr>
            <w:tcW w:type="dxa" w:w="16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Return +12% (Bull)</w:t>
            </w:r>
          </w:p>
        </w:tc>
        <w:tc>
          <w:tcPr>
            <w:tcW w:type="dxa" w:w="16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VIX 22 (elevated)</w:t>
            </w:r>
          </w:p>
        </w:tc>
        <w:tc>
          <w:tcPr>
            <w:tcW w:type="dxa" w:w="14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BULL</w:t>
            </w:r>
          </w:p>
        </w:tc>
        <w:tc>
          <w:tcPr>
            <w:tcW w:type="dxa" w:w="16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MODERATE</w:t>
            </w:r>
          </w:p>
        </w:tc>
        <w:tc>
          <w:tcPr>
            <w:tcW w:type="dxa" w:w="304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Apply Bull. Note: 'Elevated volatility. Higher delta bar. Stress tests urgent.'</w:t>
            </w:r>
          </w:p>
        </w:tc>
      </w:tr>
      <w:tr>
        <w:tc>
          <w:tcPr>
            <w:tcW w:type="dxa" w:w="12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Example B</w:t>
            </w:r>
          </w:p>
        </w:tc>
        <w:tc>
          <w:tcPr>
            <w:tcW w:type="dxa" w:w="16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Return -3% (Flat)</w:t>
            </w:r>
          </w:p>
        </w:tc>
        <w:tc>
          <w:tcPr>
            <w:tcW w:type="dxa" w:w="16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VIX 28 (high)</w:t>
            </w:r>
          </w:p>
        </w:tc>
        <w:tc>
          <w:tcPr>
            <w:tcW w:type="dxa" w:w="14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FLAT</w:t>
            </w:r>
          </w:p>
        </w:tc>
        <w:tc>
          <w:tcPr>
            <w:tcW w:type="dxa" w:w="16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LOW</w:t>
            </w:r>
          </w:p>
        </w:tc>
        <w:tc>
          <w:tcPr>
            <w:tcW w:type="dxa" w:w="304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Apply Flat rules. Run ST1+ST2 with urgency (treat like Bear for stress tests only).</w:t>
            </w:r>
          </w:p>
        </w:tc>
      </w:tr>
      <w:tr>
        <w:tc>
          <w:tcPr>
            <w:tcW w:type="dxa" w:w="12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Example C</w:t>
            </w:r>
          </w:p>
        </w:tc>
        <w:tc>
          <w:tcPr>
            <w:tcW w:type="dxa" w:w="16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Return +11%</w:t>
            </w:r>
          </w:p>
        </w:tc>
        <w:tc>
          <w:tcPr>
            <w:tcW w:type="dxa" w:w="16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VIX unavailable</w:t>
            </w:r>
          </w:p>
        </w:tc>
        <w:tc>
          <w:tcPr>
            <w:tcW w:type="dxa" w:w="14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BULL</w:t>
            </w:r>
          </w:p>
        </w:tc>
        <w:tc>
          <w:tcPr>
            <w:tcW w:type="dxa" w:w="16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MODERATE</w:t>
            </w:r>
          </w:p>
        </w:tc>
        <w:tc>
          <w:tcPr>
            <w:tcW w:type="dxa" w:w="304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Apply Bull rules. Note data limitation.</w:t>
            </w:r>
          </w:p>
        </w:tc>
      </w:tr>
    </w:tbl>
    <w:p>
      <w:pPr>
        <w:spacing w:after="55" w:before="55"/>
      </w:pPr>
    </w:p>
    <w:p>
      <w:pPr>
        <w:pStyle w:val="Heading2"/>
        <w:pBdr>
          <w:bottom w:val="single" w:color="BDD7EE" w:sz="6"/>
        </w:pBdr>
        <w:spacing w:after="65" w:before="160"/>
      </w:pPr>
      <w:r>
        <w:rPr>
          <w:rFonts w:ascii="Arial" w:cs="Arial" w:eastAsia="Arial" w:hAnsi="Arial"/>
          <w:b/>
          <w:bCs/>
          <w:color w:val="1F4E79"/>
          <w:sz w:val="21"/>
          <w:szCs w:val="21"/>
        </w:rPr>
        <w:t xml:space="preserve">4.3 XIRR Data Freshness Rule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1F4E79" w:sz="4"/>
              <w:left w:val="single" w:color="1F4E79" w:sz="4"/>
              <w:bottom w:val="single" w:color="1F4E79" w:sz="4"/>
              <w:right w:val="single" w:color="1F4E79" w:sz="4"/>
            </w:tcBorders>
            <w:shd w:fill="FFF2CC" w:val="clear"/>
            <w:tcMar>
              <w:top w:type="dxa" w:w="75"/>
              <w:left w:type="dxa" w:w="140"/>
              <w:bottom w:type="dxa" w:w="75"/>
              <w:right w:type="dxa" w:w="140"/>
            </w:tcMar>
          </w:tcPr>
          <w:p>
            <w:r>
              <w:rPr>
                <w:rFonts w:ascii="Arial" w:cs="Arial" w:eastAsia="Arial" w:hAnsi="Arial"/>
                <w:color w:val="000000"/>
                <w:sz w:val="17"/>
                <w:szCs w:val="17"/>
              </w:rPr>
              <w:t xml:space="preserve">XIRR valid ONLY IF NAV data is within last 7 TRADING DAYS (weekends/holidays excluded).
Verify: Check 'as of date' on MyCams or INDmoney. If stale: cross-check on AMFI (amfiindia.com/nav-history, updated by 11 PM daily). If still stale: state 'XIRR data stale. Defer zone classification.'
Common lag causes: MyCams 1–3 days | SIP tagging 2–5 days | INDmoney cached | Holidays up to 7 trading days.</w:t>
            </w:r>
          </w:p>
        </w:tc>
      </w:tr>
    </w:tbl>
    <w:p>
      <w:pPr>
        <w:spacing w:after="55" w:before="55"/>
      </w:pPr>
    </w:p>
    <w:p>
      <w:pPr>
        <w:pStyle w:val="Heading2"/>
        <w:pBdr>
          <w:bottom w:val="single" w:color="BDD7EE" w:sz="6"/>
        </w:pBdr>
        <w:spacing w:after="65" w:before="160"/>
      </w:pPr>
      <w:r>
        <w:rPr>
          <w:rFonts w:ascii="Arial" w:cs="Arial" w:eastAsia="Arial" w:hAnsi="Arial"/>
          <w:b/>
          <w:bCs/>
          <w:color w:val="1F4E79"/>
          <w:sz w:val="21"/>
          <w:szCs w:val="21"/>
        </w:rPr>
        <w:t xml:space="preserve">4.4 Data Source Hierarchy</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200"/>
        <w:gridCol w:w="2700"/>
        <w:gridCol w:w="3400"/>
        <w:gridCol w:w="3140"/>
      </w:tblGrid>
      <w:tr>
        <w:trPr>
          <w:tblHeader/>
        </w:trPr>
        <w:tc>
          <w:tcPr>
            <w:tcW w:type="dxa" w:w="12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Tier</w:t>
            </w:r>
          </w:p>
        </w:tc>
        <w:tc>
          <w:tcPr>
            <w:tcW w:type="dxa" w:w="27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Source</w:t>
            </w:r>
          </w:p>
        </w:tc>
        <w:tc>
          <w:tcPr>
            <w:tcW w:type="dxa" w:w="34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Authority For</w:t>
            </w:r>
          </w:p>
        </w:tc>
        <w:tc>
          <w:tcPr>
            <w:tcW w:type="dxa" w:w="314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Conflict Rule</w:t>
            </w:r>
          </w:p>
        </w:tc>
      </w:tr>
      <w:tr>
        <w:tc>
          <w:tcPr>
            <w:tcW w:type="dxa" w:w="12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TIER 1 (Highest)</w:t>
            </w:r>
          </w:p>
        </w:tc>
        <w:tc>
          <w:tcPr>
            <w:tcW w:type="dxa" w:w="27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AMC official website</w:t>
            </w:r>
          </w:p>
        </w:tc>
        <w:tc>
          <w:tcPr>
            <w:tcW w:type="dxa" w:w="34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SIP status, AUM, ER, manager</w:t>
            </w:r>
          </w:p>
        </w:tc>
        <w:tc>
          <w:tcPr>
            <w:tcW w:type="dxa" w:w="314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Always wins on SIP status</w:t>
            </w:r>
          </w:p>
        </w:tc>
      </w:tr>
      <w:tr>
        <w:tc>
          <w:tcPr>
            <w:tcW w:type="dxa" w:w="12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TIER 2</w:t>
            </w:r>
          </w:p>
        </w:tc>
        <w:tc>
          <w:tcPr>
            <w:tcW w:type="dxa" w:w="27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AMFI (amfiindia.com)</w:t>
            </w:r>
          </w:p>
        </w:tc>
        <w:tc>
          <w:tcPr>
            <w:tcW w:type="dxa" w:w="34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Category, NAV, AUM classification</w:t>
            </w:r>
          </w:p>
        </w:tc>
        <w:tc>
          <w:tcPr>
            <w:tcW w:type="dxa" w:w="314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Wins on classification conflicts</w:t>
            </w:r>
          </w:p>
        </w:tc>
      </w:tr>
      <w:tr>
        <w:tc>
          <w:tcPr>
            <w:tcW w:type="dxa" w:w="12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TIER 3</w:t>
            </w:r>
          </w:p>
        </w:tc>
        <w:tc>
          <w:tcPr>
            <w:tcW w:type="dxa" w:w="27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Value Research / Morningstar India</w:t>
            </w:r>
          </w:p>
        </w:tc>
        <w:tc>
          <w:tcPr>
            <w:tcW w:type="dxa" w:w="34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Alpha, Sharpe, Sortino, NAV history, stars</w:t>
            </w:r>
          </w:p>
        </w:tc>
        <w:tc>
          <w:tcPr>
            <w:tcW w:type="dxa" w:w="314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Use longer window when Tier 3 sources conflict</w:t>
            </w:r>
          </w:p>
        </w:tc>
      </w:tr>
      <w:tr>
        <w:tc>
          <w:tcPr>
            <w:tcW w:type="dxa" w:w="12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TIER 4 (Lowest)</w:t>
            </w:r>
          </w:p>
        </w:tc>
        <w:tc>
          <w:tcPr>
            <w:tcW w:type="dxa" w:w="27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INDmoney / Moneycontrol</w:t>
            </w:r>
          </w:p>
        </w:tc>
        <w:tc>
          <w:tcPr>
            <w:tcW w:type="dxa" w:w="34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Rankings, XIRR estimates</w:t>
            </w:r>
          </w:p>
        </w:tc>
        <w:tc>
          <w:tcPr>
            <w:tcW w:type="dxa" w:w="314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Never overrides Tier 1, 2, or 3</w:t>
            </w:r>
          </w:p>
        </w:tc>
      </w:tr>
    </w:tbl>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1F4E79" w:sz="4"/>
              <w:left w:val="single" w:color="1F4E79" w:sz="4"/>
              <w:bottom w:val="single" w:color="1F4E79" w:sz="4"/>
              <w:right w:val="single" w:color="1F4E79" w:sz="4"/>
            </w:tcBorders>
            <w:shd w:fill="F2F2F2" w:val="clear"/>
            <w:tcMar>
              <w:top w:type="dxa" w:w="75"/>
              <w:left w:type="dxa" w:w="140"/>
              <w:bottom w:type="dxa" w:w="75"/>
              <w:right w:type="dxa" w:w="140"/>
            </w:tcMar>
          </w:tcPr>
          <w:p>
            <w:r>
              <w:rPr>
                <w:rFonts w:ascii="Arial" w:cs="Arial" w:eastAsia="Arial" w:hAnsi="Arial"/>
                <w:color w:val="000000"/>
                <w:sz w:val="17"/>
                <w:szCs w:val="17"/>
              </w:rPr>
              <w:t xml:space="preserve">C5: If ALL sources unavailable → do NOT recommend. State: 'Data unavailable. Re-run after source verification.'</w:t>
            </w:r>
          </w:p>
        </w:tc>
      </w:tr>
    </w:tbl>
    <w:p>
      <w:pPr>
        <w:spacing w:after="55" w:before="55"/>
      </w:pPr>
    </w:p>
    <w:p>
      <w:pPr>
        <w:pStyle w:val="Heading2"/>
        <w:pBdr>
          <w:bottom w:val="single" w:color="BDD7EE" w:sz="6"/>
        </w:pBdr>
        <w:spacing w:after="65" w:before="160"/>
      </w:pPr>
      <w:r>
        <w:rPr>
          <w:rFonts w:ascii="Arial" w:cs="Arial" w:eastAsia="Arial" w:hAnsi="Arial"/>
          <w:b/>
          <w:bCs/>
          <w:color w:val="1F4E79"/>
          <w:sz w:val="21"/>
          <w:szCs w:val="21"/>
        </w:rPr>
        <w:t xml:space="preserve">4.5 NO ACTION State — Mandatory Output When Nothing Triggers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1F4E79" w:sz="4"/>
              <w:left w:val="single" w:color="1F4E79" w:sz="4"/>
              <w:bottom w:val="single" w:color="1F4E79" w:sz="4"/>
              <w:right w:val="single" w:color="1F4E79" w:sz="4"/>
            </w:tcBorders>
            <w:shd w:fill="FFF2CC" w:val="clear"/>
            <w:tcMar>
              <w:top w:type="dxa" w:w="75"/>
              <w:left w:type="dxa" w:w="140"/>
              <w:bottom w:type="dxa" w:w="75"/>
              <w:right w:type="dxa" w:w="140"/>
            </w:tcMar>
          </w:tcPr>
          <w:p>
            <w:r>
              <w:rPr>
                <w:rFonts w:ascii="Arial" w:cs="Arial" w:eastAsia="Arial" w:hAnsi="Arial"/>
                <w:color w:val="000000"/>
                <w:sz w:val="17"/>
                <w:szCs w:val="17"/>
              </w:rPr>
              <w:t xml:space="preserve">PURPOSE: When all checks pass and no trigger, drift, or zone fires, the system must produce a defined NO ACTION output. Without this explicit state, LLMs fill silence with invented observations, spurious recommendations, or 'areas to watch' commentary. The NO ACTION state definition prevents this.</w:t>
            </w:r>
          </w:p>
        </w:tc>
      </w:tr>
    </w:tbl>
    <w:p>
      <w:pPr>
        <w:spacing w:after="55" w:before="55"/>
      </w:pPr>
    </w:p>
    <w:p>
      <w:pPr>
        <w:spacing w:after="70" w:before="70"/>
      </w:pPr>
      <w:r>
        <w:rPr>
          <w:rFonts w:ascii="Arial" w:cs="Arial" w:eastAsia="Arial" w:hAnsi="Arial"/>
          <w:b/>
          <w:bCs/>
          <w:i w:val="false"/>
          <w:iCs w:val="false"/>
          <w:color w:val="000000"/>
          <w:sz w:val="17"/>
          <w:szCs w:val="17"/>
        </w:rPr>
        <w:t xml:space="preserve">NO ACTION IS DECLARED WHEN ALL 9 CONDITIONS ARE SIMULTANEOUSLY TRUE:</w:t>
      </w:r>
    </w:p>
    <w:p>
      <w:pPr>
        <w:spacing w:after="70" w:before="70"/>
      </w:pPr>
      <w:r>
        <w:rPr>
          <w:rFonts w:ascii="Arial" w:cs="Arial" w:eastAsia="Arial" w:hAnsi="Arial"/>
          <w:b/>
          <w:bCs/>
          <w:i w:val="false"/>
          <w:iCs w:val="false"/>
          <w:color w:val="000000"/>
          <w:sz w:val="17"/>
          <w:szCs w:val="17"/>
        </w:rPr>
        <w:t xml:space="preserve">HARD NO ACTION — all 9 conditions confirmed:</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7440"/>
      </w:tblGrid>
      <w:tr>
        <w:trPr>
          <w:tblHeader/>
        </w:trPr>
        <w:tc>
          <w:tcPr>
            <w:tcW w:type="dxa" w:w="5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w:t>
            </w:r>
          </w:p>
        </w:tc>
        <w:tc>
          <w:tcPr>
            <w:tcW w:type="dxa" w:w="25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Check</w:t>
            </w:r>
          </w:p>
        </w:tc>
        <w:tc>
          <w:tcPr>
            <w:tcW w:type="dxa" w:w="744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Pass Criteria</w:t>
            </w:r>
          </w:p>
        </w:tc>
      </w:tr>
      <w:tr>
        <w:tc>
          <w:tcPr>
            <w:tcW w:type="dxa" w:w="5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a</w:t>
            </w:r>
          </w:p>
        </w:tc>
        <w:tc>
          <w:tcPr>
            <w:tcW w:type="dxa" w:w="25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T12-B triggers (T12-A is permitted)</w:t>
            </w:r>
          </w:p>
        </w:tc>
        <w:tc>
          <w:tcPr>
            <w:tcW w:type="dxa" w:w="744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T12-B: NOT FIRED</w:t>
            </w:r>
          </w:p>
        </w:tc>
      </w:tr>
      <w:tr>
        <w:tc>
          <w:tcPr>
            <w:tcW w:type="dxa" w:w="5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b</w:t>
            </w:r>
          </w:p>
        </w:tc>
        <w:tc>
          <w:tcPr>
            <w:tcW w:type="dxa" w:w="25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Allocation drift</w:t>
            </w:r>
          </w:p>
        </w:tc>
        <w:tc>
          <w:tcPr>
            <w:tcW w:type="dxa" w:w="744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All 5 categories within ±5% of target</w:t>
            </w:r>
          </w:p>
        </w:tc>
      </w:tr>
      <w:tr>
        <w:tc>
          <w:tcPr>
            <w:tcW w:type="dxa" w:w="5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c</w:t>
            </w:r>
          </w:p>
        </w:tc>
        <w:tc>
          <w:tcPr>
            <w:tcW w:type="dxa" w:w="25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XIRR zone</w:t>
            </w:r>
          </w:p>
        </w:tc>
        <w:tc>
          <w:tcPr>
            <w:tcW w:type="dxa" w:w="744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TARGET or HEALTHY (WEAK first-occurrence only, T12 not yet due)</w:t>
            </w:r>
          </w:p>
        </w:tc>
      </w:tr>
      <w:tr>
        <w:tc>
          <w:tcPr>
            <w:tcW w:type="dxa" w:w="5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d</w:t>
            </w:r>
          </w:p>
        </w:tc>
        <w:tc>
          <w:tcPr>
            <w:tcW w:type="dxa" w:w="25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Overlap pairs</w:t>
            </w:r>
          </w:p>
        </w:tc>
        <w:tc>
          <w:tcPr>
            <w:tcW w:type="dxa" w:w="744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All pairs within tier thresholds (Section 6.3)</w:t>
            </w:r>
          </w:p>
        </w:tc>
      </w:tr>
      <w:tr>
        <w:tc>
          <w:tcPr>
            <w:tcW w:type="dxa" w:w="5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e</w:t>
            </w:r>
          </w:p>
        </w:tc>
        <w:tc>
          <w:tcPr>
            <w:tcW w:type="dxa" w:w="25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Correlation pairs</w:t>
            </w:r>
          </w:p>
        </w:tc>
        <w:tc>
          <w:tcPr>
            <w:tcW w:type="dxa" w:w="744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All within threshold or unavailable (Rung 4 fallback accepted)</w:t>
            </w:r>
          </w:p>
        </w:tc>
      </w:tr>
      <w:tr>
        <w:tc>
          <w:tcPr>
            <w:tcW w:type="dxa" w:w="5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f</w:t>
            </w:r>
          </w:p>
        </w:tc>
        <w:tc>
          <w:tcPr>
            <w:tcW w:type="dxa" w:w="25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Stress tests ST1/ST2/ST3</w:t>
            </w:r>
          </w:p>
        </w:tc>
        <w:tc>
          <w:tcPr>
            <w:tcW w:type="dxa" w:w="744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All passed — Risk Rebalancing Mode: INACTIVE</w:t>
            </w:r>
          </w:p>
        </w:tc>
      </w:tr>
      <w:tr>
        <w:tc>
          <w:tcPr>
            <w:tcW w:type="dxa" w:w="5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g</w:t>
            </w:r>
          </w:p>
        </w:tc>
        <w:tc>
          <w:tcPr>
            <w:tcW w:type="dxa" w:w="25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Core fund status</w:t>
            </w:r>
          </w:p>
        </w:tc>
        <w:tc>
          <w:tcPr>
            <w:tcW w:type="dxa" w:w="744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All 4 Core funds: NORMAL</w:t>
            </w:r>
          </w:p>
        </w:tc>
      </w:tr>
      <w:tr>
        <w:tc>
          <w:tcPr>
            <w:tcW w:type="dxa" w:w="5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h</w:t>
            </w:r>
          </w:p>
        </w:tc>
        <w:tc>
          <w:tcPr>
            <w:tcW w:type="dxa" w:w="25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Liquidity buffer</w:t>
            </w:r>
          </w:p>
        </w:tc>
        <w:tc>
          <w:tcPr>
            <w:tcW w:type="dxa" w:w="744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FUNDED or PARTIAL (not UNFUNDED)</w:t>
            </w:r>
          </w:p>
        </w:tc>
      </w:tr>
      <w:tr>
        <w:tc>
          <w:tcPr>
            <w:tcW w:type="dxa" w:w="5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i</w:t>
            </w:r>
          </w:p>
        </w:tc>
        <w:tc>
          <w:tcPr>
            <w:tcW w:type="dxa" w:w="25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Churn count</w:t>
            </w:r>
          </w:p>
        </w:tc>
        <w:tc>
          <w:tcPr>
            <w:tcW w:type="dxa" w:w="744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0 of 2 fund changes used this review period</w:t>
            </w:r>
          </w:p>
        </w:tc>
      </w:tr>
    </w:tbl>
    <w:p>
      <w:pPr>
        <w:spacing w:after="55" w:before="55"/>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1F4E79" w:sz="4"/>
              <w:left w:val="single" w:color="1F4E79" w:sz="4"/>
              <w:bottom w:val="single" w:color="1F4E79" w:sz="4"/>
              <w:right w:val="single" w:color="1F4E79" w:sz="4"/>
            </w:tcBorders>
            <w:shd w:fill="F2F2F2" w:val="clear"/>
            <w:tcMar>
              <w:top w:type="dxa" w:w="75"/>
              <w:left w:type="dxa" w:w="140"/>
              <w:bottom w:type="dxa" w:w="75"/>
              <w:right w:type="dxa" w:w="140"/>
            </w:tcMar>
          </w:tcPr>
          <w:p>
            <w:r>
              <w:rPr>
                <w:rFonts w:ascii="Arial" w:cs="Arial" w:eastAsia="Arial" w:hAnsi="Arial"/>
                <w:color w:val="000000"/>
                <w:sz w:val="17"/>
                <w:szCs w:val="17"/>
              </w:rPr>
              <w:t xml:space="preserve">SOFT NO ACTION — one or more data points missing/stale, but no execution warranted:
Conditions (a),(b),(f) must be confirmed (non-deferrable). All others may be DEFERRED with notation.
Output: SOFT NO ACTION with DEFERRED items listed. No fund change or SIP change permitted.
A deferred item is NOT a trigger — it is a data gap awaiting resolution.</w:t>
            </w:r>
          </w:p>
        </w:tc>
      </w:tr>
    </w:tbl>
    <w:p>
      <w:pPr>
        <w:spacing w:after="55" w:before="55"/>
      </w:pPr>
    </w:p>
    <w:p>
      <w:pPr>
        <w:spacing w:after="70" w:before="70"/>
      </w:pPr>
      <w:r>
        <w:rPr>
          <w:rFonts w:ascii="Arial" w:cs="Arial" w:eastAsia="Arial" w:hAnsi="Arial"/>
          <w:b/>
          <w:bCs/>
          <w:i w:val="false"/>
          <w:iCs w:val="false"/>
          <w:color w:val="000000"/>
          <w:sz w:val="17"/>
          <w:szCs w:val="17"/>
        </w:rPr>
        <w:t xml:space="preserve">MANDATORY NO ACTION OUTPUT — 5 lines required, no more, no less: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0"/>
        <w:gridCol w:w="9440"/>
      </w:tblGrid>
      <w:tr>
        <w:trPr>
          <w:tblHeader/>
        </w:trPr>
        <w:tc>
          <w:tcPr>
            <w:tcW w:type="dxa" w:w="10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Line</w:t>
            </w:r>
          </w:p>
        </w:tc>
        <w:tc>
          <w:tcPr>
            <w:tcW w:type="dxa" w:w="944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Content</w:t>
            </w:r>
          </w:p>
        </w:tc>
      </w:tr>
      <w:tr>
        <w:tc>
          <w:tcPr>
            <w:tcW w:type="dxa" w:w="10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LINE 1</w:t>
            </w:r>
          </w:p>
        </w:tc>
        <w:tc>
          <w:tcPr>
            <w:tcW w:type="dxa" w:w="944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'NO ACTION REQUIRED. All checks passed at [Review Date].'</w:t>
            </w:r>
          </w:p>
        </w:tc>
      </w:tr>
      <w:tr>
        <w:tc>
          <w:tcPr>
            <w:tcW w:type="dxa" w:w="10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LINE 2</w:t>
            </w:r>
          </w:p>
        </w:tc>
        <w:tc>
          <w:tcPr>
            <w:tcW w:type="dxa" w:w="944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'Completed: T1–T12 | Drift | XIRR zone | Overlap | Correlation | Stress tests | Core status | Buffer status'</w:t>
            </w:r>
          </w:p>
        </w:tc>
      </w:tr>
      <w:tr>
        <w:tc>
          <w:tcPr>
            <w:tcW w:type="dxa" w:w="10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LINE 3</w:t>
            </w:r>
          </w:p>
        </w:tc>
        <w:tc>
          <w:tcPr>
            <w:tcW w:type="dxa" w:w="944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'Portfolio XIRR: [X%] | Zone: [TARGET/HEALTHY] | Data freshness: confirmed within 7 trading days.'</w:t>
            </w:r>
          </w:p>
        </w:tc>
      </w:tr>
      <w:tr>
        <w:tc>
          <w:tcPr>
            <w:tcW w:type="dxa" w:w="10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LINE 4</w:t>
            </w:r>
          </w:p>
        </w:tc>
        <w:tc>
          <w:tcPr>
            <w:tcW w:type="dxa" w:w="944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'Next scheduled review: [Date]. No early review required.'</w:t>
            </w:r>
          </w:p>
        </w:tc>
      </w:tr>
      <w:tr>
        <w:tc>
          <w:tcPr>
            <w:tcW w:type="dxa" w:w="10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LINE 5</w:t>
            </w:r>
          </w:p>
        </w:tc>
        <w:tc>
          <w:tcPr>
            <w:tcW w:type="dxa" w:w="944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'All 8 SIPs continue unchanged. No fund additions, removals, or SIP amount changes are recommended.'</w:t>
            </w:r>
          </w:p>
        </w:tc>
      </w:tr>
    </w:tbl>
    <w:p>
      <w:pPr>
        <w:spacing w:after="55" w:before="55"/>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1F4E79" w:sz="4"/>
              <w:left w:val="single" w:color="1F4E79" w:sz="4"/>
              <w:bottom w:val="single" w:color="1F4E79" w:sz="4"/>
              <w:right w:val="single" w:color="1F4E79" w:sz="4"/>
            </w:tcBorders>
            <w:shd w:fill="FCE4D6" w:val="clear"/>
            <w:tcMar>
              <w:top w:type="dxa" w:w="75"/>
              <w:left w:type="dxa" w:w="140"/>
              <w:bottom w:type="dxa" w:w="75"/>
              <w:right w:type="dxa" w:w="140"/>
            </w:tcMar>
          </w:tcPr>
          <w:p>
            <w:r>
              <w:rPr>
                <w:rFonts w:ascii="Arial" w:cs="Arial" w:eastAsia="Arial" w:hAnsi="Arial"/>
                <w:color w:val="000000"/>
                <w:sz w:val="17"/>
                <w:szCs w:val="17"/>
              </w:rPr>
              <w:t xml:space="preserve">CRITICAL RULES:
• Do NOT add commentary, 'areas to watch', or 'minor improvements' beyond the 5 lines above. If it does not trigger a rule, it does not belong in a NO ACTION output.
• Do NOT declare NO ACTION if ANY condition (a–i) is uncertain. Flag the uncertainty and defer that check.
• PARTIAL NO ACTION: if one check is deferred (stale data), declare NO ACTION for all confirmed checks and flag the deferred item with a re-confirm date. A deferral is NOT a trigger.
• A NO ACTION declaration is a complete, professional output — not a failure to find something.</w:t>
            </w:r>
          </w:p>
        </w:tc>
      </w:tr>
    </w:tbl>
    <w:p>
      <w:pPr>
        <w:spacing w:after="55" w:before="55"/>
      </w:pPr>
    </w:p>
    <w:p>
      <w:pPr>
        <w:pStyle w:val="Heading1"/>
        <w:shd w:fill="1F4E79" w:val="clear"/>
        <w:spacing w:after="100" w:before="240"/>
        <w:ind w:left="150"/>
      </w:pPr>
      <w:r>
        <w:rPr>
          <w:rFonts w:ascii="Arial" w:cs="Arial" w:eastAsia="Arial" w:hAnsi="Arial"/>
          <w:b/>
          <w:bCs/>
          <w:color w:val="FFFFFF"/>
          <w:sz w:val="24"/>
          <w:szCs w:val="24"/>
        </w:rPr>
        <w:t xml:space="preserve">5. Fund Screening Criteria</w:t>
      </w:r>
    </w:p>
    <w:p>
      <w:pPr>
        <w:pStyle w:val="Heading2"/>
        <w:pBdr>
          <w:bottom w:val="single" w:color="BDD7EE" w:sz="6"/>
        </w:pBdr>
        <w:spacing w:after="65" w:before="160"/>
      </w:pPr>
      <w:r>
        <w:rPr>
          <w:rFonts w:ascii="Arial" w:cs="Arial" w:eastAsia="Arial" w:hAnsi="Arial"/>
          <w:b/>
          <w:bCs/>
          <w:color w:val="1F4E79"/>
          <w:sz w:val="21"/>
          <w:szCs w:val="21"/>
        </w:rPr>
        <w:t xml:space="preserve">5.1 Hard Rejection Rules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500"/>
        <w:gridCol w:w="2400"/>
        <w:gridCol w:w="2900"/>
        <w:gridCol w:w="2640"/>
      </w:tblGrid>
      <w:tr>
        <w:trPr>
          <w:tblHeader/>
        </w:trPr>
        <w:tc>
          <w:tcPr>
            <w:tcW w:type="dxa" w:w="25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Rule</w:t>
            </w:r>
          </w:p>
        </w:tc>
        <w:tc>
          <w:tcPr>
            <w:tcW w:type="dxa" w:w="24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All Regimes</w:t>
            </w:r>
          </w:p>
        </w:tc>
        <w:tc>
          <w:tcPr>
            <w:tcW w:type="dxa" w:w="29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Bull / Flat</w:t>
            </w:r>
          </w:p>
        </w:tc>
        <w:tc>
          <w:tcPr>
            <w:tcW w:type="dxa" w:w="264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Bear</w:t>
            </w:r>
          </w:p>
        </w:tc>
      </w:tr>
      <w:tr>
        <w:tc>
          <w:tcPr>
            <w:tcW w:type="dxa" w:w="25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AUM below minimum</w:t>
            </w:r>
          </w:p>
        </w:tc>
        <w:tc>
          <w:tcPr>
            <w:tcW w:type="dxa" w:w="24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REJECT</w:t>
            </w:r>
          </w:p>
        </w:tc>
        <w:tc>
          <w:tcPr>
            <w:tcW w:type="dxa" w:w="29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w:t>
            </w:r>
          </w:p>
        </w:tc>
        <w:tc>
          <w:tcPr>
            <w:tcW w:type="dxa" w:w="264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w:t>
            </w:r>
          </w:p>
        </w:tc>
      </w:tr>
      <w:tr>
        <w:tc>
          <w:tcPr>
            <w:tcW w:type="dxa" w:w="25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3Y+ consecutive benchmark underperformance</w:t>
            </w:r>
          </w:p>
        </w:tc>
        <w:tc>
          <w:tcPr>
            <w:tcW w:type="dxa" w:w="24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REJECT</w:t>
            </w:r>
          </w:p>
        </w:tc>
        <w:tc>
          <w:tcPr>
            <w:tcW w:type="dxa" w:w="29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w:t>
            </w:r>
          </w:p>
        </w:tc>
        <w:tc>
          <w:tcPr>
            <w:tcW w:type="dxa" w:w="264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w:t>
            </w:r>
          </w:p>
        </w:tc>
      </w:tr>
      <w:tr>
        <w:tc>
          <w:tcPr>
            <w:tcW w:type="dxa" w:w="25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Manager change &lt; 6M, no track record</w:t>
            </w:r>
          </w:p>
        </w:tc>
        <w:tc>
          <w:tcPr>
            <w:tcW w:type="dxa" w:w="24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IMMEDIATE REVIEW</w:t>
            </w:r>
          </w:p>
        </w:tc>
        <w:tc>
          <w:tcPr>
            <w:tcW w:type="dxa" w:w="29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w:t>
            </w:r>
          </w:p>
        </w:tc>
        <w:tc>
          <w:tcPr>
            <w:tcW w:type="dxa" w:w="264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w:t>
            </w:r>
          </w:p>
        </w:tc>
      </w:tr>
      <w:tr>
        <w:tc>
          <w:tcPr>
            <w:tcW w:type="dxa" w:w="25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Sharpe Ratio &lt; 1.0 (3Y annualised)</w:t>
            </w:r>
          </w:p>
        </w:tc>
        <w:tc>
          <w:tcPr>
            <w:tcW w:type="dxa" w:w="24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w:t>
            </w:r>
          </w:p>
        </w:tc>
        <w:tc>
          <w:tcPr>
            <w:tcW w:type="dxa" w:w="29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REJECT (suspend 1Y in Flat)</w:t>
            </w:r>
          </w:p>
        </w:tc>
        <w:tc>
          <w:tcPr>
            <w:tcW w:type="dxa" w:w="264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SUSPENDED</w:t>
            </w:r>
          </w:p>
        </w:tc>
      </w:tr>
      <w:tr>
        <w:tc>
          <w:tcPr>
            <w:tcW w:type="dxa" w:w="25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Sortino Ratio &lt; 1.2</w:t>
            </w:r>
          </w:p>
        </w:tc>
        <w:tc>
          <w:tcPr>
            <w:tcW w:type="dxa" w:w="24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w:t>
            </w:r>
          </w:p>
        </w:tc>
        <w:tc>
          <w:tcPr>
            <w:tcW w:type="dxa" w:w="29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REJECT</w:t>
            </w:r>
          </w:p>
        </w:tc>
        <w:tc>
          <w:tcPr>
            <w:tcW w:type="dxa" w:w="264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SUSPENDED</w:t>
            </w:r>
          </w:p>
        </w:tc>
      </w:tr>
      <w:tr>
        <w:tc>
          <w:tcPr>
            <w:tcW w:type="dxa" w:w="25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Information Ratio &lt; 0.5</w:t>
            </w:r>
          </w:p>
        </w:tc>
        <w:tc>
          <w:tcPr>
            <w:tcW w:type="dxa" w:w="24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w:t>
            </w:r>
          </w:p>
        </w:tc>
        <w:tc>
          <w:tcPr>
            <w:tcW w:type="dxa" w:w="29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REJECT</w:t>
            </w:r>
          </w:p>
        </w:tc>
        <w:tc>
          <w:tcPr>
            <w:tcW w:type="dxa" w:w="264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SUSPENDED</w:t>
            </w:r>
          </w:p>
        </w:tc>
      </w:tr>
      <w:tr>
        <w:tc>
          <w:tcPr>
            <w:tcW w:type="dxa" w:w="25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Beta &gt; 1.3</w:t>
            </w:r>
          </w:p>
        </w:tc>
        <w:tc>
          <w:tcPr>
            <w:tcW w:type="dxa" w:w="24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w:t>
            </w:r>
          </w:p>
        </w:tc>
        <w:tc>
          <w:tcPr>
            <w:tcW w:type="dxa" w:w="29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REJECT</w:t>
            </w:r>
          </w:p>
        </w:tc>
        <w:tc>
          <w:tcPr>
            <w:tcW w:type="dxa" w:w="264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SUSPENDED</w:t>
            </w:r>
          </w:p>
        </w:tc>
      </w:tr>
      <w:tr>
        <w:tc>
          <w:tcPr>
            <w:tcW w:type="dxa" w:w="25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Negative Down-Market Alpha</w:t>
            </w:r>
          </w:p>
        </w:tc>
        <w:tc>
          <w:tcPr>
            <w:tcW w:type="dxa" w:w="24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w:t>
            </w:r>
          </w:p>
        </w:tc>
        <w:tc>
          <w:tcPr>
            <w:tcW w:type="dxa" w:w="29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REJECT</w:t>
            </w:r>
          </w:p>
        </w:tc>
        <w:tc>
          <w:tcPr>
            <w:tcW w:type="dxa" w:w="264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SUSPENDED</w:t>
            </w:r>
          </w:p>
        </w:tc>
      </w:tr>
      <w:tr>
        <w:tc>
          <w:tcPr>
            <w:tcW w:type="dxa" w:w="25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Correlation &gt; 0.90 in cluster</w:t>
            </w:r>
          </w:p>
        </w:tc>
        <w:tc>
          <w:tcPr>
            <w:tcW w:type="dxa" w:w="24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w:t>
            </w:r>
          </w:p>
        </w:tc>
        <w:tc>
          <w:tcPr>
            <w:tcW w:type="dxa" w:w="29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FLAG</w:t>
            </w:r>
          </w:p>
        </w:tc>
        <w:tc>
          <w:tcPr>
            <w:tcW w:type="dxa" w:w="264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SUSPENDED</w:t>
            </w:r>
          </w:p>
        </w:tc>
      </w:tr>
    </w:tbl>
    <w:p>
      <w:pPr>
        <w:spacing w:after="55" w:before="55"/>
      </w:pPr>
    </w:p>
    <w:p>
      <w:pPr>
        <w:pStyle w:val="Heading2"/>
        <w:pBdr>
          <w:bottom w:val="single" w:color="BDD7EE" w:sz="6"/>
        </w:pBdr>
        <w:spacing w:after="65" w:before="160"/>
      </w:pPr>
      <w:r>
        <w:rPr>
          <w:rFonts w:ascii="Arial" w:cs="Arial" w:eastAsia="Arial" w:hAnsi="Arial"/>
          <w:b/>
          <w:bCs/>
          <w:color w:val="1F4E79"/>
          <w:sz w:val="21"/>
          <w:szCs w:val="21"/>
        </w:rPr>
        <w:t xml:space="preserve">5.2 Top Quartile Definition (Complete)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1F4E79" w:sz="4"/>
              <w:left w:val="single" w:color="1F4E79" w:sz="4"/>
              <w:bottom w:val="single" w:color="1F4E79" w:sz="4"/>
              <w:right w:val="single" w:color="1F4E79" w:sz="4"/>
            </w:tcBorders>
            <w:shd w:fill="E2EFDA" w:val="clear"/>
            <w:tcMar>
              <w:top w:type="dxa" w:w="75"/>
              <w:left w:type="dxa" w:w="140"/>
              <w:bottom w:type="dxa" w:w="75"/>
              <w:right w:type="dxa" w:w="140"/>
            </w:tcMar>
          </w:tcPr>
          <w:p>
            <w:r>
              <w:rPr>
                <w:rFonts w:ascii="Arial" w:cs="Arial" w:eastAsia="Arial" w:hAnsi="Arial"/>
                <w:color w:val="000000"/>
                <w:sz w:val="17"/>
                <w:szCs w:val="17"/>
              </w:rPr>
              <w:t xml:space="preserve">STANDARD (fund age &gt;= 3 years):
Top 25th percentile by 3Y ROLLING CALENDAR-YEAR returns within DIRECT plan category peer group.
Dataset version: 3Y rolling calendar-year (Jan–Dec full years) — NOT trailing 1Y or arbitrary 3Y window.
Universe: Direct Plans ONLY. Regular Plans excluded (return gap ~0.5–1.0% from distributor commission).
Source: Value Research with 'Direct' filter active, or INDmoney with Direct plan view confirmed.
FUND AGE &lt; 3 YEARS (incomplete history rule):
(a) Use inception-to-date (ITD) percentile within Direct plan peer group for the same period.
(b) Minimum viable: 1 year. Below 1 year → no top quartile evaluation possible.
(c) Flag ALL output: 'INCOMPLETE HISTORY — ITD PERCENTILE USED. 3Y RANK UNAVAILABLE.'
(d) Do NOT treat ITD top-quartile as equivalent to 3Y. Apply +0.5% Alpha penalty in Delta 1.
(e) Recheck every review until 3Y history available.</w:t>
            </w:r>
          </w:p>
        </w:tc>
      </w:tr>
    </w:tbl>
    <w:p>
      <w:pPr>
        <w:spacing w:after="55" w:before="55"/>
      </w:pPr>
    </w:p>
    <w:p>
      <w:pPr>
        <w:pStyle w:val="Heading2"/>
        <w:pBdr>
          <w:bottom w:val="single" w:color="BDD7EE" w:sz="6"/>
        </w:pBdr>
        <w:spacing w:after="65" w:before="160"/>
      </w:pPr>
      <w:r>
        <w:rPr>
          <w:rFonts w:ascii="Arial" w:cs="Arial" w:eastAsia="Arial" w:hAnsi="Arial"/>
          <w:b/>
          <w:bCs/>
          <w:color w:val="1F4E79"/>
          <w:sz w:val="21"/>
          <w:szCs w:val="21"/>
        </w:rPr>
        <w:t xml:space="preserve">5.3 Quantitative Targets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000"/>
        <w:gridCol w:w="2100"/>
        <w:gridCol w:w="1800"/>
        <w:gridCol w:w="4540"/>
      </w:tblGrid>
      <w:tr>
        <w:trPr>
          <w:tblHeader/>
        </w:trPr>
        <w:tc>
          <w:tcPr>
            <w:tcW w:type="dxa" w:w="20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Metric</w:t>
            </w:r>
          </w:p>
        </w:tc>
        <w:tc>
          <w:tcPr>
            <w:tcW w:type="dxa" w:w="21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Target</w:t>
            </w:r>
          </w:p>
        </w:tc>
        <w:tc>
          <w:tcPr>
            <w:tcW w:type="dxa" w:w="18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Reject If</w:t>
            </w:r>
          </w:p>
        </w:tc>
        <w:tc>
          <w:tcPr>
            <w:tcW w:type="dxa" w:w="454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Notes</w:t>
            </w:r>
          </w:p>
        </w:tc>
      </w:tr>
      <w:tr>
        <w:tc>
          <w:tcPr>
            <w:tcW w:type="dxa" w:w="20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Alpha</w:t>
            </w:r>
          </w:p>
        </w:tc>
        <w:tc>
          <w:tcPr>
            <w:tcW w:type="dxa" w:w="21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6–15 (3Y annualised)</w:t>
            </w:r>
          </w:p>
        </w:tc>
        <w:tc>
          <w:tcPr>
            <w:tcW w:type="dxa" w:w="18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&lt; 0</w:t>
            </w:r>
          </w:p>
        </w:tc>
        <w:tc>
          <w:tcPr>
            <w:tcW w:type="dxa" w:w="454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Consistent 1Y/3Y/5Y</w:t>
            </w:r>
          </w:p>
        </w:tc>
      </w:tr>
      <w:tr>
        <w:tc>
          <w:tcPr>
            <w:tcW w:type="dxa" w:w="20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Sharpe Ratio</w:t>
            </w:r>
          </w:p>
        </w:tc>
        <w:tc>
          <w:tcPr>
            <w:tcW w:type="dxa" w:w="21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&gt; 1.0 (3Y)</w:t>
            </w:r>
          </w:p>
        </w:tc>
        <w:tc>
          <w:tcPr>
            <w:tcW w:type="dxa" w:w="18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&lt; 1.0</w:t>
            </w:r>
          </w:p>
        </w:tc>
        <w:tc>
          <w:tcPr>
            <w:tcW w:type="dxa" w:w="454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3Y preferred; suspend 1Y in Flat/Bear</w:t>
            </w:r>
          </w:p>
        </w:tc>
      </w:tr>
      <w:tr>
        <w:tc>
          <w:tcPr>
            <w:tcW w:type="dxa" w:w="20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Sortino Ratio</w:t>
            </w:r>
          </w:p>
        </w:tc>
        <w:tc>
          <w:tcPr>
            <w:tcW w:type="dxa" w:w="21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&gt; 1.2 (3Y)</w:t>
            </w:r>
          </w:p>
        </w:tc>
        <w:tc>
          <w:tcPr>
            <w:tcW w:type="dxa" w:w="18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&lt; 1.2</w:t>
            </w:r>
          </w:p>
        </w:tc>
        <w:tc>
          <w:tcPr>
            <w:tcW w:type="dxa" w:w="454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Better downside measure</w:t>
            </w:r>
          </w:p>
        </w:tc>
      </w:tr>
      <w:tr>
        <w:tc>
          <w:tcPr>
            <w:tcW w:type="dxa" w:w="20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Beta</w:t>
            </w:r>
          </w:p>
        </w:tc>
        <w:tc>
          <w:tcPr>
            <w:tcW w:type="dxa" w:w="21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0.9–1.2</w:t>
            </w:r>
          </w:p>
        </w:tc>
        <w:tc>
          <w:tcPr>
            <w:tcW w:type="dxa" w:w="18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If &gt; 1.3</w:t>
            </w:r>
          </w:p>
        </w:tc>
        <w:tc>
          <w:tcPr>
            <w:tcW w:type="dxa" w:w="454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Avoid excessive amplification</w:t>
            </w:r>
          </w:p>
        </w:tc>
      </w:tr>
      <w:tr>
        <w:tc>
          <w:tcPr>
            <w:tcW w:type="dxa" w:w="20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Information Ratio</w:t>
            </w:r>
          </w:p>
        </w:tc>
        <w:tc>
          <w:tcPr>
            <w:tcW w:type="dxa" w:w="21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&gt; 0.5 (prefer &gt; 0.75)</w:t>
            </w:r>
          </w:p>
        </w:tc>
        <w:tc>
          <w:tcPr>
            <w:tcW w:type="dxa" w:w="18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&lt; 0.5 (3Y)</w:t>
            </w:r>
          </w:p>
        </w:tc>
        <w:tc>
          <w:tcPr>
            <w:tcW w:type="dxa" w:w="454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Consistency of excess return</w:t>
            </w:r>
          </w:p>
        </w:tc>
      </w:tr>
      <w:tr>
        <w:tc>
          <w:tcPr>
            <w:tcW w:type="dxa" w:w="20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Down-Market Alpha</w:t>
            </w:r>
          </w:p>
        </w:tc>
        <w:tc>
          <w:tcPr>
            <w:tcW w:type="dxa" w:w="21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Must be positive</w:t>
            </w:r>
          </w:p>
        </w:tc>
        <w:tc>
          <w:tcPr>
            <w:tcW w:type="dxa" w:w="18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Negative</w:t>
            </w:r>
          </w:p>
        </w:tc>
        <w:tc>
          <w:tcPr>
            <w:tcW w:type="dxa" w:w="454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Resilience in corrections</w:t>
            </w:r>
          </w:p>
        </w:tc>
      </w:tr>
      <w:tr>
        <w:tc>
          <w:tcPr>
            <w:tcW w:type="dxa" w:w="20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Rolling Returns</w:t>
            </w:r>
          </w:p>
        </w:tc>
        <w:tc>
          <w:tcPr>
            <w:tcW w:type="dxa" w:w="21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Beat benchmark 70%+</w:t>
            </w:r>
          </w:p>
        </w:tc>
        <w:tc>
          <w:tcPr>
            <w:tcW w:type="dxa" w:w="18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&lt; 50% of periods</w:t>
            </w:r>
          </w:p>
        </w:tc>
        <w:tc>
          <w:tcPr>
            <w:tcW w:type="dxa" w:w="454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3Y/5Y rolling window</w:t>
            </w:r>
          </w:p>
        </w:tc>
      </w:tr>
      <w:tr>
        <w:tc>
          <w:tcPr>
            <w:tcW w:type="dxa" w:w="20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Correlation</w:t>
            </w:r>
          </w:p>
        </w:tc>
        <w:tc>
          <w:tcPr>
            <w:tcW w:type="dxa" w:w="21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&lt; 0.80 preferred</w:t>
            </w:r>
          </w:p>
        </w:tc>
        <w:tc>
          <w:tcPr>
            <w:tcW w:type="dxa" w:w="18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If &gt; 0.90 in cluster</w:t>
            </w:r>
          </w:p>
        </w:tc>
        <w:tc>
          <w:tcPr>
            <w:tcW w:type="dxa" w:w="454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See Section 6.4 for method</w:t>
            </w:r>
          </w:p>
        </w:tc>
      </w:tr>
    </w:tbl>
    <w:p>
      <w:pPr>
        <w:spacing w:after="55" w:before="55"/>
      </w:pPr>
    </w:p>
    <w:p>
      <w:pPr>
        <w:pStyle w:val="Heading2"/>
        <w:pBdr>
          <w:bottom w:val="single" w:color="BDD7EE" w:sz="6"/>
        </w:pBdr>
        <w:spacing w:after="65" w:before="160"/>
      </w:pPr>
      <w:r>
        <w:rPr>
          <w:rFonts w:ascii="Arial" w:cs="Arial" w:eastAsia="Arial" w:hAnsi="Arial"/>
          <w:b/>
          <w:bCs/>
          <w:color w:val="1F4E79"/>
          <w:sz w:val="21"/>
          <w:szCs w:val="21"/>
        </w:rPr>
        <w:t xml:space="preserve">5.4 AUM &amp; ER Thresholds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500"/>
        <w:gridCol w:w="2940"/>
      </w:tblGrid>
      <w:tr>
        <w:trPr>
          <w:tblHeader/>
        </w:trPr>
        <w:tc>
          <w:tcPr>
            <w:tcW w:type="dxa" w:w="28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Category</w:t>
            </w:r>
          </w:p>
        </w:tc>
        <w:tc>
          <w:tcPr>
            <w:tcW w:type="dxa" w:w="22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Min AUM</w:t>
            </w:r>
          </w:p>
        </w:tc>
        <w:tc>
          <w:tcPr>
            <w:tcW w:type="dxa" w:w="25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Preferred ER</w:t>
            </w:r>
          </w:p>
        </w:tc>
        <w:tc>
          <w:tcPr>
            <w:tcW w:type="dxa" w:w="294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Max ER</w:t>
            </w:r>
          </w:p>
        </w:tc>
      </w:tr>
      <w:tr>
        <w:tc>
          <w:tcPr>
            <w:tcW w:type="dxa" w:w="28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Large Cap / Flexi Cap</w:t>
            </w:r>
          </w:p>
        </w:tc>
        <w:tc>
          <w:tcPr>
            <w:tcW w:type="dxa" w:w="22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Rs 5,000 Cr</w:t>
            </w:r>
          </w:p>
        </w:tc>
        <w:tc>
          <w:tcPr>
            <w:tcW w:type="dxa" w:w="25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&lt; 0.80%</w:t>
            </w:r>
          </w:p>
        </w:tc>
        <w:tc>
          <w:tcPr>
            <w:tcW w:type="dxa" w:w="294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&lt; 1.0%</w:t>
            </w:r>
          </w:p>
        </w:tc>
      </w:tr>
      <w:tr>
        <w:tc>
          <w:tcPr>
            <w:tcW w:type="dxa" w:w="28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Mid Cap</w:t>
            </w:r>
          </w:p>
        </w:tc>
        <w:tc>
          <w:tcPr>
            <w:tcW w:type="dxa" w:w="22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Rs 3,000 Cr</w:t>
            </w:r>
          </w:p>
        </w:tc>
        <w:tc>
          <w:tcPr>
            <w:tcW w:type="dxa" w:w="25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&lt; 0.80%</w:t>
            </w:r>
          </w:p>
        </w:tc>
        <w:tc>
          <w:tcPr>
            <w:tcW w:type="dxa" w:w="294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&lt; 1.25%</w:t>
            </w:r>
          </w:p>
        </w:tc>
      </w:tr>
      <w:tr>
        <w:tc>
          <w:tcPr>
            <w:tcW w:type="dxa" w:w="28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Small Cap</w:t>
            </w:r>
          </w:p>
        </w:tc>
        <w:tc>
          <w:tcPr>
            <w:tcW w:type="dxa" w:w="22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Rs 2,000 Cr</w:t>
            </w:r>
          </w:p>
        </w:tc>
        <w:tc>
          <w:tcPr>
            <w:tcW w:type="dxa" w:w="25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&lt; 0.80%</w:t>
            </w:r>
          </w:p>
        </w:tc>
        <w:tc>
          <w:tcPr>
            <w:tcW w:type="dxa" w:w="294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&lt; 1.25%</w:t>
            </w:r>
          </w:p>
        </w:tc>
      </w:tr>
      <w:tr>
        <w:tc>
          <w:tcPr>
            <w:tcW w:type="dxa" w:w="28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Thematic / Sector</w:t>
            </w:r>
          </w:p>
        </w:tc>
        <w:tc>
          <w:tcPr>
            <w:tcW w:type="dxa" w:w="22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Rs 1,000 Cr</w:t>
            </w:r>
          </w:p>
        </w:tc>
        <w:tc>
          <w:tcPr>
            <w:tcW w:type="dxa" w:w="25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&lt; 1.0%</w:t>
            </w:r>
          </w:p>
        </w:tc>
        <w:tc>
          <w:tcPr>
            <w:tcW w:type="dxa" w:w="294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&lt; 1.25%</w:t>
            </w:r>
          </w:p>
        </w:tc>
      </w:tr>
      <w:tr>
        <w:tc>
          <w:tcPr>
            <w:tcW w:type="dxa" w:w="28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International FoF</w:t>
            </w:r>
          </w:p>
        </w:tc>
        <w:tc>
          <w:tcPr>
            <w:tcW w:type="dxa" w:w="22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Rs 1,000 Cr (if open)</w:t>
            </w:r>
          </w:p>
        </w:tc>
        <w:tc>
          <w:tcPr>
            <w:tcW w:type="dxa" w:w="25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&lt; 0.35%</w:t>
            </w:r>
          </w:p>
        </w:tc>
        <w:tc>
          <w:tcPr>
            <w:tcW w:type="dxa" w:w="294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&lt; 0.50%</w:t>
            </w:r>
          </w:p>
        </w:tc>
      </w:tr>
    </w:tbl>
    <w:p>
      <w:pPr>
        <w:spacing w:after="55" w:before="55"/>
      </w:pPr>
    </w:p>
    <w:p>
      <w:pPr>
        <w:pStyle w:val="Heading2"/>
        <w:pBdr>
          <w:bottom w:val="single" w:color="BDD7EE" w:sz="6"/>
        </w:pBdr>
        <w:spacing w:after="65" w:before="160"/>
      </w:pPr>
      <w:r>
        <w:rPr>
          <w:rFonts w:ascii="Arial" w:cs="Arial" w:eastAsia="Arial" w:hAnsi="Arial"/>
          <w:b/>
          <w:bCs/>
          <w:color w:val="1F4E79"/>
          <w:sz w:val="21"/>
          <w:szCs w:val="21"/>
        </w:rPr>
        <w:t xml:space="preserve">5.5 Fund Manager Criteria</w:t>
      </w:r>
    </w:p>
    <w:p>
      <w:pPr>
        <w:spacing w:after="70" w:before="70"/>
      </w:pPr>
      <w:r>
        <w:rPr>
          <w:rFonts w:ascii="Arial" w:cs="Arial" w:eastAsia="Arial" w:hAnsi="Arial"/>
          <w:b w:val="false"/>
          <w:bCs w:val="false"/>
          <w:i w:val="false"/>
          <w:iCs w:val="false"/>
          <w:color w:val="000000"/>
          <w:sz w:val="17"/>
          <w:szCs w:val="17"/>
        </w:rPr>
        <w:t xml:space="preserve">Minimum tenure: 5 years with same fund. Avoid: &gt; 2 manager changes in 3 years. Extra weight: managers with verified bull + bear cycle track record.</w:t>
      </w:r>
    </w:p>
    <w:p>
      <w:pPr>
        <w:spacing w:after="55" w:before="55"/>
      </w:pPr>
    </w:p>
    <w:p>
      <w:pPr>
        <w:pStyle w:val="Heading2"/>
        <w:pBdr>
          <w:bottom w:val="single" w:color="BDD7EE" w:sz="6"/>
        </w:pBdr>
        <w:spacing w:after="65" w:before="160"/>
      </w:pPr>
      <w:r>
        <w:rPr>
          <w:rFonts w:ascii="Arial" w:cs="Arial" w:eastAsia="Arial" w:hAnsi="Arial"/>
          <w:b/>
          <w:bCs/>
          <w:color w:val="1F4E79"/>
          <w:sz w:val="21"/>
          <w:szCs w:val="21"/>
        </w:rPr>
        <w:t xml:space="preserve">5.6 Core Fund Two-Tier Warning System</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1F4E79" w:sz="4"/>
              <w:left w:val="single" w:color="1F4E79" w:sz="4"/>
              <w:bottom w:val="single" w:color="1F4E79" w:sz="4"/>
              <w:right w:val="single" w:color="1F4E79" w:sz="4"/>
            </w:tcBorders>
            <w:shd w:fill="FFF2CC" w:val="clear"/>
            <w:tcMar>
              <w:top w:type="dxa" w:w="75"/>
              <w:left w:type="dxa" w:w="140"/>
              <w:bottom w:type="dxa" w:w="75"/>
              <w:right w:type="dxa" w:w="140"/>
            </w:tcMar>
          </w:tcPr>
          <w:p>
            <w:r>
              <w:rPr>
                <w:rFonts w:ascii="Arial" w:cs="Arial" w:eastAsia="Arial" w:hAnsi="Arial"/>
                <w:color w:val="000000"/>
                <w:sz w:val="17"/>
                <w:szCs w:val="17"/>
              </w:rPr>
              <w:t xml:space="preserve">Core funds are protected against casual switching but NOT immune to structural decay.
THREE CONDITIONS TO MONITOR:
  A: Out of top quartile (Direct peers, 3Y rolling) — sustained, not a single dip
  B: Underperforms category benchmark on 3Y rolling for 18+ consecutive months
  C: Alpha &lt; 3.0 or negative for 2 consecutive review periods</w:t>
            </w:r>
          </w:p>
        </w:tc>
      </w:tr>
    </w:tbl>
    <w:p>
      <w:pPr>
        <w:spacing w:after="55" w:before="55"/>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2200"/>
        <w:gridCol w:w="4540"/>
      </w:tblGrid>
      <w:tr>
        <w:trPr>
          <w:tblHeader/>
        </w:trPr>
        <w:tc>
          <w:tcPr>
            <w:tcW w:type="dxa" w:w="12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Tier</w:t>
            </w:r>
          </w:p>
        </w:tc>
        <w:tc>
          <w:tcPr>
            <w:tcW w:type="dxa" w:w="25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Conditions Met</w:t>
            </w:r>
          </w:p>
        </w:tc>
        <w:tc>
          <w:tcPr>
            <w:tcW w:type="dxa" w:w="22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Status Label</w:t>
            </w:r>
          </w:p>
        </w:tc>
        <w:tc>
          <w:tcPr>
            <w:tcW w:type="dxa" w:w="454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Mandatory Action</w:t>
            </w:r>
          </w:p>
        </w:tc>
      </w:tr>
      <w:tr>
        <w:tc>
          <w:tcPr>
            <w:tcW w:type="dxa" w:w="12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TIER 0 — Normal</w:t>
            </w:r>
          </w:p>
        </w:tc>
        <w:tc>
          <w:tcPr>
            <w:tcW w:type="dxa" w:w="25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0 of 3</w:t>
            </w:r>
          </w:p>
        </w:tc>
        <w:tc>
          <w:tcPr>
            <w:tcW w:type="dxa" w:w="22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NORMAL</w:t>
            </w:r>
          </w:p>
        </w:tc>
        <w:tc>
          <w:tcPr>
            <w:tcW w:type="dxa" w:w="454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Standard review. No additional monitoring.</w:t>
            </w:r>
          </w:p>
        </w:tc>
      </w:tr>
      <w:tr>
        <w:tc>
          <w:tcPr>
            <w:tcW w:type="dxa" w:w="12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TIER 1 — Warning</w:t>
            </w:r>
          </w:p>
        </w:tc>
        <w:tc>
          <w:tcPr>
            <w:tcW w:type="dxa" w:w="25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2 of 3 (any combination)</w:t>
            </w:r>
          </w:p>
        </w:tc>
        <w:tc>
          <w:tcPr>
            <w:tcW w:type="dxa" w:w="22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AT RISK CORE</w:t>
            </w:r>
          </w:p>
        </w:tc>
        <w:tc>
          <w:tcPr>
            <w:tcW w:type="dxa" w:w="454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Flag in review. Run delta eval-only on top alternatives. No switch yet. Monitor at every review.</w:t>
            </w:r>
          </w:p>
        </w:tc>
      </w:tr>
      <w:tr>
        <w:tc>
          <w:tcPr>
            <w:tcW w:type="dxa" w:w="12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TIER 2 — Downgrade</w:t>
            </w:r>
          </w:p>
        </w:tc>
        <w:tc>
          <w:tcPr>
            <w:tcW w:type="dxa" w:w="25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ALL 3 of 3</w:t>
            </w:r>
          </w:p>
        </w:tc>
        <w:tc>
          <w:tcPr>
            <w:tcW w:type="dxa" w:w="22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DOWNGRADED TO SAT</w:t>
            </w:r>
          </w:p>
        </w:tc>
        <w:tc>
          <w:tcPr>
            <w:tcW w:type="dxa" w:w="454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Reclassify to Satellite. Apply full delta filter. Switch permitted if delta clears. Counts as 1 churn.</w:t>
            </w:r>
          </w:p>
        </w:tc>
      </w:tr>
    </w:tbl>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1F4E79" w:sz="4"/>
              <w:left w:val="single" w:color="1F4E79" w:sz="4"/>
              <w:bottom w:val="single" w:color="1F4E79" w:sz="4"/>
              <w:right w:val="single" w:color="1F4E79" w:sz="4"/>
            </w:tcBorders>
            <w:shd w:fill="E2EFDA" w:val="clear"/>
            <w:tcMar>
              <w:top w:type="dxa" w:w="75"/>
              <w:left w:type="dxa" w:w="140"/>
              <w:bottom w:type="dxa" w:w="75"/>
              <w:right w:type="dxa" w:w="140"/>
            </w:tcMar>
          </w:tcPr>
          <w:p>
            <w:r>
              <w:rPr>
                <w:rFonts w:ascii="Arial" w:cs="Arial" w:eastAsia="Arial" w:hAnsi="Arial"/>
                <w:color w:val="000000"/>
                <w:sz w:val="17"/>
                <w:szCs w:val="17"/>
              </w:rPr>
              <w:t xml:space="preserve">RESET RULE: If a condition clears at a subsequent review (e.g., fund re-enters top quartile), remove that flag. An AT RISK CORE fund reverts to NORMAL status if the triggering condition clears. Document all changes in Core Fund Warning Log.</w:t>
            </w:r>
          </w:p>
        </w:tc>
      </w:tr>
    </w:tbl>
    <w:p>
      <w:pPr>
        <w:spacing w:after="55" w:before="55"/>
      </w:pPr>
    </w:p>
    <w:p>
      <w:pPr>
        <w:pStyle w:val="Heading1"/>
        <w:shd w:fill="1F4E79" w:val="clear"/>
        <w:spacing w:after="100" w:before="240"/>
        <w:ind w:left="150"/>
      </w:pPr>
      <w:r>
        <w:rPr>
          <w:rFonts w:ascii="Arial" w:cs="Arial" w:eastAsia="Arial" w:hAnsi="Arial"/>
          <w:b/>
          <w:bCs/>
          <w:color w:val="FFFFFF"/>
          <w:sz w:val="24"/>
          <w:szCs w:val="24"/>
        </w:rPr>
        <w:t xml:space="preserve">6. Portfolio Integrity Rules</w:t>
      </w:r>
    </w:p>
    <w:p>
      <w:pPr>
        <w:pStyle w:val="Heading2"/>
        <w:pBdr>
          <w:bottom w:val="single" w:color="BDD7EE" w:sz="6"/>
        </w:pBdr>
        <w:spacing w:after="65" w:before="160"/>
      </w:pPr>
      <w:r>
        <w:rPr>
          <w:rFonts w:ascii="Arial" w:cs="Arial" w:eastAsia="Arial" w:hAnsi="Arial"/>
          <w:b/>
          <w:bCs/>
          <w:color w:val="1F4E79"/>
          <w:sz w:val="21"/>
          <w:szCs w:val="21"/>
        </w:rPr>
        <w:t xml:space="preserve">6.1 Allocation Drift Control</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1F4E79" w:sz="4"/>
              <w:left w:val="single" w:color="1F4E79" w:sz="4"/>
              <w:bottom w:val="single" w:color="1F4E79" w:sz="4"/>
              <w:right w:val="single" w:color="1F4E79" w:sz="4"/>
            </w:tcBorders>
            <w:shd w:fill="FFF2CC" w:val="clear"/>
            <w:tcMar>
              <w:top w:type="dxa" w:w="75"/>
              <w:left w:type="dxa" w:w="140"/>
              <w:bottom w:type="dxa" w:w="75"/>
              <w:right w:type="dxa" w:w="140"/>
            </w:tcMar>
          </w:tcPr>
          <w:p>
            <w:r>
              <w:rPr>
                <w:rFonts w:ascii="Arial" w:cs="Arial" w:eastAsia="Arial" w:hAnsi="Arial"/>
                <w:color w:val="000000"/>
                <w:sz w:val="17"/>
                <w:szCs w:val="17"/>
              </w:rPr>
              <w:t xml:space="preserve">Drift &gt; ±5% = SIP rebalance only. NEVER redeem units. NEVER confuse drift with a fund change trigger.</w:t>
            </w:r>
          </w:p>
        </w:tc>
      </w:tr>
    </w:tbl>
    <w:p>
      <w:pPr>
        <w:spacing w:after="55" w:before="55"/>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700"/>
        <w:gridCol w:w="1700"/>
        <w:gridCol w:w="4240"/>
      </w:tblGrid>
      <w:tr>
        <w:trPr>
          <w:tblHeader/>
        </w:trPr>
        <w:tc>
          <w:tcPr>
            <w:tcW w:type="dxa" w:w="16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Category</w:t>
            </w:r>
          </w:p>
        </w:tc>
        <w:tc>
          <w:tcPr>
            <w:tcW w:type="dxa" w:w="12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Target</w:t>
            </w:r>
          </w:p>
        </w:tc>
        <w:tc>
          <w:tcPr>
            <w:tcW w:type="dxa" w:w="17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Trigger: Too Low</w:t>
            </w:r>
          </w:p>
        </w:tc>
        <w:tc>
          <w:tcPr>
            <w:tcW w:type="dxa" w:w="17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Trigger: Too High</w:t>
            </w:r>
          </w:p>
        </w:tc>
        <w:tc>
          <w:tcPr>
            <w:tcW w:type="dxa" w:w="424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SIP Action</w:t>
            </w:r>
          </w:p>
        </w:tc>
      </w:tr>
      <w:tr>
        <w:tc>
          <w:tcPr>
            <w:tcW w:type="dxa" w:w="16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Small Cap</w:t>
            </w:r>
          </w:p>
        </w:tc>
        <w:tc>
          <w:tcPr>
            <w:tcW w:type="dxa" w:w="12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26%</w:t>
            </w:r>
          </w:p>
        </w:tc>
        <w:tc>
          <w:tcPr>
            <w:tcW w:type="dxa" w:w="17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&lt; 21%</w:t>
            </w:r>
          </w:p>
        </w:tc>
        <w:tc>
          <w:tcPr>
            <w:tcW w:type="dxa" w:w="17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&gt; 31%</w:t>
            </w:r>
          </w:p>
        </w:tc>
        <w:tc>
          <w:tcPr>
            <w:tcW w:type="dxa" w:w="424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Increase/decrease SIP amount to this category</w:t>
            </w:r>
          </w:p>
        </w:tc>
      </w:tr>
      <w:tr>
        <w:tc>
          <w:tcPr>
            <w:tcW w:type="dxa" w:w="16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Mid Cap</w:t>
            </w:r>
          </w:p>
        </w:tc>
        <w:tc>
          <w:tcPr>
            <w:tcW w:type="dxa" w:w="12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24%</w:t>
            </w:r>
          </w:p>
        </w:tc>
        <w:tc>
          <w:tcPr>
            <w:tcW w:type="dxa" w:w="17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&lt; 19%</w:t>
            </w:r>
          </w:p>
        </w:tc>
        <w:tc>
          <w:tcPr>
            <w:tcW w:type="dxa" w:w="17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&gt; 29%</w:t>
            </w:r>
          </w:p>
        </w:tc>
        <w:tc>
          <w:tcPr>
            <w:tcW w:type="dxa" w:w="424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Increase/decrease SIP amount</w:t>
            </w:r>
          </w:p>
        </w:tc>
      </w:tr>
      <w:tr>
        <w:tc>
          <w:tcPr>
            <w:tcW w:type="dxa" w:w="16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Large Cap</w:t>
            </w:r>
          </w:p>
        </w:tc>
        <w:tc>
          <w:tcPr>
            <w:tcW w:type="dxa" w:w="12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14%</w:t>
            </w:r>
          </w:p>
        </w:tc>
        <w:tc>
          <w:tcPr>
            <w:tcW w:type="dxa" w:w="17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&lt; 9%</w:t>
            </w:r>
          </w:p>
        </w:tc>
        <w:tc>
          <w:tcPr>
            <w:tcW w:type="dxa" w:w="17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&gt; 19%</w:t>
            </w:r>
          </w:p>
        </w:tc>
        <w:tc>
          <w:tcPr>
            <w:tcW w:type="dxa" w:w="424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Increase/decrease SIP amount</w:t>
            </w:r>
          </w:p>
        </w:tc>
      </w:tr>
      <w:tr>
        <w:tc>
          <w:tcPr>
            <w:tcW w:type="dxa" w:w="16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Flexi Cap</w:t>
            </w:r>
          </w:p>
        </w:tc>
        <w:tc>
          <w:tcPr>
            <w:tcW w:type="dxa" w:w="12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26%</w:t>
            </w:r>
          </w:p>
        </w:tc>
        <w:tc>
          <w:tcPr>
            <w:tcW w:type="dxa" w:w="17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&lt; 21%</w:t>
            </w:r>
          </w:p>
        </w:tc>
        <w:tc>
          <w:tcPr>
            <w:tcW w:type="dxa" w:w="17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&gt; 31%</w:t>
            </w:r>
          </w:p>
        </w:tc>
        <w:tc>
          <w:tcPr>
            <w:tcW w:type="dxa" w:w="424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Increase/decrease SIP amount</w:t>
            </w:r>
          </w:p>
        </w:tc>
      </w:tr>
      <w:tr>
        <w:tc>
          <w:tcPr>
            <w:tcW w:type="dxa" w:w="16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Thematic</w:t>
            </w:r>
          </w:p>
        </w:tc>
        <w:tc>
          <w:tcPr>
            <w:tcW w:type="dxa" w:w="12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10%</w:t>
            </w:r>
          </w:p>
        </w:tc>
        <w:tc>
          <w:tcPr>
            <w:tcW w:type="dxa" w:w="17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&lt; 5%</w:t>
            </w:r>
          </w:p>
        </w:tc>
        <w:tc>
          <w:tcPr>
            <w:tcW w:type="dxa" w:w="17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&gt; 15%</w:t>
            </w:r>
          </w:p>
        </w:tc>
        <w:tc>
          <w:tcPr>
            <w:tcW w:type="dxa" w:w="424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Increase/decrease SIP amount</w:t>
            </w:r>
          </w:p>
        </w:tc>
      </w:tr>
    </w:tbl>
    <w:p>
      <w:pPr>
        <w:spacing w:after="55" w:before="55"/>
      </w:pPr>
    </w:p>
    <w:p>
      <w:pPr>
        <w:pStyle w:val="Heading2"/>
        <w:pBdr>
          <w:bottom w:val="single" w:color="BDD7EE" w:sz="6"/>
        </w:pBdr>
        <w:spacing w:after="65" w:before="160"/>
      </w:pPr>
      <w:r>
        <w:rPr>
          <w:rFonts w:ascii="Arial" w:cs="Arial" w:eastAsia="Arial" w:hAnsi="Arial"/>
          <w:b/>
          <w:bCs/>
          <w:color w:val="1F4E79"/>
          <w:sz w:val="21"/>
          <w:szCs w:val="21"/>
        </w:rPr>
        <w:t xml:space="preserve">6.2 Maximum Churn Limit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2600"/>
        <w:gridCol w:w="3640"/>
      </w:tblGrid>
      <w:tr>
        <w:trPr>
          <w:tblHeader/>
        </w:trPr>
        <w:tc>
          <w:tcPr>
            <w:tcW w:type="dxa" w:w="10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Priority</w:t>
            </w:r>
          </w:p>
        </w:tc>
        <w:tc>
          <w:tcPr>
            <w:tcW w:type="dxa" w:w="32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Type</w:t>
            </w:r>
          </w:p>
        </w:tc>
        <w:tc>
          <w:tcPr>
            <w:tcW w:type="dxa" w:w="26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Timing</w:t>
            </w:r>
          </w:p>
        </w:tc>
        <w:tc>
          <w:tcPr>
            <w:tcW w:type="dxa" w:w="364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Rule</w:t>
            </w:r>
          </w:p>
        </w:tc>
      </w:tr>
      <w:tr>
        <w:tc>
          <w:tcPr>
            <w:tcW w:type="dxa" w:w="10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1 (Highest)</w:t>
            </w:r>
          </w:p>
        </w:tc>
        <w:tc>
          <w:tcPr>
            <w:tcW w:type="dxa" w:w="32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Immediate triggers: T1/T2/T3</w:t>
            </w:r>
          </w:p>
        </w:tc>
        <w:tc>
          <w:tcPr>
            <w:tcW w:type="dxa" w:w="26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Execute first, any regime</w:t>
            </w:r>
          </w:p>
        </w:tc>
        <w:tc>
          <w:tcPr>
            <w:tcW w:type="dxa" w:w="364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Count toward 2-change limit</w:t>
            </w:r>
          </w:p>
        </w:tc>
      </w:tr>
      <w:tr>
        <w:tc>
          <w:tcPr>
            <w:tcW w:type="dxa" w:w="10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2</w:t>
            </w:r>
          </w:p>
        </w:tc>
        <w:tc>
          <w:tcPr>
            <w:tcW w:type="dxa" w:w="32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Review-period triggers: T4–T12</w:t>
            </w:r>
          </w:p>
        </w:tc>
        <w:tc>
          <w:tcPr>
            <w:tcW w:type="dxa" w:w="26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Execute at review, Bull/Flat only</w:t>
            </w:r>
          </w:p>
        </w:tc>
        <w:tc>
          <w:tcPr>
            <w:tcW w:type="dxa" w:w="364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Count toward limit</w:t>
            </w:r>
          </w:p>
        </w:tc>
      </w:tr>
      <w:tr>
        <w:tc>
          <w:tcPr>
            <w:tcW w:type="dxa" w:w="10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3</w:t>
            </w:r>
          </w:p>
        </w:tc>
        <w:tc>
          <w:tcPr>
            <w:tcW w:type="dxa" w:w="32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Delta filter switches (optional)</w:t>
            </w:r>
          </w:p>
        </w:tc>
        <w:tc>
          <w:tcPr>
            <w:tcW w:type="dxa" w:w="26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Execute at review, Bull/Flat only</w:t>
            </w:r>
          </w:p>
        </w:tc>
        <w:tc>
          <w:tcPr>
            <w:tcW w:type="dxa" w:w="364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Count toward limit</w:t>
            </w:r>
          </w:p>
        </w:tc>
      </w:tr>
      <w:tr>
        <w:tc>
          <w:tcPr>
            <w:tcW w:type="dxa" w:w="10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4 (Lowest)</w:t>
            </w:r>
          </w:p>
        </w:tc>
        <w:tc>
          <w:tcPr>
            <w:tcW w:type="dxa" w:w="32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Correlation/overlap replacements</w:t>
            </w:r>
          </w:p>
        </w:tc>
        <w:tc>
          <w:tcPr>
            <w:tcW w:type="dxa" w:w="26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Execute at review</w:t>
            </w:r>
          </w:p>
        </w:tc>
        <w:tc>
          <w:tcPr>
            <w:tcW w:type="dxa" w:w="364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Count toward limit</w:t>
            </w:r>
          </w:p>
        </w:tc>
      </w:tr>
    </w:tbl>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1F4E79" w:sz="4"/>
              <w:left w:val="single" w:color="1F4E79" w:sz="4"/>
              <w:bottom w:val="single" w:color="1F4E79" w:sz="4"/>
              <w:right w:val="single" w:color="1F4E79" w:sz="4"/>
            </w:tcBorders>
            <w:shd w:fill="FFF2CC" w:val="clear"/>
            <w:tcMar>
              <w:top w:type="dxa" w:w="75"/>
              <w:left w:type="dxa" w:w="140"/>
              <w:bottom w:type="dxa" w:w="75"/>
              <w:right w:type="dxa" w:w="140"/>
            </w:tcMar>
          </w:tcPr>
          <w:p>
            <w:r>
              <w:rPr>
                <w:rFonts w:ascii="Arial" w:cs="Arial" w:eastAsia="Arial" w:hAnsi="Arial"/>
                <w:color w:val="000000"/>
                <w:sz w:val="17"/>
                <w:szCs w:val="17"/>
              </w:rPr>
              <w:t xml:space="preserve">If 3+ changes identified: execute top 2 by priority. Document rest in Deferred Changes Log (Section 12). Re-run delta filter on deferred items at next review — do NOT assume still relevant.</w:t>
            </w:r>
          </w:p>
        </w:tc>
      </w:tr>
    </w:tbl>
    <w:p>
      <w:pPr>
        <w:spacing w:after="55" w:before="55"/>
      </w:pPr>
    </w:p>
    <w:p>
      <w:pPr>
        <w:pStyle w:val="Heading2"/>
        <w:pBdr>
          <w:bottom w:val="single" w:color="BDD7EE" w:sz="6"/>
        </w:pBdr>
        <w:spacing w:after="65" w:before="160"/>
      </w:pPr>
      <w:r>
        <w:rPr>
          <w:rFonts w:ascii="Arial" w:cs="Arial" w:eastAsia="Arial" w:hAnsi="Arial"/>
          <w:b/>
          <w:bCs/>
          <w:color w:val="1F4E79"/>
          <w:sz w:val="21"/>
          <w:szCs w:val="21"/>
        </w:rPr>
        <w:t xml:space="preserve">6.3 Tiered Overlap Rules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3400"/>
        <w:gridCol w:w="3140"/>
      </w:tblGrid>
      <w:tr>
        <w:trPr>
          <w:tblHeader/>
        </w:trPr>
        <w:tc>
          <w:tcPr>
            <w:tcW w:type="dxa" w:w="22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Pair Type</w:t>
            </w:r>
          </w:p>
        </w:tc>
        <w:tc>
          <w:tcPr>
            <w:tcW w:type="dxa" w:w="17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Max Overlap</w:t>
            </w:r>
          </w:p>
        </w:tc>
        <w:tc>
          <w:tcPr>
            <w:tcW w:type="dxa" w:w="34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Concentration Override</w:t>
            </w:r>
          </w:p>
        </w:tc>
        <w:tc>
          <w:tcPr>
            <w:tcW w:type="dxa" w:w="314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Action</w:t>
            </w:r>
          </w:p>
        </w:tc>
      </w:tr>
      <w:tr>
        <w:tc>
          <w:tcPr>
            <w:tcW w:type="dxa" w:w="22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Core — Core</w:t>
            </w:r>
          </w:p>
        </w:tc>
        <w:tc>
          <w:tcPr>
            <w:tcW w:type="dxa" w:w="17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&lt;= 25%</w:t>
            </w:r>
          </w:p>
        </w:tc>
        <w:tc>
          <w:tcPr>
            <w:tcW w:type="dxa" w:w="34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Any stock &gt; 10% portfolio weight in 3+ funds</w:t>
            </w:r>
          </w:p>
        </w:tc>
        <w:tc>
          <w:tcPr>
            <w:tcW w:type="dxa" w:w="314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Flag; retain stronger fund</w:t>
            </w:r>
          </w:p>
        </w:tc>
      </w:tr>
      <w:tr>
        <w:tc>
          <w:tcPr>
            <w:tcW w:type="dxa" w:w="22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Core — Satellite</w:t>
            </w:r>
          </w:p>
        </w:tc>
        <w:tc>
          <w:tcPr>
            <w:tcW w:type="dxa" w:w="17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&lt;= 35%</w:t>
            </w:r>
          </w:p>
        </w:tc>
        <w:tc>
          <w:tcPr>
            <w:tcW w:type="dxa" w:w="34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Same override</w:t>
            </w:r>
          </w:p>
        </w:tc>
        <w:tc>
          <w:tcPr>
            <w:tcW w:type="dxa" w:w="314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Evaluate satellite via delta filter</w:t>
            </w:r>
          </w:p>
        </w:tc>
      </w:tr>
      <w:tr>
        <w:tc>
          <w:tcPr>
            <w:tcW w:type="dxa" w:w="22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Satellite — Satellite</w:t>
            </w:r>
          </w:p>
        </w:tc>
        <w:tc>
          <w:tcPr>
            <w:tcW w:type="dxa" w:w="17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&lt;= 40%</w:t>
            </w:r>
          </w:p>
        </w:tc>
        <w:tc>
          <w:tcPr>
            <w:tcW w:type="dxa" w:w="34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Same override</w:t>
            </w:r>
          </w:p>
        </w:tc>
        <w:tc>
          <w:tcPr>
            <w:tcW w:type="dxa" w:w="314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Replace weaker satellite</w:t>
            </w:r>
          </w:p>
        </w:tc>
      </w:tr>
    </w:tbl>
    <w:p>
      <w:pPr>
        <w:spacing w:after="70" w:before="70"/>
      </w:pPr>
      <w:r>
        <w:rPr>
          <w:rFonts w:ascii="Arial" w:cs="Arial" w:eastAsia="Arial" w:hAnsi="Arial"/>
          <w:b w:val="false"/>
          <w:bCs w:val="false"/>
          <w:i/>
          <w:iCs/>
          <w:color w:val="000000"/>
          <w:sz w:val="16"/>
          <w:szCs w:val="16"/>
        </w:rPr>
        <w:t xml:space="preserve">Source: mfxray.in or Value Research Portfolio Overlap tool. Recompute at every review.</w:t>
      </w:r>
    </w:p>
    <w:p>
      <w:pPr>
        <w:spacing w:after="55" w:before="55"/>
      </w:pPr>
    </w:p>
    <w:p>
      <w:pPr>
        <w:pStyle w:val="Heading2"/>
        <w:pBdr>
          <w:bottom w:val="single" w:color="BDD7EE" w:sz="6"/>
        </w:pBdr>
        <w:spacing w:after="65" w:before="160"/>
      </w:pPr>
      <w:r>
        <w:rPr>
          <w:rFonts w:ascii="Arial" w:cs="Arial" w:eastAsia="Arial" w:hAnsi="Arial"/>
          <w:b/>
          <w:bCs/>
          <w:color w:val="1F4E79"/>
          <w:sz w:val="21"/>
          <w:szCs w:val="21"/>
        </w:rPr>
        <w:t xml:space="preserve">6.4 Correlation Rule — Fallback Ladder</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100"/>
        <w:gridCol w:w="2500"/>
        <w:gridCol w:w="1600"/>
        <w:gridCol w:w="2200"/>
        <w:gridCol w:w="3040"/>
      </w:tblGrid>
      <w:tr>
        <w:trPr>
          <w:tblHeader/>
        </w:trPr>
        <w:tc>
          <w:tcPr>
            <w:tcW w:type="dxa" w:w="11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Rung</w:t>
            </w:r>
          </w:p>
        </w:tc>
        <w:tc>
          <w:tcPr>
            <w:tcW w:type="dxa" w:w="25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Method</w:t>
            </w:r>
          </w:p>
        </w:tc>
        <w:tc>
          <w:tcPr>
            <w:tcW w:type="dxa" w:w="16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Data Window</w:t>
            </w:r>
          </w:p>
        </w:tc>
        <w:tc>
          <w:tcPr>
            <w:tcW w:type="dxa" w:w="22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Status</w:t>
            </w:r>
          </w:p>
        </w:tc>
        <w:tc>
          <w:tcPr>
            <w:tcW w:type="dxa" w:w="304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When to Use</w:t>
            </w:r>
          </w:p>
        </w:tc>
      </w:tr>
      <w:tr>
        <w:tc>
          <w:tcPr>
            <w:tcW w:type="dxa" w:w="11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RUNG 1 (Ideal)</w:t>
            </w:r>
          </w:p>
        </w:tc>
        <w:tc>
          <w:tcPr>
            <w:tcW w:type="dxa" w:w="25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Monthly NAV return series</w:t>
            </w:r>
          </w:p>
        </w:tc>
        <w:tc>
          <w:tcPr>
            <w:tcW w:type="dxa" w:w="16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36 months</w:t>
            </w:r>
          </w:p>
        </w:tc>
        <w:tc>
          <w:tcPr>
            <w:tcW w:type="dxa" w:w="22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IDEAL</w:t>
            </w:r>
          </w:p>
        </w:tc>
        <w:tc>
          <w:tcPr>
            <w:tcW w:type="dxa" w:w="304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Always attempt first</w:t>
            </w:r>
          </w:p>
        </w:tc>
      </w:tr>
      <w:tr>
        <w:tc>
          <w:tcPr>
            <w:tcW w:type="dxa" w:w="11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RUNG 2</w:t>
            </w:r>
          </w:p>
        </w:tc>
        <w:tc>
          <w:tcPr>
            <w:tcW w:type="dxa" w:w="25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Monthly NAV series</w:t>
            </w:r>
          </w:p>
        </w:tc>
        <w:tc>
          <w:tcPr>
            <w:tcW w:type="dxa" w:w="16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24 months</w:t>
            </w:r>
          </w:p>
        </w:tc>
        <w:tc>
          <w:tcPr>
            <w:tcW w:type="dxa" w:w="22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ACCEPTABLE — flag in output</w:t>
            </w:r>
          </w:p>
        </w:tc>
        <w:tc>
          <w:tcPr>
            <w:tcW w:type="dxa" w:w="304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Fund age 24–35M or data gap</w:t>
            </w:r>
          </w:p>
        </w:tc>
      </w:tr>
      <w:tr>
        <w:tc>
          <w:tcPr>
            <w:tcW w:type="dxa" w:w="11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RUNG 3</w:t>
            </w:r>
          </w:p>
        </w:tc>
        <w:tc>
          <w:tcPr>
            <w:tcW w:type="dxa" w:w="25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Monthly NAV series</w:t>
            </w:r>
          </w:p>
        </w:tc>
        <w:tc>
          <w:tcPr>
            <w:tcW w:type="dxa" w:w="16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12 months</w:t>
            </w:r>
          </w:p>
        </w:tc>
        <w:tc>
          <w:tcPr>
            <w:tcW w:type="dxa" w:w="22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MINIMUM VIABLE — flag in output</w:t>
            </w:r>
          </w:p>
        </w:tc>
        <w:tc>
          <w:tcPr>
            <w:tcW w:type="dxa" w:w="304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Fund age 12–23M</w:t>
            </w:r>
          </w:p>
        </w:tc>
      </w:tr>
      <w:tr>
        <w:tc>
          <w:tcPr>
            <w:tcW w:type="dxa" w:w="11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RUNG 4 (Fallback)</w:t>
            </w:r>
          </w:p>
        </w:tc>
        <w:tc>
          <w:tcPr>
            <w:tcW w:type="dxa" w:w="25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Overlap proxy only (mfxray.in)</w:t>
            </w:r>
          </w:p>
        </w:tc>
        <w:tc>
          <w:tcPr>
            <w:tcW w:type="dxa" w:w="16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N/A</w:t>
            </w:r>
          </w:p>
        </w:tc>
        <w:tc>
          <w:tcPr>
            <w:tcW w:type="dxa" w:w="22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NO CORRELATION — overlap only</w:t>
            </w:r>
          </w:p>
        </w:tc>
        <w:tc>
          <w:tcPr>
            <w:tcW w:type="dxa" w:w="304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&lt; 12M history or data unavailable</w:t>
            </w:r>
          </w:p>
        </w:tc>
      </w:tr>
    </w:tbl>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1F4E79" w:sz="4"/>
              <w:left w:val="single" w:color="1F4E79" w:sz="4"/>
              <w:bottom w:val="single" w:color="1F4E79" w:sz="4"/>
              <w:right w:val="single" w:color="1F4E79" w:sz="4"/>
            </w:tcBorders>
            <w:shd w:fill="F2F2F2" w:val="clear"/>
            <w:tcMar>
              <w:top w:type="dxa" w:w="75"/>
              <w:left w:type="dxa" w:w="140"/>
              <w:bottom w:type="dxa" w:w="75"/>
              <w:right w:type="dxa" w:w="140"/>
            </w:tcMar>
          </w:tcPr>
          <w:p>
            <w:r>
              <w:rPr>
                <w:rFonts w:ascii="Arial" w:cs="Arial" w:eastAsia="Arial" w:hAnsi="Arial"/>
                <w:color w:val="000000"/>
                <w:sz w:val="17"/>
                <w:szCs w:val="17"/>
              </w:rPr>
              <w:t xml:space="preserve">Source for Rungs 1–3: Value Research or Morningstar India ONLY (monthly NAV history available). Do NOT use AMFI daily NAV or INDmoney (no raw NAV export). Always state which rung was used and why.
Thresholds (same for all rungs): &lt; 0.80 acceptable | 0.80–0.90 monitor | &gt; 0.90 flag — retain strongest, replace other via delta filter.</w:t>
            </w:r>
          </w:p>
        </w:tc>
      </w:tr>
    </w:tbl>
    <w:p>
      <w:pPr>
        <w:spacing w:after="55" w:before="55"/>
      </w:pPr>
    </w:p>
    <w:p>
      <w:pPr>
        <w:pStyle w:val="Heading1"/>
        <w:shd w:fill="1F4E79" w:val="clear"/>
        <w:spacing w:after="100" w:before="240"/>
        <w:ind w:left="150"/>
      </w:pPr>
      <w:r>
        <w:rPr>
          <w:rFonts w:ascii="Arial" w:cs="Arial" w:eastAsia="Arial" w:hAnsi="Arial"/>
          <w:b/>
          <w:bCs/>
          <w:color w:val="FFFFFF"/>
          <w:sz w:val="24"/>
          <w:szCs w:val="24"/>
        </w:rPr>
        <w:t xml:space="preserve">7. Hard Triggers &amp; Decision Filter</w:t>
      </w:r>
    </w:p>
    <w:p>
      <w:pPr>
        <w:pStyle w:val="Heading2"/>
        <w:pBdr>
          <w:bottom w:val="single" w:color="BDD7EE" w:sz="6"/>
        </w:pBdr>
        <w:spacing w:after="65" w:before="160"/>
      </w:pPr>
      <w:r>
        <w:rPr>
          <w:rFonts w:ascii="Arial" w:cs="Arial" w:eastAsia="Arial" w:hAnsi="Arial"/>
          <w:b/>
          <w:bCs/>
          <w:color w:val="1F4E79"/>
          <w:sz w:val="21"/>
          <w:szCs w:val="21"/>
        </w:rPr>
        <w:t xml:space="preserve">7.1 Hard Triggers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500"/>
        <w:gridCol w:w="2900"/>
        <w:gridCol w:w="1700"/>
        <w:gridCol w:w="1850"/>
        <w:gridCol w:w="3490"/>
      </w:tblGrid>
      <w:tr>
        <w:trPr>
          <w:tblHeader/>
        </w:trPr>
        <w:tc>
          <w:tcPr>
            <w:tcW w:type="dxa" w:w="5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w:t>
            </w:r>
          </w:p>
        </w:tc>
        <w:tc>
          <w:tcPr>
            <w:tcW w:type="dxa" w:w="29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Trigger</w:t>
            </w:r>
          </w:p>
        </w:tc>
        <w:tc>
          <w:tcPr>
            <w:tcW w:type="dxa" w:w="17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Timing</w:t>
            </w:r>
          </w:p>
        </w:tc>
        <w:tc>
          <w:tcPr>
            <w:tcW w:type="dxa" w:w="185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Regime Active?</w:t>
            </w:r>
          </w:p>
        </w:tc>
        <w:tc>
          <w:tcPr>
            <w:tcW w:type="dxa" w:w="349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Action</w:t>
            </w:r>
          </w:p>
        </w:tc>
      </w:tr>
      <w:tr>
        <w:tc>
          <w:tcPr>
            <w:tcW w:type="dxa" w:w="5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T1</w:t>
            </w:r>
          </w:p>
        </w:tc>
        <w:tc>
          <w:tcPr>
            <w:tcW w:type="dxa" w:w="29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Fund manager changes</w:t>
            </w:r>
          </w:p>
        </w:tc>
        <w:tc>
          <w:tcPr>
            <w:tcW w:type="dxa" w:w="17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IMMEDIATE (30 days)</w:t>
            </w:r>
          </w:p>
        </w:tc>
        <w:tc>
          <w:tcPr>
            <w:tcW w:type="dxa" w:w="185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ALL regimes</w:t>
            </w:r>
          </w:p>
        </w:tc>
        <w:tc>
          <w:tcPr>
            <w:tcW w:type="dxa" w:w="349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Reassess vs category #1</w:t>
            </w:r>
          </w:p>
        </w:tc>
      </w:tr>
      <w:tr>
        <w:tc>
          <w:tcPr>
            <w:tcW w:type="dxa" w:w="5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T2</w:t>
            </w:r>
          </w:p>
        </w:tc>
        <w:tc>
          <w:tcPr>
            <w:tcW w:type="dxa" w:w="29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SIP suspended (regulatory)</w:t>
            </w:r>
          </w:p>
        </w:tc>
        <w:tc>
          <w:tcPr>
            <w:tcW w:type="dxa" w:w="17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IMMEDIATE</w:t>
            </w:r>
          </w:p>
        </w:tc>
        <w:tc>
          <w:tcPr>
            <w:tcW w:type="dxa" w:w="185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ALL regimes</w:t>
            </w:r>
          </w:p>
        </w:tc>
        <w:tc>
          <w:tcPr>
            <w:tcW w:type="dxa" w:w="349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Find open alternative</w:t>
            </w:r>
          </w:p>
        </w:tc>
      </w:tr>
      <w:tr>
        <w:tc>
          <w:tcPr>
            <w:tcW w:type="dxa" w:w="5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T3</w:t>
            </w:r>
          </w:p>
        </w:tc>
        <w:tc>
          <w:tcPr>
            <w:tcW w:type="dxa" w:w="29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Fund ER increases &gt; 0.30%</w:t>
            </w:r>
          </w:p>
        </w:tc>
        <w:tc>
          <w:tcPr>
            <w:tcW w:type="dxa" w:w="17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IMMEDIATE</w:t>
            </w:r>
          </w:p>
        </w:tc>
        <w:tc>
          <w:tcPr>
            <w:tcW w:type="dxa" w:w="185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ALL regimes</w:t>
            </w:r>
          </w:p>
        </w:tc>
        <w:tc>
          <w:tcPr>
            <w:tcW w:type="dxa" w:w="349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Compare alternatives</w:t>
            </w:r>
          </w:p>
        </w:tc>
      </w:tr>
      <w:tr>
        <w:tc>
          <w:tcPr>
            <w:tcW w:type="dxa" w:w="5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T4</w:t>
            </w:r>
          </w:p>
        </w:tc>
        <w:tc>
          <w:tcPr>
            <w:tcW w:type="dxa" w:w="29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Fund below #10 Direct peers</w:t>
            </w:r>
          </w:p>
        </w:tc>
        <w:tc>
          <w:tcPr>
            <w:tcW w:type="dxa" w:w="17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6-month review</w:t>
            </w:r>
          </w:p>
        </w:tc>
        <w:tc>
          <w:tcPr>
            <w:tcW w:type="dxa" w:w="185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Bull/Flat (eval-only in Bear)</w:t>
            </w:r>
          </w:p>
        </w:tc>
        <w:tc>
          <w:tcPr>
            <w:tcW w:type="dxa" w:w="349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Flag; assess via delta</w:t>
            </w:r>
          </w:p>
        </w:tc>
      </w:tr>
      <w:tr>
        <w:tc>
          <w:tcPr>
            <w:tcW w:type="dxa" w:w="5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T5</w:t>
            </w:r>
          </w:p>
        </w:tc>
        <w:tc>
          <w:tcPr>
            <w:tcW w:type="dxa" w:w="29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Neg. Down-Market Alpha 2 qtrs</w:t>
            </w:r>
          </w:p>
        </w:tc>
        <w:tc>
          <w:tcPr>
            <w:tcW w:type="dxa" w:w="17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6-month review</w:t>
            </w:r>
          </w:p>
        </w:tc>
        <w:tc>
          <w:tcPr>
            <w:tcW w:type="dxa" w:w="185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Bull/Flat (eval-only in Bear)</w:t>
            </w:r>
          </w:p>
        </w:tc>
        <w:tc>
          <w:tcPr>
            <w:tcW w:type="dxa" w:w="349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Research alternatives</w:t>
            </w:r>
          </w:p>
        </w:tc>
      </w:tr>
      <w:tr>
        <w:tc>
          <w:tcPr>
            <w:tcW w:type="dxa" w:w="5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T6</w:t>
            </w:r>
          </w:p>
        </w:tc>
        <w:tc>
          <w:tcPr>
            <w:tcW w:type="dxa" w:w="29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Benchmark underperform 2 reviews</w:t>
            </w:r>
          </w:p>
        </w:tc>
        <w:tc>
          <w:tcPr>
            <w:tcW w:type="dxa" w:w="17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6-month review</w:t>
            </w:r>
          </w:p>
        </w:tc>
        <w:tc>
          <w:tcPr>
            <w:tcW w:type="dxa" w:w="185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Bull/Flat (eval-only in Bear)</w:t>
            </w:r>
          </w:p>
        </w:tc>
        <w:tc>
          <w:tcPr>
            <w:tcW w:type="dxa" w:w="349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Replace if confirmed</w:t>
            </w:r>
          </w:p>
        </w:tc>
      </w:tr>
      <w:tr>
        <w:tc>
          <w:tcPr>
            <w:tcW w:type="dxa" w:w="5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T7</w:t>
            </w:r>
          </w:p>
        </w:tc>
        <w:tc>
          <w:tcPr>
            <w:tcW w:type="dxa" w:w="29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Overlap exceeds tier (6.3)</w:t>
            </w:r>
          </w:p>
        </w:tc>
        <w:tc>
          <w:tcPr>
            <w:tcW w:type="dxa" w:w="17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6-month review</w:t>
            </w:r>
          </w:p>
        </w:tc>
        <w:tc>
          <w:tcPr>
            <w:tcW w:type="dxa" w:w="185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Bull/Flat only</w:t>
            </w:r>
          </w:p>
        </w:tc>
        <w:tc>
          <w:tcPr>
            <w:tcW w:type="dxa" w:w="349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Remove weaker fund</w:t>
            </w:r>
          </w:p>
        </w:tc>
      </w:tr>
      <w:tr>
        <w:tc>
          <w:tcPr>
            <w:tcW w:type="dxa" w:w="5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T8</w:t>
            </w:r>
          </w:p>
        </w:tc>
        <w:tc>
          <w:tcPr>
            <w:tcW w:type="dxa" w:w="29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AUM below category minimum</w:t>
            </w:r>
          </w:p>
        </w:tc>
        <w:tc>
          <w:tcPr>
            <w:tcW w:type="dxa" w:w="17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6-month review</w:t>
            </w:r>
          </w:p>
        </w:tc>
        <w:tc>
          <w:tcPr>
            <w:tcW w:type="dxa" w:w="185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Bull/Flat only</w:t>
            </w:r>
          </w:p>
        </w:tc>
        <w:tc>
          <w:tcPr>
            <w:tcW w:type="dxa" w:w="349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Plan replacement</w:t>
            </w:r>
          </w:p>
        </w:tc>
      </w:tr>
      <w:tr>
        <w:tc>
          <w:tcPr>
            <w:tcW w:type="dxa" w:w="5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T9</w:t>
            </w:r>
          </w:p>
        </w:tc>
        <w:tc>
          <w:tcPr>
            <w:tcW w:type="dxa" w:w="29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3Y consecutive underperform</w:t>
            </w:r>
          </w:p>
        </w:tc>
        <w:tc>
          <w:tcPr>
            <w:tcW w:type="dxa" w:w="17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Annual review</w:t>
            </w:r>
          </w:p>
        </w:tc>
        <w:tc>
          <w:tcPr>
            <w:tcW w:type="dxa" w:w="185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Bull/Flat only</w:t>
            </w:r>
          </w:p>
        </w:tc>
        <w:tc>
          <w:tcPr>
            <w:tcW w:type="dxa" w:w="349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Replace with leader</w:t>
            </w:r>
          </w:p>
        </w:tc>
      </w:tr>
      <w:tr>
        <w:tc>
          <w:tcPr>
            <w:tcW w:type="dxa" w:w="5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T10</w:t>
            </w:r>
          </w:p>
        </w:tc>
        <w:tc>
          <w:tcPr>
            <w:tcW w:type="dxa" w:w="29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Correlation &gt; 0.90 in cluster</w:t>
            </w:r>
          </w:p>
        </w:tc>
        <w:tc>
          <w:tcPr>
            <w:tcW w:type="dxa" w:w="17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6-month review</w:t>
            </w:r>
          </w:p>
        </w:tc>
        <w:tc>
          <w:tcPr>
            <w:tcW w:type="dxa" w:w="185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Bull/Flat only</w:t>
            </w:r>
          </w:p>
        </w:tc>
        <w:tc>
          <w:tcPr>
            <w:tcW w:type="dxa" w:w="349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Retain strongest</w:t>
            </w:r>
          </w:p>
        </w:tc>
      </w:tr>
      <w:tr>
        <w:tc>
          <w:tcPr>
            <w:tcW w:type="dxa" w:w="5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T11</w:t>
            </w:r>
          </w:p>
        </w:tc>
        <w:tc>
          <w:tcPr>
            <w:tcW w:type="dxa" w:w="29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Nifty SC 250 PE &gt; 35x</w:t>
            </w:r>
          </w:p>
        </w:tc>
        <w:tc>
          <w:tcPr>
            <w:tcW w:type="dxa" w:w="17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Any review</w:t>
            </w:r>
          </w:p>
        </w:tc>
        <w:tc>
          <w:tcPr>
            <w:tcW w:type="dxa" w:w="185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ALL regimes</w:t>
            </w:r>
          </w:p>
        </w:tc>
        <w:tc>
          <w:tcPr>
            <w:tcW w:type="dxa" w:w="349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Reduce SC SIP 5–8%</w:t>
            </w:r>
          </w:p>
        </w:tc>
      </w:tr>
      <w:tr>
        <w:tc>
          <w:tcPr>
            <w:tcW w:type="dxa" w:w="5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T12-A</w:t>
            </w:r>
          </w:p>
        </w:tc>
        <w:tc>
          <w:tcPr>
            <w:tcW w:type="dxa" w:w="29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XIRR 2x WEAK/EROSION</w:t>
            </w:r>
          </w:p>
        </w:tc>
        <w:tc>
          <w:tcPr>
            <w:tcW w:type="dxa" w:w="17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6-month review</w:t>
            </w:r>
          </w:p>
        </w:tc>
        <w:tc>
          <w:tcPr>
            <w:tcW w:type="dxa" w:w="185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ALL regimes — LOG ONLY</w:t>
            </w:r>
          </w:p>
        </w:tc>
        <w:tc>
          <w:tcPr>
            <w:tcW w:type="dxa" w:w="349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Audit summary. No execution. No churn count.</w:t>
            </w:r>
          </w:p>
        </w:tc>
      </w:tr>
      <w:tr>
        <w:tc>
          <w:tcPr>
            <w:tcW w:type="dxa" w:w="5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T12-B</w:t>
            </w:r>
          </w:p>
        </w:tc>
        <w:tc>
          <w:tcPr>
            <w:tcW w:type="dxa" w:w="29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T12-A audit finds actionable issue</w:t>
            </w:r>
          </w:p>
        </w:tc>
        <w:tc>
          <w:tcPr>
            <w:tcW w:type="dxa" w:w="17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At audit</w:t>
            </w:r>
          </w:p>
        </w:tc>
        <w:tc>
          <w:tcPr>
            <w:tcW w:type="dxa" w:w="185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Bull/Flat: execute. Bear: buffer/log only.</w:t>
            </w:r>
          </w:p>
        </w:tc>
        <w:tc>
          <w:tcPr>
            <w:tcW w:type="dxa" w:w="349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Counts toward churn. Breaks NO ACTION.</w:t>
            </w:r>
          </w:p>
        </w:tc>
      </w:tr>
    </w:tbl>
    <w:p>
      <w:pPr>
        <w:spacing w:after="55" w:before="55"/>
      </w:pPr>
    </w:p>
    <w:p>
      <w:pPr>
        <w:pStyle w:val="Heading2"/>
        <w:pBdr>
          <w:bottom w:val="single" w:color="BDD7EE" w:sz="6"/>
        </w:pBdr>
        <w:spacing w:after="65" w:before="160"/>
      </w:pPr>
      <w:r>
        <w:rPr>
          <w:rFonts w:ascii="Arial" w:cs="Arial" w:eastAsia="Arial" w:hAnsi="Arial"/>
          <w:b/>
          <w:bCs/>
          <w:color w:val="1F4E79"/>
          <w:sz w:val="21"/>
          <w:szCs w:val="21"/>
        </w:rPr>
        <w:t xml:space="preserve">7.2 Delta Filter — Three Modes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2200"/>
        <w:gridCol w:w="2300"/>
        <w:gridCol w:w="2600"/>
        <w:gridCol w:w="340"/>
      </w:tblGrid>
      <w:tr>
        <w:trPr>
          <w:tblHeader/>
        </w:trPr>
        <w:tc>
          <w:tcPr>
            <w:tcW w:type="dxa" w:w="13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Mode</w:t>
            </w:r>
          </w:p>
        </w:tc>
        <w:tc>
          <w:tcPr>
            <w:tcW w:type="dxa" w:w="17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When Active</w:t>
            </w:r>
          </w:p>
        </w:tc>
        <w:tc>
          <w:tcPr>
            <w:tcW w:type="dxa" w:w="22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Delta 1 (Alpha)</w:t>
            </w:r>
          </w:p>
        </w:tc>
        <w:tc>
          <w:tcPr>
            <w:tcW w:type="dxa" w:w="23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Delta 2 (Risk)</w:t>
            </w:r>
          </w:p>
        </w:tc>
        <w:tc>
          <w:tcPr>
            <w:tcW w:type="dxa" w:w="26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Delta 3 (Cost)</w:t>
            </w:r>
          </w:p>
        </w:tc>
        <w:tc>
          <w:tcPr>
            <w:tcW w:type="dxa" w:w="34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Result</w:t>
            </w:r>
          </w:p>
        </w:tc>
      </w:tr>
      <w:tr>
        <w:tc>
          <w:tcPr>
            <w:tcW w:type="dxa" w:w="13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STANDARD</w:t>
            </w:r>
          </w:p>
        </w:tc>
        <w:tc>
          <w:tcPr>
            <w:tcW w:type="dxa" w:w="17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Bull regime</w:t>
            </w:r>
          </w:p>
        </w:tc>
        <w:tc>
          <w:tcPr>
            <w:tcW w:type="dxa" w:w="22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Candidate Alpha &gt; Current by &gt;= 1.5% CAGR</w:t>
            </w:r>
          </w:p>
        </w:tc>
        <w:tc>
          <w:tcPr>
            <w:tcW w:type="dxa" w:w="23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Sharpe &gt;= +0.20 OR Sortino &gt;= +0.30 (3Y)</w:t>
            </w:r>
          </w:p>
        </w:tc>
        <w:tc>
          <w:tcPr>
            <w:tcW w:type="dxa" w:w="26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Replacement ER &lt;= current (or Alpha &gt; 2.5% to compensate)</w:t>
            </w:r>
          </w:p>
        </w:tc>
        <w:tc>
          <w:tcPr>
            <w:tcW w:type="dxa" w:w="34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Switch PERMITTED if all 3 deltas + cost gate clear</w:t>
            </w:r>
          </w:p>
        </w:tc>
      </w:tr>
      <w:tr>
        <w:tc>
          <w:tcPr>
            <w:tcW w:type="dxa" w:w="13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ELEVATED</w:t>
            </w:r>
          </w:p>
        </w:tc>
        <w:tc>
          <w:tcPr>
            <w:tcW w:type="dxa" w:w="17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Flat regime</w:t>
            </w:r>
          </w:p>
        </w:tc>
        <w:tc>
          <w:tcPr>
            <w:tcW w:type="dxa" w:w="22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&gt;= 2.0% CAGR (distorted ratios)</w:t>
            </w:r>
          </w:p>
        </w:tc>
        <w:tc>
          <w:tcPr>
            <w:tcW w:type="dxa" w:w="23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Sharpe &gt;= +0.25 OR Sortino &gt;= +0.35</w:t>
            </w:r>
          </w:p>
        </w:tc>
        <w:tc>
          <w:tcPr>
            <w:tcW w:type="dxa" w:w="26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Same as standard</w:t>
            </w:r>
          </w:p>
        </w:tc>
        <w:tc>
          <w:tcPr>
            <w:tcW w:type="dxa" w:w="34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Switch PERMITTED if all 3 + cost gate clear</w:t>
            </w:r>
          </w:p>
        </w:tc>
      </w:tr>
      <w:tr>
        <w:tc>
          <w:tcPr>
            <w:tcW w:type="dxa" w:w="13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EVAL-ONLY</w:t>
            </w:r>
          </w:p>
        </w:tc>
        <w:tc>
          <w:tcPr>
            <w:tcW w:type="dxa" w:w="17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Bear regime</w:t>
            </w:r>
          </w:p>
        </w:tc>
        <w:tc>
          <w:tcPr>
            <w:tcW w:type="dxa" w:w="22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Evaluate &amp; flag</w:t>
            </w:r>
          </w:p>
        </w:tc>
        <w:tc>
          <w:tcPr>
            <w:tcW w:type="dxa" w:w="23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Evaluate &amp; flag</w:t>
            </w:r>
          </w:p>
        </w:tc>
        <w:tc>
          <w:tcPr>
            <w:tcW w:type="dxa" w:w="26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Evaluate &amp; flag</w:t>
            </w:r>
          </w:p>
        </w:tc>
        <w:tc>
          <w:tcPr>
            <w:tcW w:type="dxa" w:w="34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No switch. Document candidate in Deferred Log. Re-evaluate at next review.</w:t>
            </w:r>
          </w:p>
        </w:tc>
      </w:tr>
    </w:tbl>
    <w:p>
      <w:pPr>
        <w:spacing w:after="55" w:before="55"/>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1F4E79" w:sz="4"/>
              <w:left w:val="single" w:color="1F4E79" w:sz="4"/>
              <w:bottom w:val="single" w:color="1F4E79" w:sz="4"/>
              <w:right w:val="single" w:color="1F4E79" w:sz="4"/>
            </w:tcBorders>
            <w:shd w:fill="FFF2CC" w:val="clear"/>
            <w:tcMar>
              <w:top w:type="dxa" w:w="75"/>
              <w:left w:type="dxa" w:w="140"/>
              <w:bottom w:type="dxa" w:w="75"/>
              <w:right w:type="dxa" w:w="140"/>
            </w:tcMar>
          </w:tcPr>
          <w:p>
            <w:r>
              <w:rPr>
                <w:rFonts w:ascii="Arial" w:cs="Arial" w:eastAsia="Arial" w:hAnsi="Arial"/>
                <w:color w:val="000000"/>
                <w:sz w:val="17"/>
                <w:szCs w:val="17"/>
              </w:rPr>
              <w:t xml:space="preserve">INCOMPLETE HISTORY PENALTY: If replacement candidate has &lt; 3Y history (ITD percentile used) — add +0.5% to Alpha threshold in Delta 1. In Bull: threshold becomes 2.0% (not 1.5%).</w:t>
            </w:r>
          </w:p>
        </w:tc>
      </w:tr>
    </w:tbl>
    <w:p>
      <w:pPr>
        <w:spacing w:after="55" w:before="55"/>
      </w:pPr>
    </w:p>
    <w:p>
      <w:pPr>
        <w:pStyle w:val="Heading2"/>
        <w:pBdr>
          <w:bottom w:val="single" w:color="BDD7EE" w:sz="6"/>
        </w:pBdr>
        <w:spacing w:after="65" w:before="160"/>
      </w:pPr>
      <w:r>
        <w:rPr>
          <w:rFonts w:ascii="Arial" w:cs="Arial" w:eastAsia="Arial" w:hAnsi="Arial"/>
          <w:b/>
          <w:bCs/>
          <w:color w:val="1F4E79"/>
          <w:sz w:val="21"/>
          <w:szCs w:val="21"/>
        </w:rPr>
        <w:t xml:space="preserve">7.3 Final Cost Gate (mandatory — all non-Bear regimes)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7640"/>
      </w:tblGrid>
      <w:tr>
        <w:trPr>
          <w:tblHeader/>
        </w:trPr>
        <w:tc>
          <w:tcPr>
            <w:tcW w:type="dxa" w:w="6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Step</w:t>
            </w:r>
          </w:p>
        </w:tc>
        <w:tc>
          <w:tcPr>
            <w:tcW w:type="dxa" w:w="22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What</w:t>
            </w:r>
          </w:p>
        </w:tc>
        <w:tc>
          <w:tcPr>
            <w:tcW w:type="dxa" w:w="764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How to Calculate</w:t>
            </w:r>
          </w:p>
        </w:tc>
      </w:tr>
      <w:tr>
        <w:tc>
          <w:tcPr>
            <w:tcW w:type="dxa" w:w="6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Step 1 — Tax</w:t>
            </w:r>
          </w:p>
        </w:tc>
        <w:tc>
          <w:tcPr>
            <w:tcW w:type="dxa" w:w="22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STCG or LTCG on current units</w:t>
            </w:r>
          </w:p>
        </w:tc>
        <w:tc>
          <w:tcPr>
            <w:tcW w:type="dxa" w:w="764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Check purchase date per lot. &lt; 1yr: STCG 20% of gains. &gt; 1yr: LTCG 12.5% on gains above Rs 1.25L. Sum across all lots.</w:t>
            </w:r>
          </w:p>
        </w:tc>
      </w:tr>
      <w:tr>
        <w:tc>
          <w:tcPr>
            <w:tcW w:type="dxa" w:w="6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Step 2 — Exit load</w:t>
            </w:r>
          </w:p>
        </w:tc>
        <w:tc>
          <w:tcPr>
            <w:tcW w:type="dxa" w:w="22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Exit load charge</w:t>
            </w:r>
          </w:p>
        </w:tc>
        <w:tc>
          <w:tcPr>
            <w:tcW w:type="dxa" w:w="764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Check AMC website (Tier 1). Typically 1% if &lt; 1yr; nil if &gt; 1yr. Verify per fund.</w:t>
            </w:r>
          </w:p>
        </w:tc>
      </w:tr>
      <w:tr>
        <w:tc>
          <w:tcPr>
            <w:tcW w:type="dxa" w:w="6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Step 3 — Restart cost</w:t>
            </w:r>
          </w:p>
        </w:tc>
        <w:tc>
          <w:tcPr>
            <w:tcW w:type="dxa" w:w="22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SIP compounding gap</w:t>
            </w:r>
          </w:p>
        </w:tc>
        <w:tc>
          <w:tcPr>
            <w:tcW w:type="dxa" w:w="764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30–60 day SIP gap at Rs 50,000/mo and 15% XIRR ≈ Rs 3,000–5,500 lost compounding.</w:t>
            </w:r>
          </w:p>
        </w:tc>
      </w:tr>
      <w:tr>
        <w:tc>
          <w:tcPr>
            <w:tcW w:type="dxa" w:w="6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Step 4 — 3Y gain</w:t>
            </w:r>
          </w:p>
        </w:tc>
        <w:tc>
          <w:tcPr>
            <w:tcW w:type="dxa" w:w="22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Expected gain from replacement</w:t>
            </w:r>
          </w:p>
        </w:tc>
        <w:tc>
          <w:tcPr>
            <w:tcW w:type="dxa" w:w="764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Alpha improvement (%) × SIP amount × 36 months</w:t>
            </w:r>
          </w:p>
        </w:tc>
      </w:tr>
      <w:tr>
        <w:tc>
          <w:tcPr>
            <w:tcW w:type="dxa" w:w="6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Step 5 — Net benefit</w:t>
            </w:r>
          </w:p>
        </w:tc>
        <w:tc>
          <w:tcPr>
            <w:tcW w:type="dxa" w:w="22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Threshold check</w:t>
            </w:r>
          </w:p>
        </w:tc>
        <w:tc>
          <w:tcPr>
            <w:tcW w:type="dxa" w:w="764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Net = Step4 − (Step1+Step2+Step3). Must exceed: max(Rs 15,000, 0.5% × corpus). At Rs 20.5L: Rs 15,000. At Rs 40L: Rs 20,000. At Rs 60L: Rs 30,000.</w:t>
            </w:r>
          </w:p>
        </w:tc>
      </w:tr>
    </w:tbl>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1F4E79" w:sz="4"/>
              <w:left w:val="single" w:color="1F4E79" w:sz="4"/>
              <w:bottom w:val="single" w:color="1F4E79" w:sz="4"/>
              <w:right w:val="single" w:color="1F4E79" w:sz="4"/>
            </w:tcBorders>
            <w:shd w:fill="FCE4D6" w:val="clear"/>
            <w:tcMar>
              <w:top w:type="dxa" w:w="75"/>
              <w:left w:type="dxa" w:w="140"/>
              <w:bottom w:type="dxa" w:w="75"/>
              <w:right w:type="dxa" w:w="140"/>
            </w:tcMar>
          </w:tcPr>
          <w:p>
            <w:r>
              <w:rPr>
                <w:rFonts w:ascii="Arial" w:cs="Arial" w:eastAsia="Arial" w:hAnsi="Arial"/>
                <w:color w:val="000000"/>
                <w:sz w:val="17"/>
                <w:szCs w:val="17"/>
              </w:rPr>
              <w:t xml:space="preserve">BEHAVIORAL RULE: Default = HOLD + MONITOR. Optimization Mode (delta thresholds −20%) activated only by explicit investor request per session: 'Run optimization mode for this review.'</w:t>
            </w:r>
          </w:p>
        </w:tc>
      </w:tr>
    </w:tbl>
    <w:p>
      <w:pPr>
        <w:spacing w:after="55" w:before="55"/>
      </w:pPr>
    </w:p>
    <w:p>
      <w:pPr>
        <w:pStyle w:val="Heading1"/>
        <w:shd w:fill="1F4E79" w:val="clear"/>
        <w:spacing w:after="100" w:before="240"/>
        <w:ind w:left="150"/>
      </w:pPr>
      <w:r>
        <w:rPr>
          <w:rFonts w:ascii="Arial" w:cs="Arial" w:eastAsia="Arial" w:hAnsi="Arial"/>
          <w:b/>
          <w:bCs/>
          <w:color w:val="FFFFFF"/>
          <w:sz w:val="24"/>
          <w:szCs w:val="24"/>
        </w:rPr>
        <w:t xml:space="preserve">8. XIRR Monitoring &amp; Stress Testing</w:t>
      </w:r>
    </w:p>
    <w:p>
      <w:pPr>
        <w:pStyle w:val="Heading2"/>
        <w:pBdr>
          <w:bottom w:val="single" w:color="BDD7EE" w:sz="6"/>
        </w:pBdr>
        <w:spacing w:after="65" w:before="160"/>
      </w:pPr>
      <w:r>
        <w:rPr>
          <w:rFonts w:ascii="Arial" w:cs="Arial" w:eastAsia="Arial" w:hAnsi="Arial"/>
          <w:b/>
          <w:bCs/>
          <w:color w:val="1F4E79"/>
          <w:sz w:val="21"/>
          <w:szCs w:val="21"/>
        </w:rPr>
        <w:t xml:space="preserve">8.1 XIRR 5-Zone System (Regime-Adjusted)</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1F4E79" w:sz="4"/>
              <w:left w:val="single" w:color="1F4E79" w:sz="4"/>
              <w:bottom w:val="single" w:color="1F4E79" w:sz="4"/>
              <w:right w:val="single" w:color="1F4E79" w:sz="4"/>
            </w:tcBorders>
            <w:shd w:fill="CFE2F3" w:val="clear"/>
            <w:tcMar>
              <w:top w:type="dxa" w:w="75"/>
              <w:left w:type="dxa" w:w="140"/>
              <w:bottom w:type="dxa" w:w="75"/>
              <w:right w:type="dxa" w:w="140"/>
            </w:tcMar>
          </w:tcPr>
          <w:p>
            <w:r>
              <w:rPr>
                <w:rFonts w:ascii="Arial" w:cs="Arial" w:eastAsia="Arial" w:hAnsi="Arial"/>
                <w:color w:val="000000"/>
                <w:sz w:val="17"/>
                <w:szCs w:val="17"/>
              </w:rPr>
              <w:t xml:space="preserve">Decision hierarchy reminder: XIRR zones sit in LAYER C. They inform diagnostics — they do NOT independently trigger fund switches or override hard triggers (Layer A) or regime rules (Layer B).</w:t>
            </w:r>
          </w:p>
        </w:tc>
      </w:tr>
    </w:tbl>
    <w:p>
      <w:pPr>
        <w:spacing w:after="55" w:before="55"/>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350"/>
        <w:gridCol w:w="1750"/>
        <w:gridCol w:w="2500"/>
        <w:gridCol w:w="2300"/>
        <w:gridCol w:w="2540"/>
      </w:tblGrid>
      <w:tr>
        <w:trPr>
          <w:tblHeader/>
        </w:trPr>
        <w:tc>
          <w:tcPr>
            <w:tcW w:type="dxa" w:w="135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Zone</w:t>
            </w:r>
          </w:p>
        </w:tc>
        <w:tc>
          <w:tcPr>
            <w:tcW w:type="dxa" w:w="175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XIRR</w:t>
            </w:r>
          </w:p>
        </w:tc>
        <w:tc>
          <w:tcPr>
            <w:tcW w:type="dxa" w:w="25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BULL Action</w:t>
            </w:r>
          </w:p>
        </w:tc>
        <w:tc>
          <w:tcPr>
            <w:tcW w:type="dxa" w:w="23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FLAT Action</w:t>
            </w:r>
          </w:p>
        </w:tc>
        <w:tc>
          <w:tcPr>
            <w:tcW w:type="dxa" w:w="254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BEAR Action</w:t>
            </w:r>
          </w:p>
        </w:tc>
      </w:tr>
      <w:tr>
        <w:tc>
          <w:tcPr>
            <w:tcW w:type="dxa" w:w="1350"/>
            <w:tcBorders>
              <w:top w:val="single" w:color="CCCCCC" w:sz="4"/>
              <w:left w:val="single" w:color="CCCCCC" w:sz="4"/>
              <w:bottom w:val="single" w:color="CCCCCC" w:sz="4"/>
              <w:right w:val="single" w:color="CCCCCC" w:sz="4"/>
            </w:tcBorders>
            <w:shd w:fill="E2EFDA" w:val="clear"/>
            <w:tcMar>
              <w:top w:type="dxa" w:w="55"/>
              <w:left w:type="dxa" w:w="90"/>
              <w:bottom w:type="dxa" w:w="55"/>
              <w:right w:type="dxa" w:w="90"/>
            </w:tcMar>
          </w:tcPr>
          <w:p>
            <w:pPr>
              <w:jc w:val="left"/>
            </w:pPr>
            <w:r>
              <w:rPr>
                <w:rFonts w:ascii="Arial" w:cs="Arial" w:eastAsia="Arial" w:hAnsi="Arial"/>
                <w:b/>
                <w:bCs/>
                <w:i w:val="false"/>
                <w:iCs w:val="false"/>
                <w:color w:val="000000"/>
                <w:sz w:val="17"/>
                <w:szCs w:val="17"/>
              </w:rPr>
              <w:t xml:space="preserve">TARGET</w:t>
            </w:r>
          </w:p>
        </w:tc>
        <w:tc>
          <w:tcPr>
            <w:tcW w:type="dxa" w:w="1750"/>
            <w:tcBorders>
              <w:top w:val="single" w:color="CCCCCC" w:sz="4"/>
              <w:left w:val="single" w:color="CCCCCC" w:sz="4"/>
              <w:bottom w:val="single" w:color="CCCCCC" w:sz="4"/>
              <w:right w:val="single" w:color="CCCCCC" w:sz="4"/>
            </w:tcBorders>
            <w:shd w:fill="E2EFDA"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&gt;= 15%</w:t>
            </w:r>
          </w:p>
        </w:tc>
        <w:tc>
          <w:tcPr>
            <w:tcW w:type="dxa" w:w="2500"/>
            <w:tcBorders>
              <w:top w:val="single" w:color="CCCCCC" w:sz="4"/>
              <w:left w:val="single" w:color="CCCCCC" w:sz="4"/>
              <w:bottom w:val="single" w:color="CCCCCC" w:sz="4"/>
              <w:right w:val="single" w:color="CCCCCC" w:sz="4"/>
            </w:tcBorders>
            <w:shd w:fill="E2EFDA"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Hold. All SIPs.</w:t>
            </w:r>
          </w:p>
        </w:tc>
        <w:tc>
          <w:tcPr>
            <w:tcW w:type="dxa" w:w="2300"/>
            <w:tcBorders>
              <w:top w:val="single" w:color="CCCCCC" w:sz="4"/>
              <w:left w:val="single" w:color="CCCCCC" w:sz="4"/>
              <w:bottom w:val="single" w:color="CCCCCC" w:sz="4"/>
              <w:right w:val="single" w:color="CCCCCC" w:sz="4"/>
            </w:tcBorders>
            <w:shd w:fill="E2EFDA"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Hold.</w:t>
            </w:r>
          </w:p>
        </w:tc>
        <w:tc>
          <w:tcPr>
            <w:tcW w:type="dxa" w:w="2540"/>
            <w:tcBorders>
              <w:top w:val="single" w:color="CCCCCC" w:sz="4"/>
              <w:left w:val="single" w:color="CCCCCC" w:sz="4"/>
              <w:bottom w:val="single" w:color="CCCCCC" w:sz="4"/>
              <w:right w:val="single" w:color="CCCCCC" w:sz="4"/>
            </w:tcBorders>
            <w:shd w:fill="E2EFDA"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Hold.</w:t>
            </w:r>
          </w:p>
        </w:tc>
      </w:tr>
      <w:tr>
        <w:tc>
          <w:tcPr>
            <w:tcW w:type="dxa" w:w="1350"/>
            <w:tcBorders>
              <w:top w:val="single" w:color="CCCCCC" w:sz="4"/>
              <w:left w:val="single" w:color="CCCCCC" w:sz="4"/>
              <w:bottom w:val="single" w:color="CCCCCC" w:sz="4"/>
              <w:right w:val="single" w:color="CCCCCC" w:sz="4"/>
            </w:tcBorders>
            <w:shd w:fill="D9EAD3" w:val="clear"/>
            <w:tcMar>
              <w:top w:type="dxa" w:w="55"/>
              <w:left w:type="dxa" w:w="90"/>
              <w:bottom w:type="dxa" w:w="55"/>
              <w:right w:type="dxa" w:w="90"/>
            </w:tcMar>
          </w:tcPr>
          <w:p>
            <w:pPr>
              <w:jc w:val="left"/>
            </w:pPr>
            <w:r>
              <w:rPr>
                <w:rFonts w:ascii="Arial" w:cs="Arial" w:eastAsia="Arial" w:hAnsi="Arial"/>
                <w:b/>
                <w:bCs/>
                <w:i w:val="false"/>
                <w:iCs w:val="false"/>
                <w:color w:val="000000"/>
                <w:sz w:val="17"/>
                <w:szCs w:val="17"/>
              </w:rPr>
              <w:t xml:space="preserve">HEALTHY</w:t>
            </w:r>
          </w:p>
        </w:tc>
        <w:tc>
          <w:tcPr>
            <w:tcW w:type="dxa" w:w="1750"/>
            <w:tcBorders>
              <w:top w:val="single" w:color="CCCCCC" w:sz="4"/>
              <w:left w:val="single" w:color="CCCCCC" w:sz="4"/>
              <w:bottom w:val="single" w:color="CCCCCC" w:sz="4"/>
              <w:right w:val="single" w:color="CCCCCC" w:sz="4"/>
            </w:tcBorders>
            <w:shd w:fill="D9EAD3"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10–14.9%</w:t>
            </w:r>
          </w:p>
        </w:tc>
        <w:tc>
          <w:tcPr>
            <w:tcW w:type="dxa" w:w="2500"/>
            <w:tcBorders>
              <w:top w:val="single" w:color="CCCCCC" w:sz="4"/>
              <w:left w:val="single" w:color="CCCCCC" w:sz="4"/>
              <w:bottom w:val="single" w:color="CCCCCC" w:sz="4"/>
              <w:right w:val="single" w:color="CCCCCC" w:sz="4"/>
            </w:tcBorders>
            <w:shd w:fill="D9EAD3"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Monitor drift.</w:t>
            </w:r>
          </w:p>
        </w:tc>
        <w:tc>
          <w:tcPr>
            <w:tcW w:type="dxa" w:w="2300"/>
            <w:tcBorders>
              <w:top w:val="single" w:color="CCCCCC" w:sz="4"/>
              <w:left w:val="single" w:color="CCCCCC" w:sz="4"/>
              <w:bottom w:val="single" w:color="CCCCCC" w:sz="4"/>
              <w:right w:val="single" w:color="CCCCCC" w:sz="4"/>
            </w:tcBorders>
            <w:shd w:fill="D9EAD3"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Monitor drift.</w:t>
            </w:r>
          </w:p>
        </w:tc>
        <w:tc>
          <w:tcPr>
            <w:tcW w:type="dxa" w:w="2540"/>
            <w:tcBorders>
              <w:top w:val="single" w:color="CCCCCC" w:sz="4"/>
              <w:left w:val="single" w:color="CCCCCC" w:sz="4"/>
              <w:bottom w:val="single" w:color="CCCCCC" w:sz="4"/>
              <w:right w:val="single" w:color="CCCCCC" w:sz="4"/>
            </w:tcBorders>
            <w:shd w:fill="D9EAD3"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Expected. Monitor.</w:t>
            </w:r>
          </w:p>
        </w:tc>
      </w:tr>
      <w:tr>
        <w:tc>
          <w:tcPr>
            <w:tcW w:type="dxa" w:w="1350"/>
            <w:tcBorders>
              <w:top w:val="single" w:color="CCCCCC" w:sz="4"/>
              <w:left w:val="single" w:color="CCCCCC" w:sz="4"/>
              <w:bottom w:val="single" w:color="CCCCCC" w:sz="4"/>
              <w:right w:val="single" w:color="CCCCCC" w:sz="4"/>
            </w:tcBorders>
            <w:shd w:fill="FFF2CC" w:val="clear"/>
            <w:tcMar>
              <w:top w:type="dxa" w:w="55"/>
              <w:left w:type="dxa" w:w="90"/>
              <w:bottom w:type="dxa" w:w="55"/>
              <w:right w:type="dxa" w:w="90"/>
            </w:tcMar>
          </w:tcPr>
          <w:p>
            <w:pPr>
              <w:jc w:val="left"/>
            </w:pPr>
            <w:r>
              <w:rPr>
                <w:rFonts w:ascii="Arial" w:cs="Arial" w:eastAsia="Arial" w:hAnsi="Arial"/>
                <w:b/>
                <w:bCs/>
                <w:i w:val="false"/>
                <w:iCs w:val="false"/>
                <w:color w:val="000000"/>
                <w:sz w:val="17"/>
                <w:szCs w:val="17"/>
              </w:rPr>
              <w:t xml:space="preserve">WEAK</w:t>
            </w:r>
          </w:p>
        </w:tc>
        <w:tc>
          <w:tcPr>
            <w:tcW w:type="dxa" w:w="1750"/>
            <w:tcBorders>
              <w:top w:val="single" w:color="CCCCCC" w:sz="4"/>
              <w:left w:val="single" w:color="CCCCCC" w:sz="4"/>
              <w:bottom w:val="single" w:color="CCCCCC" w:sz="4"/>
              <w:right w:val="single" w:color="CCCCCC" w:sz="4"/>
            </w:tcBorders>
            <w:shd w:fill="FFF2CC"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0.1–9.9%</w:t>
            </w:r>
          </w:p>
        </w:tc>
        <w:tc>
          <w:tcPr>
            <w:tcW w:type="dxa" w:w="2500"/>
            <w:tcBorders>
              <w:top w:val="single" w:color="CCCCCC" w:sz="4"/>
              <w:left w:val="single" w:color="CCCCCC" w:sz="4"/>
              <w:bottom w:val="single" w:color="CCCCCC" w:sz="4"/>
              <w:right w:val="single" w:color="CCCCCC" w:sz="4"/>
            </w:tcBorders>
            <w:shd w:fill="FFF2CC"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Investigate. Check T4–T12.</w:t>
            </w:r>
          </w:p>
        </w:tc>
        <w:tc>
          <w:tcPr>
            <w:tcW w:type="dxa" w:w="2300"/>
            <w:tcBorders>
              <w:top w:val="single" w:color="CCCCCC" w:sz="4"/>
              <w:left w:val="single" w:color="CCCCCC" w:sz="4"/>
              <w:bottom w:val="single" w:color="CCCCCC" w:sz="4"/>
              <w:right w:val="single" w:color="CCCCCC" w:sz="4"/>
            </w:tcBorders>
            <w:shd w:fill="FFF2CC"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Likely market effect. No fund switch.</w:t>
            </w:r>
          </w:p>
        </w:tc>
        <w:tc>
          <w:tcPr>
            <w:tcW w:type="dxa" w:w="2540"/>
            <w:tcBorders>
              <w:top w:val="single" w:color="CCCCCC" w:sz="4"/>
              <w:left w:val="single" w:color="CCCCCC" w:sz="4"/>
              <w:bottom w:val="single" w:color="CCCCCC" w:sz="4"/>
              <w:right w:val="single" w:color="CCCCCC" w:sz="4"/>
            </w:tcBorders>
            <w:shd w:fill="FFF2CC"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Expected in Bear. No fund changes.</w:t>
            </w:r>
          </w:p>
        </w:tc>
      </w:tr>
      <w:tr>
        <w:tc>
          <w:tcPr>
            <w:tcW w:type="dxa" w:w="1350"/>
            <w:tcBorders>
              <w:top w:val="single" w:color="CCCCCC" w:sz="4"/>
              <w:left w:val="single" w:color="CCCCCC" w:sz="4"/>
              <w:bottom w:val="single" w:color="CCCCCC" w:sz="4"/>
              <w:right w:val="single" w:color="CCCCCC" w:sz="4"/>
            </w:tcBorders>
            <w:shd w:fill="FCE4D6" w:val="clear"/>
            <w:tcMar>
              <w:top w:type="dxa" w:w="55"/>
              <w:left w:type="dxa" w:w="90"/>
              <w:bottom w:type="dxa" w:w="55"/>
              <w:right w:type="dxa" w:w="90"/>
            </w:tcMar>
          </w:tcPr>
          <w:p>
            <w:pPr>
              <w:jc w:val="left"/>
            </w:pPr>
            <w:r>
              <w:rPr>
                <w:rFonts w:ascii="Arial" w:cs="Arial" w:eastAsia="Arial" w:hAnsi="Arial"/>
                <w:b/>
                <w:bCs/>
                <w:i w:val="false"/>
                <w:iCs w:val="false"/>
                <w:color w:val="000000"/>
                <w:sz w:val="17"/>
                <w:szCs w:val="17"/>
              </w:rPr>
              <w:t xml:space="preserve">EROSION</w:t>
            </w:r>
          </w:p>
        </w:tc>
        <w:tc>
          <w:tcPr>
            <w:tcW w:type="dxa" w:w="1750"/>
            <w:tcBorders>
              <w:top w:val="single" w:color="CCCCCC" w:sz="4"/>
              <w:left w:val="single" w:color="CCCCCC" w:sz="4"/>
              <w:bottom w:val="single" w:color="CCCCCC" w:sz="4"/>
              <w:right w:val="single" w:color="CCCCCC" w:sz="4"/>
            </w:tcBorders>
            <w:shd w:fill="FCE4D6"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&lt;= 0%</w:t>
            </w:r>
          </w:p>
        </w:tc>
        <w:tc>
          <w:tcPr>
            <w:tcW w:type="dxa" w:w="2500"/>
            <w:tcBorders>
              <w:top w:val="single" w:color="CCCCCC" w:sz="4"/>
              <w:left w:val="single" w:color="CCCCCC" w:sz="4"/>
              <w:bottom w:val="single" w:color="CCCCCC" w:sz="4"/>
              <w:right w:val="single" w:color="CCCCCC" w:sz="4"/>
            </w:tcBorders>
            <w:shd w:fill="FCE4D6"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Structural audit full portfolio.</w:t>
            </w:r>
          </w:p>
        </w:tc>
        <w:tc>
          <w:tcPr>
            <w:tcW w:type="dxa" w:w="2300"/>
            <w:tcBorders>
              <w:top w:val="single" w:color="CCCCCC" w:sz="4"/>
              <w:left w:val="single" w:color="CCCCCC" w:sz="4"/>
              <w:bottom w:val="single" w:color="CCCCCC" w:sz="4"/>
              <w:right w:val="single" w:color="CCCCCC" w:sz="4"/>
            </w:tcBorders>
            <w:shd w:fill="FCE4D6"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Review allocation only.</w:t>
            </w:r>
          </w:p>
        </w:tc>
        <w:tc>
          <w:tcPr>
            <w:tcW w:type="dxa" w:w="2540"/>
            <w:tcBorders>
              <w:top w:val="single" w:color="CCCCCC" w:sz="4"/>
              <w:left w:val="single" w:color="CCCCCC" w:sz="4"/>
              <w:bottom w:val="single" w:color="CCCCCC" w:sz="4"/>
              <w:right w:val="single" w:color="CCCCCC" w:sz="4"/>
            </w:tcBorders>
            <w:shd w:fill="FCE4D6"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Review allocation. No fund changes.</w:t>
            </w:r>
          </w:p>
        </w:tc>
      </w:tr>
      <w:tr>
        <w:tc>
          <w:tcPr>
            <w:tcW w:type="dxa" w:w="1350"/>
            <w:tcBorders>
              <w:top w:val="single" w:color="CCCCCC" w:sz="4"/>
              <w:left w:val="single" w:color="CCCCCC" w:sz="4"/>
              <w:bottom w:val="single" w:color="CCCCCC" w:sz="4"/>
              <w:right w:val="single" w:color="CCCCCC" w:sz="4"/>
            </w:tcBorders>
            <w:shd w:fill="FCE4D6" w:val="clear"/>
            <w:tcMar>
              <w:top w:type="dxa" w:w="55"/>
              <w:left w:type="dxa" w:w="90"/>
              <w:bottom w:type="dxa" w:w="55"/>
              <w:right w:type="dxa" w:w="90"/>
            </w:tcMar>
          </w:tcPr>
          <w:p>
            <w:pPr>
              <w:jc w:val="left"/>
            </w:pPr>
            <w:r>
              <w:rPr>
                <w:rFonts w:ascii="Arial" w:cs="Arial" w:eastAsia="Arial" w:hAnsi="Arial"/>
                <w:b/>
                <w:bCs/>
                <w:i w:val="false"/>
                <w:iCs w:val="false"/>
                <w:color w:val="000000"/>
                <w:sz w:val="17"/>
                <w:szCs w:val="17"/>
              </w:rPr>
              <w:t xml:space="preserve">CRISIS</w:t>
            </w:r>
          </w:p>
        </w:tc>
        <w:tc>
          <w:tcPr>
            <w:tcW w:type="dxa" w:w="1750"/>
            <w:tcBorders>
              <w:top w:val="single" w:color="CCCCCC" w:sz="4"/>
              <w:left w:val="single" w:color="CCCCCC" w:sz="4"/>
              <w:bottom w:val="single" w:color="CCCCCC" w:sz="4"/>
              <w:right w:val="single" w:color="CCCCCC" w:sz="4"/>
            </w:tcBorders>
            <w:shd w:fill="FCE4D6"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&lt;= -10%</w:t>
            </w:r>
          </w:p>
        </w:tc>
        <w:tc>
          <w:tcPr>
            <w:tcW w:type="dxa" w:w="7340"/>
            <w:gridSpan w:val="3"/>
            <w:tcBorders>
              <w:top w:val="single" w:color="CCCCCC" w:sz="4"/>
              <w:left w:val="single" w:color="CCCCCC" w:sz="4"/>
              <w:bottom w:val="single" w:color="CCCCCC" w:sz="4"/>
              <w:right w:val="single" w:color="CCCCCC" w:sz="4"/>
            </w:tcBorders>
            <w:shd w:fill="FCE4D6"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SEBI-RIA consult immediately. No unilateral changes.</w:t>
            </w:r>
          </w:p>
        </w:tc>
      </w:tr>
    </w:tbl>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1F4E79" w:sz="4"/>
              <w:left w:val="single" w:color="1F4E79" w:sz="4"/>
              <w:bottom w:val="single" w:color="1F4E79" w:sz="4"/>
              <w:right w:val="single" w:color="1F4E79" w:sz="4"/>
            </w:tcBorders>
            <w:shd w:fill="F2F2F2" w:val="clear"/>
            <w:tcMar>
              <w:top w:type="dxa" w:w="75"/>
              <w:left w:type="dxa" w:w="140"/>
              <w:bottom w:type="dxa" w:w="75"/>
              <w:right w:type="dxa" w:w="140"/>
            </w:tcMar>
          </w:tcPr>
          <w:p>
            <w:r>
              <w:rPr>
                <w:rFonts w:ascii="Arial" w:cs="Arial" w:eastAsia="Arial" w:hAnsi="Arial"/>
                <w:color w:val="000000"/>
                <w:sz w:val="17"/>
                <w:szCs w:val="17"/>
              </w:rPr>
              <w:t xml:space="preserve">Context: (1) XIRR &lt; 10% for ONE review is not a crisis. (2) WEAK/EROSION for 2 consecutive reviews → T12 fires regardless of regime. (3) XIRR &lt; 18 months of SIP: unreliable — do not over-interpret.</w:t>
            </w:r>
          </w:p>
        </w:tc>
      </w:tr>
    </w:tbl>
    <w:p>
      <w:pPr>
        <w:spacing w:after="55" w:before="55"/>
      </w:pPr>
    </w:p>
    <w:p>
      <w:pPr>
        <w:pStyle w:val="Heading2"/>
        <w:pBdr>
          <w:bottom w:val="single" w:color="BDD7EE" w:sz="6"/>
        </w:pBdr>
        <w:spacing w:after="65" w:before="160"/>
      </w:pPr>
      <w:r>
        <w:rPr>
          <w:rFonts w:ascii="Arial" w:cs="Arial" w:eastAsia="Arial" w:hAnsi="Arial"/>
          <w:b/>
          <w:bCs/>
          <w:color w:val="1F4E79"/>
          <w:sz w:val="21"/>
          <w:szCs w:val="21"/>
        </w:rPr>
        <w:t xml:space="preserve">8.2 XIRR Tracking Log</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400"/>
        <w:gridCol w:w="1300"/>
        <w:gridCol w:w="1100"/>
        <w:gridCol w:w="1100"/>
        <w:gridCol w:w="1100"/>
        <w:gridCol w:w="900"/>
        <w:gridCol w:w="1100"/>
        <w:gridCol w:w="2440"/>
      </w:tblGrid>
      <w:tr>
        <w:trPr>
          <w:tblHeader/>
        </w:trPr>
        <w:tc>
          <w:tcPr>
            <w:tcW w:type="dxa" w:w="14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Review Date</w:t>
            </w:r>
          </w:p>
        </w:tc>
        <w:tc>
          <w:tcPr>
            <w:tcW w:type="dxa" w:w="13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Corpus</w:t>
            </w:r>
          </w:p>
        </w:tc>
        <w:tc>
          <w:tcPr>
            <w:tcW w:type="dxa" w:w="11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XIRR</w:t>
            </w:r>
          </w:p>
        </w:tc>
        <w:tc>
          <w:tcPr>
            <w:tcW w:type="dxa" w:w="11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Zone</w:t>
            </w:r>
          </w:p>
        </w:tc>
        <w:tc>
          <w:tcPr>
            <w:tcW w:type="dxa" w:w="11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Regime</w:t>
            </w:r>
          </w:p>
        </w:tc>
        <w:tc>
          <w:tcPr>
            <w:tcW w:type="dxa" w:w="9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VIX</w:t>
            </w:r>
          </w:p>
        </w:tc>
        <w:tc>
          <w:tcPr>
            <w:tcW w:type="dxa" w:w="11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Buffer</w:t>
            </w:r>
          </w:p>
        </w:tc>
        <w:tc>
          <w:tcPr>
            <w:tcW w:type="dxa" w:w="244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Actions Taken</w:t>
            </w:r>
          </w:p>
        </w:tc>
      </w:tr>
      <w:tr>
        <w:tc>
          <w:tcPr>
            <w:tcW w:type="dxa" w:w="14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Jun 2026 (V7)</w:t>
            </w:r>
          </w:p>
        </w:tc>
        <w:tc>
          <w:tcPr>
            <w:tcW w:type="dxa" w:w="13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Rs 20.5L</w:t>
            </w:r>
          </w:p>
        </w:tc>
        <w:tc>
          <w:tcPr>
            <w:tcW w:type="dxa" w:w="11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N/A</w:t>
            </w:r>
          </w:p>
        </w:tc>
        <w:tc>
          <w:tcPr>
            <w:tcW w:type="dxa" w:w="11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w:t>
            </w:r>
          </w:p>
        </w:tc>
        <w:tc>
          <w:tcPr>
            <w:tcW w:type="dxa" w:w="11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w:t>
            </w:r>
          </w:p>
        </w:tc>
        <w:tc>
          <w:tcPr>
            <w:tcW w:type="dxa" w:w="9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w:t>
            </w:r>
          </w:p>
        </w:tc>
        <w:tc>
          <w:tcPr>
            <w:tcW w:type="dxa" w:w="11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w:t>
            </w:r>
          </w:p>
        </w:tc>
        <w:tc>
          <w:tcPr>
            <w:tcW w:type="dxa" w:w="244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V7 locked. 8 funds.</w:t>
            </w:r>
          </w:p>
        </w:tc>
      </w:tr>
      <w:tr>
        <w:tc>
          <w:tcPr>
            <w:tcW w:type="dxa" w:w="14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Dec 2026</w:t>
            </w:r>
          </w:p>
        </w:tc>
        <w:tc>
          <w:tcPr>
            <w:tcW w:type="dxa" w:w="13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
            </w:r>
          </w:p>
        </w:tc>
        <w:tc>
          <w:tcPr>
            <w:tcW w:type="dxa" w:w="11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
            </w:r>
          </w:p>
        </w:tc>
        <w:tc>
          <w:tcPr>
            <w:tcW w:type="dxa" w:w="11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
            </w:r>
          </w:p>
        </w:tc>
        <w:tc>
          <w:tcPr>
            <w:tcW w:type="dxa" w:w="11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
            </w:r>
          </w:p>
        </w:tc>
        <w:tc>
          <w:tcPr>
            <w:tcW w:type="dxa" w:w="9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
            </w:r>
          </w:p>
        </w:tc>
        <w:tc>
          <w:tcPr>
            <w:tcW w:type="dxa" w:w="11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
            </w:r>
          </w:p>
        </w:tc>
        <w:tc>
          <w:tcPr>
            <w:tcW w:type="dxa" w:w="244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
            </w:r>
          </w:p>
        </w:tc>
      </w:tr>
      <w:tr>
        <w:tc>
          <w:tcPr>
            <w:tcW w:type="dxa" w:w="14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Jun 2027</w:t>
            </w:r>
          </w:p>
        </w:tc>
        <w:tc>
          <w:tcPr>
            <w:tcW w:type="dxa" w:w="13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
            </w:r>
          </w:p>
        </w:tc>
        <w:tc>
          <w:tcPr>
            <w:tcW w:type="dxa" w:w="11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
            </w:r>
          </w:p>
        </w:tc>
        <w:tc>
          <w:tcPr>
            <w:tcW w:type="dxa" w:w="11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
            </w:r>
          </w:p>
        </w:tc>
        <w:tc>
          <w:tcPr>
            <w:tcW w:type="dxa" w:w="11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
            </w:r>
          </w:p>
        </w:tc>
        <w:tc>
          <w:tcPr>
            <w:tcW w:type="dxa" w:w="9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
            </w:r>
          </w:p>
        </w:tc>
        <w:tc>
          <w:tcPr>
            <w:tcW w:type="dxa" w:w="11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
            </w:r>
          </w:p>
        </w:tc>
        <w:tc>
          <w:tcPr>
            <w:tcW w:type="dxa" w:w="244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
            </w:r>
          </w:p>
        </w:tc>
      </w:tr>
      <w:tr>
        <w:tc>
          <w:tcPr>
            <w:tcW w:type="dxa" w:w="14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Dec 2027</w:t>
            </w:r>
          </w:p>
        </w:tc>
        <w:tc>
          <w:tcPr>
            <w:tcW w:type="dxa" w:w="13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
            </w:r>
          </w:p>
        </w:tc>
        <w:tc>
          <w:tcPr>
            <w:tcW w:type="dxa" w:w="11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
            </w:r>
          </w:p>
        </w:tc>
        <w:tc>
          <w:tcPr>
            <w:tcW w:type="dxa" w:w="11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
            </w:r>
          </w:p>
        </w:tc>
        <w:tc>
          <w:tcPr>
            <w:tcW w:type="dxa" w:w="11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
            </w:r>
          </w:p>
        </w:tc>
        <w:tc>
          <w:tcPr>
            <w:tcW w:type="dxa" w:w="9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
            </w:r>
          </w:p>
        </w:tc>
        <w:tc>
          <w:tcPr>
            <w:tcW w:type="dxa" w:w="11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
            </w:r>
          </w:p>
        </w:tc>
        <w:tc>
          <w:tcPr>
            <w:tcW w:type="dxa" w:w="244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
            </w:r>
          </w:p>
        </w:tc>
      </w:tr>
    </w:tbl>
    <w:p>
      <w:pPr>
        <w:spacing w:after="55" w:before="55"/>
      </w:pPr>
    </w:p>
    <w:p>
      <w:pPr>
        <w:pStyle w:val="Heading2"/>
        <w:pBdr>
          <w:bottom w:val="single" w:color="BDD7EE" w:sz="6"/>
        </w:pBdr>
        <w:spacing w:after="65" w:before="160"/>
      </w:pPr>
      <w:r>
        <w:rPr>
          <w:rFonts w:ascii="Arial" w:cs="Arial" w:eastAsia="Arial" w:hAnsi="Arial"/>
          <w:b/>
          <w:bCs/>
          <w:color w:val="1F4E79"/>
          <w:sz w:val="21"/>
          <w:szCs w:val="21"/>
        </w:rPr>
        <w:t xml:space="preserve">8.3 Liquidity Buffer (Stress-Test Linked)</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6640"/>
      </w:tblGrid>
      <w:tr>
        <w:trPr>
          <w:tblHeader/>
        </w:trPr>
        <w:tc>
          <w:tcPr>
            <w:tcW w:type="dxa" w:w="20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Buffer Status</w:t>
            </w:r>
          </w:p>
        </w:tc>
        <w:tc>
          <w:tcPr>
            <w:tcW w:type="dxa" w:w="18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Amount</w:t>
            </w:r>
          </w:p>
        </w:tc>
        <w:tc>
          <w:tcPr>
            <w:tcW w:type="dxa" w:w="664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Constraint</w:t>
            </w:r>
          </w:p>
        </w:tc>
      </w:tr>
      <w:tr>
        <w:tc>
          <w:tcPr>
            <w:tcW w:type="dxa" w:w="20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FUNDED</w:t>
            </w:r>
          </w:p>
        </w:tc>
        <w:tc>
          <w:tcPr>
            <w:tcW w:type="dxa" w:w="18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Rs 3.0L+</w:t>
            </w:r>
          </w:p>
        </w:tc>
        <w:tc>
          <w:tcPr>
            <w:tcW w:type="dxa" w:w="664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No restrictions. Standard SIP plan.</w:t>
            </w:r>
          </w:p>
        </w:tc>
      </w:tr>
      <w:tr>
        <w:tc>
          <w:tcPr>
            <w:tcW w:type="dxa" w:w="20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PARTIAL</w:t>
            </w:r>
          </w:p>
        </w:tc>
        <w:tc>
          <w:tcPr>
            <w:tcW w:type="dxa" w:w="18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Rs 1.5L–3.0L</w:t>
            </w:r>
          </w:p>
        </w:tc>
        <w:tc>
          <w:tcPr>
            <w:tcW w:type="dxa" w:w="664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Monitor. Build toward Rs 3.0L at next review.</w:t>
            </w:r>
          </w:p>
        </w:tc>
      </w:tr>
      <w:tr>
        <w:tc>
          <w:tcPr>
            <w:tcW w:type="dxa" w:w="20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UNFUNDED</w:t>
            </w:r>
          </w:p>
        </w:tc>
        <w:tc>
          <w:tcPr>
            <w:tcW w:type="dxa" w:w="18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&lt; Rs 1.5L</w:t>
            </w:r>
          </w:p>
        </w:tc>
        <w:tc>
          <w:tcPr>
            <w:tcW w:type="dxa" w:w="664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MANDATORY BUILD. No SIP increases until Rs 1.5L reached.</w:t>
            </w:r>
          </w:p>
        </w:tc>
      </w:tr>
    </w:tbl>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1F4E79" w:sz="4"/>
              <w:left w:val="single" w:color="1F4E79" w:sz="4"/>
              <w:bottom w:val="single" w:color="1F4E79" w:sz="4"/>
              <w:right w:val="single" w:color="1F4E79" w:sz="4"/>
            </w:tcBorders>
            <w:shd w:fill="FCE4D6" w:val="clear"/>
            <w:tcMar>
              <w:top w:type="dxa" w:w="75"/>
              <w:left w:type="dxa" w:w="140"/>
              <w:bottom w:type="dxa" w:w="75"/>
              <w:right w:type="dxa" w:w="140"/>
            </w:tcMar>
          </w:tcPr>
          <w:p>
            <w:r>
              <w:rPr>
                <w:rFonts w:ascii="Arial" w:cs="Arial" w:eastAsia="Arial" w:hAnsi="Arial"/>
                <w:color w:val="000000"/>
                <w:sz w:val="17"/>
                <w:szCs w:val="17"/>
              </w:rPr>
              <w:t xml:space="preserve">STRESS TEST LINK: If ST2 fails (SIP continuation impossible without redeeming equity) → buffer becomes a mandatory rebalancing constraint: (a) Build to Rs 3.0L before any SIP increase. (b) No new fund positions until buffer is funded. (c) Document buffer status at every review.</w:t>
            </w:r>
          </w:p>
        </w:tc>
      </w:tr>
    </w:tbl>
    <w:p>
      <w:pPr>
        <w:spacing w:after="55" w:before="55"/>
      </w:pPr>
    </w:p>
    <w:p>
      <w:pPr>
        <w:pStyle w:val="Heading2"/>
        <w:pBdr>
          <w:bottom w:val="single" w:color="BDD7EE" w:sz="6"/>
        </w:pBdr>
        <w:spacing w:after="65" w:before="160"/>
      </w:pPr>
      <w:r>
        <w:rPr>
          <w:rFonts w:ascii="Arial" w:cs="Arial" w:eastAsia="Arial" w:hAnsi="Arial"/>
          <w:b/>
          <w:bCs/>
          <w:color w:val="1F4E79"/>
          <w:sz w:val="21"/>
          <w:szCs w:val="21"/>
        </w:rPr>
        <w:t xml:space="preserve">8.4 Portfolio Stress Tests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1F4E79" w:sz="4"/>
              <w:left w:val="single" w:color="1F4E79" w:sz="4"/>
              <w:bottom w:val="single" w:color="1F4E79" w:sz="4"/>
              <w:right w:val="single" w:color="1F4E79" w:sz="4"/>
            </w:tcBorders>
            <w:shd w:fill="FFF2CC" w:val="clear"/>
            <w:tcMar>
              <w:top w:type="dxa" w:w="75"/>
              <w:left w:type="dxa" w:w="140"/>
              <w:bottom w:type="dxa" w:w="75"/>
              <w:right w:type="dxa" w:w="140"/>
            </w:tcMar>
          </w:tcPr>
          <w:p>
            <w:r>
              <w:rPr>
                <w:rFonts w:ascii="Arial" w:cs="Arial" w:eastAsia="Arial" w:hAnsi="Arial"/>
                <w:color w:val="000000"/>
                <w:sz w:val="17"/>
                <w:szCs w:val="17"/>
              </w:rPr>
              <w:t xml:space="preserve">These are DECISION TRIGGERS, not informational summaries. Failing ST1 or ST2 activates Risk Rebalancing Mode (Section 8.5).</w:t>
            </w:r>
          </w:p>
        </w:tc>
      </w:tr>
    </w:tbl>
    <w:p>
      <w:pPr>
        <w:spacing w:after="55" w:before="55"/>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2200"/>
        <w:gridCol w:w="2000"/>
        <w:gridCol w:w="2140"/>
      </w:tblGrid>
      <w:tr>
        <w:trPr>
          <w:tblHeader/>
        </w:trPr>
        <w:tc>
          <w:tcPr>
            <w:tcW w:type="dxa" w:w="11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Test</w:t>
            </w:r>
          </w:p>
        </w:tc>
        <w:tc>
          <w:tcPr>
            <w:tcW w:type="dxa" w:w="30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Scenario</w:t>
            </w:r>
          </w:p>
        </w:tc>
        <w:tc>
          <w:tcPr>
            <w:tcW w:type="dxa" w:w="22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Impact Calculation</w:t>
            </w:r>
          </w:p>
        </w:tc>
        <w:tc>
          <w:tcPr>
            <w:tcW w:type="dxa" w:w="20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Decision Trigger</w:t>
            </w:r>
          </w:p>
        </w:tc>
        <w:tc>
          <w:tcPr>
            <w:tcW w:type="dxa" w:w="214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Action</w:t>
            </w:r>
          </w:p>
        </w:tc>
      </w:tr>
      <w:tr>
        <w:tc>
          <w:tcPr>
            <w:tcW w:type="dxa" w:w="11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ST1 — 2008</w:t>
            </w:r>
          </w:p>
        </w:tc>
        <w:tc>
          <w:tcPr>
            <w:tcW w:type="dxa" w:w="30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50–60% broad decline. SC -65–70%, MC -55–60%, LC -45–50%</w:t>
            </w:r>
          </w:p>
        </w:tc>
        <w:tc>
          <w:tcPr>
            <w:tcW w:type="dxa" w:w="22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Apply drawdown % to Rs weight per category. Sum total loss.</w:t>
            </w:r>
          </w:p>
        </w:tc>
        <w:tc>
          <w:tcPr>
            <w:tcW w:type="dxa" w:w="20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If total drawdown &gt; 60% of corpus</w:t>
            </w:r>
          </w:p>
        </w:tc>
        <w:tc>
          <w:tcPr>
            <w:tcW w:type="dxa" w:w="214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Activate Risk Rebalancing Mode (8.5)</w:t>
            </w:r>
          </w:p>
        </w:tc>
      </w:tr>
      <w:tr>
        <w:tc>
          <w:tcPr>
            <w:tcW w:type="dxa" w:w="11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ST2 — 30% Correction</w:t>
            </w:r>
          </w:p>
        </w:tc>
        <w:tc>
          <w:tcPr>
            <w:tcW w:type="dxa" w:w="30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30% drop over 6 months. Can investor continue Rs 50K/mo SIP without redeeming equity?</w:t>
            </w:r>
          </w:p>
        </w:tc>
        <w:tc>
          <w:tcPr>
            <w:tcW w:type="dxa" w:w="22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Check buffer vs 6M SIP obligation (Rs 3L total)</w:t>
            </w:r>
          </w:p>
        </w:tc>
        <w:tc>
          <w:tcPr>
            <w:tcW w:type="dxa" w:w="20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If SIP continuation FAILS</w:t>
            </w:r>
          </w:p>
        </w:tc>
        <w:tc>
          <w:tcPr>
            <w:tcW w:type="dxa" w:w="214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Buffer becomes mandatory constraint (8.3)</w:t>
            </w:r>
          </w:p>
        </w:tc>
      </w:tr>
      <w:tr>
        <w:tc>
          <w:tcPr>
            <w:tcW w:type="dxa" w:w="11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ST3 — SC Halving</w:t>
            </w:r>
          </w:p>
        </w:tc>
        <w:tc>
          <w:tcPr>
            <w:tcW w:type="dxa" w:w="30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Small cap -50%, rest -15%. 26% SC × -50% = -13% portfolio loss minimum.</w:t>
            </w:r>
          </w:p>
        </w:tc>
        <w:tc>
          <w:tcPr>
            <w:tcW w:type="dxa" w:w="22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Estimate total loss</w:t>
            </w:r>
          </w:p>
        </w:tc>
        <w:tc>
          <w:tcPr>
            <w:tcW w:type="dxa" w:w="20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If Nifty SC 250 PE &gt; 35x at review</w:t>
            </w:r>
          </w:p>
        </w:tc>
        <w:tc>
          <w:tcPr>
            <w:tcW w:type="dxa" w:w="214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Pre-emptively reduce SC SIP by 5–8% before correction.</w:t>
            </w:r>
          </w:p>
        </w:tc>
      </w:tr>
    </w:tbl>
    <w:p>
      <w:pPr>
        <w:spacing w:after="55" w:before="55"/>
      </w:pPr>
    </w:p>
    <w:p>
      <w:pPr>
        <w:pStyle w:val="Heading2"/>
        <w:pBdr>
          <w:bottom w:val="single" w:color="BDD7EE" w:sz="6"/>
        </w:pBdr>
        <w:spacing w:after="65" w:before="160"/>
      </w:pPr>
      <w:r>
        <w:rPr>
          <w:rFonts w:ascii="Arial" w:cs="Arial" w:eastAsia="Arial" w:hAnsi="Arial"/>
          <w:b/>
          <w:bCs/>
          <w:color w:val="1F4E79"/>
          <w:sz w:val="21"/>
          <w:szCs w:val="21"/>
        </w:rPr>
        <w:t xml:space="preserve">8.5 Risk Rebalancing Mode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1F4E79" w:sz="4"/>
              <w:left w:val="single" w:color="1F4E79" w:sz="4"/>
              <w:bottom w:val="single" w:color="1F4E79" w:sz="4"/>
              <w:right w:val="single" w:color="1F4E79" w:sz="4"/>
            </w:tcBorders>
            <w:shd w:fill="EAD1DC" w:val="clear"/>
            <w:tcMar>
              <w:top w:type="dxa" w:w="75"/>
              <w:left w:type="dxa" w:w="140"/>
              <w:bottom w:type="dxa" w:w="75"/>
              <w:right w:type="dxa" w:w="140"/>
            </w:tcMar>
          </w:tcPr>
          <w:p>
            <w:r>
              <w:rPr>
                <w:rFonts w:ascii="Arial" w:cs="Arial" w:eastAsia="Arial" w:hAnsi="Arial"/>
                <w:color w:val="000000"/>
                <w:sz w:val="17"/>
                <w:szCs w:val="17"/>
              </w:rPr>
              <w:t xml:space="preserve">ACTIVATED: ST1 (drawdown &gt; 60%) OR ST2 (SIP sustainability failure).
ACTIONS IN STRICT ORDER:
1. Freeze ALL fund change decisions
2. Build liquidity buffer to Rs 3.0L mandatory minimum
3. If Small Cap &gt; 30% → reduce SIP to 20%; redirect to Large Cap/Flexi Cap
4. If Small Cap + Mid Cap &gt; 55% combined → reduce to 50% via SIP rebalance
5. Document all actions in review log
6. Re-run all stress tests at next review
EXIT: ST1 no longer triggers (drawdown &lt; 60%) AND ST2 passes (buffer funded, SIP confirmed).</w:t>
            </w:r>
          </w:p>
        </w:tc>
      </w:tr>
    </w:tbl>
    <w:p>
      <w:pPr>
        <w:spacing w:after="55" w:before="55"/>
      </w:pPr>
    </w:p>
    <w:p>
      <w:pPr>
        <w:pStyle w:val="Heading1"/>
        <w:shd w:fill="1F4E79" w:val="clear"/>
        <w:spacing w:after="100" w:before="240"/>
        <w:ind w:left="150"/>
      </w:pPr>
      <w:r>
        <w:rPr>
          <w:rFonts w:ascii="Arial" w:cs="Arial" w:eastAsia="Arial" w:hAnsi="Arial"/>
          <w:b/>
          <w:bCs/>
          <w:color w:val="FFFFFF"/>
          <w:sz w:val="24"/>
          <w:szCs w:val="24"/>
        </w:rPr>
        <w:t xml:space="preserve">9. Overseas / International Funds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1F4E79" w:sz="4"/>
              <w:left w:val="single" w:color="1F4E79" w:sz="4"/>
              <w:bottom w:val="single" w:color="1F4E79" w:sz="4"/>
              <w:right w:val="single" w:color="1F4E79" w:sz="4"/>
            </w:tcBorders>
            <w:shd w:fill="FFF2CC" w:val="clear"/>
            <w:tcMar>
              <w:top w:type="dxa" w:w="75"/>
              <w:left w:type="dxa" w:w="140"/>
              <w:bottom w:type="dxa" w:w="75"/>
              <w:right w:type="dxa" w:w="140"/>
            </w:tcMar>
          </w:tcPr>
          <w:p>
            <w:r>
              <w:rPr>
                <w:rFonts w:ascii="Arial" w:cs="Arial" w:eastAsia="Arial" w:hAnsi="Arial"/>
                <w:color w:val="000000"/>
                <w:sz w:val="17"/>
                <w:szCs w:val="17"/>
              </w:rPr>
              <w:t xml:space="preserve">ALWAYS treat overseas limit as DYNAMIC REGULATORY CONSTRAINT. Verify fresh at sebi.gov.in at every review. Never assume status from previous review.
Verification order: (a) SEBI/RBI limit status at sebi.gov.in (Tier 2) → (b) AMC website subscription status (Tier 1) → (c) MyCams availability (Tier 1)
As of June 2026: SEBI USD 7B limit exhausted. All Nasdaq 100 and US equity FoFs suspended. This status may change.
If limit raised: Stop HDFC Flexi Cap SIP (Rs 5,000/mo), start best available Nasdaq FoF, reduce PPFAS by Rs 2,000/mo. Count as 1 fund change against churn limit.
Tax: PPFAS = LTCG 12.5% after 1yr (equity treatment). Nasdaq FoF = slab rate. PPFAS is more tax-efficient while SEBI limit is closed.</w:t>
            </w:r>
          </w:p>
        </w:tc>
      </w:tr>
    </w:tbl>
    <w:p>
      <w:pPr>
        <w:spacing w:after="55" w:before="55"/>
      </w:pPr>
    </w:p>
    <w:p>
      <w:pPr>
        <w:pStyle w:val="Heading1"/>
        <w:shd w:fill="1F4E79" w:val="clear"/>
        <w:spacing w:after="100" w:before="240"/>
        <w:ind w:left="150"/>
      </w:pPr>
      <w:r>
        <w:rPr>
          <w:rFonts w:ascii="Arial" w:cs="Arial" w:eastAsia="Arial" w:hAnsi="Arial"/>
          <w:b/>
          <w:bCs/>
          <w:color w:val="FFFFFF"/>
          <w:sz w:val="24"/>
          <w:szCs w:val="24"/>
        </w:rPr>
        <w:t xml:space="preserve">10. Taxation Rules (Budget 2024 Onwards)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400"/>
        <w:gridCol w:w="4440"/>
      </w:tblGrid>
      <w:tr>
        <w:trPr>
          <w:tblHeader/>
        </w:trPr>
        <w:tc>
          <w:tcPr>
            <w:tcW w:type="dxa" w:w="28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Fund Type</w:t>
            </w:r>
          </w:p>
        </w:tc>
        <w:tc>
          <w:tcPr>
            <w:tcW w:type="dxa" w:w="18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Holding Period</w:t>
            </w:r>
          </w:p>
        </w:tc>
        <w:tc>
          <w:tcPr>
            <w:tcW w:type="dxa" w:w="14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Tax Rate</w:t>
            </w:r>
          </w:p>
        </w:tc>
        <w:tc>
          <w:tcPr>
            <w:tcW w:type="dxa" w:w="444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Notes</w:t>
            </w:r>
          </w:p>
        </w:tc>
      </w:tr>
      <w:tr>
        <w:tc>
          <w:tcPr>
            <w:tcW w:type="dxa" w:w="28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Equity funds (domestic)</w:t>
            </w:r>
          </w:p>
        </w:tc>
        <w:tc>
          <w:tcPr>
            <w:tcW w:type="dxa" w:w="18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&lt; 1 year</w:t>
            </w:r>
          </w:p>
        </w:tc>
        <w:tc>
          <w:tcPr>
            <w:tcW w:type="dxa" w:w="14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STCG 20%</w:t>
            </w:r>
          </w:p>
        </w:tc>
        <w:tc>
          <w:tcPr>
            <w:tcW w:type="dxa" w:w="444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Per SIP instalment date — not portfolio entry date</w:t>
            </w:r>
          </w:p>
        </w:tc>
      </w:tr>
      <w:tr>
        <w:tc>
          <w:tcPr>
            <w:tcW w:type="dxa" w:w="28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Equity funds (domestic)</w:t>
            </w:r>
          </w:p>
        </w:tc>
        <w:tc>
          <w:tcPr>
            <w:tcW w:type="dxa" w:w="18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&gt; 1 year</w:t>
            </w:r>
          </w:p>
        </w:tc>
        <w:tc>
          <w:tcPr>
            <w:tcW w:type="dxa" w:w="14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LTCG 12.5%</w:t>
            </w:r>
          </w:p>
        </w:tc>
        <w:tc>
          <w:tcPr>
            <w:tcW w:type="dxa" w:w="444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Rs 1.25L annual exemption. FIFO redemption.</w:t>
            </w:r>
          </w:p>
        </w:tc>
      </w:tr>
      <w:tr>
        <w:tc>
          <w:tcPr>
            <w:tcW w:type="dxa" w:w="28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Flexi/Thematic (65%+ domestic)</w:t>
            </w:r>
          </w:p>
        </w:tc>
        <w:tc>
          <w:tcPr>
            <w:tcW w:type="dxa" w:w="18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&lt; 1 year</w:t>
            </w:r>
          </w:p>
        </w:tc>
        <w:tc>
          <w:tcPr>
            <w:tcW w:type="dxa" w:w="14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STCG 20%</w:t>
            </w:r>
          </w:p>
        </w:tc>
        <w:tc>
          <w:tcPr>
            <w:tcW w:type="dxa" w:w="444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ICICI Opp, HDFC Flexi Cap — equity treatment</w:t>
            </w:r>
          </w:p>
        </w:tc>
      </w:tr>
      <w:tr>
        <w:tc>
          <w:tcPr>
            <w:tcW w:type="dxa" w:w="28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Flexi/Thematic (65%+ domestic)</w:t>
            </w:r>
          </w:p>
        </w:tc>
        <w:tc>
          <w:tcPr>
            <w:tcW w:type="dxa" w:w="18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&gt; 1 year</w:t>
            </w:r>
          </w:p>
        </w:tc>
        <w:tc>
          <w:tcPr>
            <w:tcW w:type="dxa" w:w="14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LTCG 12.5%</w:t>
            </w:r>
          </w:p>
        </w:tc>
        <w:tc>
          <w:tcPr>
            <w:tcW w:type="dxa" w:w="444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Rs 1.25L exemption applies</w:t>
            </w:r>
          </w:p>
        </w:tc>
      </w:tr>
      <w:tr>
        <w:tc>
          <w:tcPr>
            <w:tcW w:type="dxa" w:w="28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International FoF</w:t>
            </w:r>
          </w:p>
        </w:tc>
        <w:tc>
          <w:tcPr>
            <w:tcW w:type="dxa" w:w="18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Any</w:t>
            </w:r>
          </w:p>
        </w:tc>
        <w:tc>
          <w:tcPr>
            <w:tcW w:type="dxa" w:w="14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Slab rate</w:t>
            </w:r>
          </w:p>
        </w:tc>
        <w:tc>
          <w:tcPr>
            <w:tcW w:type="dxa" w:w="444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Non-equity. No exemption. No indexation.</w:t>
            </w:r>
          </w:p>
        </w:tc>
      </w:tr>
      <w:tr>
        <w:tc>
          <w:tcPr>
            <w:tcW w:type="dxa" w:w="28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Parag Parikh FC</w:t>
            </w:r>
          </w:p>
        </w:tc>
        <w:tc>
          <w:tcPr>
            <w:tcW w:type="dxa" w:w="18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&lt; 1 year</w:t>
            </w:r>
          </w:p>
        </w:tc>
        <w:tc>
          <w:tcPr>
            <w:tcW w:type="dxa" w:w="14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STCG 20%</w:t>
            </w:r>
          </w:p>
        </w:tc>
        <w:tc>
          <w:tcPr>
            <w:tcW w:type="dxa" w:w="444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Qualifies as equity (65%+ domestic) despite foreign holdings</w:t>
            </w:r>
          </w:p>
        </w:tc>
      </w:tr>
      <w:tr>
        <w:tc>
          <w:tcPr>
            <w:tcW w:type="dxa" w:w="28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Parag Parikh FC</w:t>
            </w:r>
          </w:p>
        </w:tc>
        <w:tc>
          <w:tcPr>
            <w:tcW w:type="dxa" w:w="18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&gt; 1 year</w:t>
            </w:r>
          </w:p>
        </w:tc>
        <w:tc>
          <w:tcPr>
            <w:tcW w:type="dxa" w:w="14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LTCG 12.5%</w:t>
            </w:r>
          </w:p>
        </w:tc>
        <w:tc>
          <w:tcPr>
            <w:tcW w:type="dxa" w:w="444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Tax advantage: equity rate vs slab rate on Nasdaq FoF</w:t>
            </w:r>
          </w:p>
        </w:tc>
      </w:tr>
    </w:tbl>
    <w:p>
      <w:pPr>
        <w:spacing w:after="55" w:before="55"/>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1F4E79" w:sz="4"/>
              <w:left w:val="single" w:color="1F4E79" w:sz="4"/>
              <w:bottom w:val="single" w:color="1F4E79" w:sz="4"/>
              <w:right w:val="single" w:color="1F4E79" w:sz="4"/>
            </w:tcBorders>
            <w:shd w:fill="1F4E79" w:val="clear"/>
            <w:tcMar>
              <w:top w:type="dxa" w:w="110"/>
              <w:left w:type="dxa" w:w="240"/>
              <w:bottom w:type="dxa" w:w="110"/>
              <w:right w:type="dxa" w:w="240"/>
            </w:tcMar>
          </w:tcPr>
          <w:p>
            <w:pPr>
              <w:jc w:val="center"/>
            </w:pPr>
            <w:r>
              <w:rPr>
                <w:rFonts w:ascii="Arial" w:cs="Arial" w:eastAsia="Arial" w:hAnsi="Arial"/>
                <w:b/>
                <w:bCs/>
                <w:color w:val="FFFFFF"/>
                <w:sz w:val="26"/>
                <w:szCs w:val="26"/>
              </w:rPr>
              <w:t xml:space="preserve">LAYER 3 — OUTPUT LAYER  (Sections 11–14)</w:t>
            </w:r>
          </w:p>
        </w:tc>
      </w:tr>
    </w:tbl>
    <w:p>
      <w:pPr>
        <w:spacing w:after="55" w:before="55"/>
      </w:pPr>
    </w:p>
    <w:p>
      <w:pPr>
        <w:pStyle w:val="Heading1"/>
        <w:shd w:fill="1F4E79" w:val="clear"/>
        <w:spacing w:after="100" w:before="240"/>
        <w:ind w:left="150"/>
      </w:pPr>
      <w:r>
        <w:rPr>
          <w:rFonts w:ascii="Arial" w:cs="Arial" w:eastAsia="Arial" w:hAnsi="Arial"/>
          <w:b/>
          <w:bCs/>
          <w:color w:val="FFFFFF"/>
          <w:sz w:val="24"/>
          <w:szCs w:val="24"/>
        </w:rPr>
        <w:t xml:space="preserve">11. Mandatory Output Format</w:t>
      </w:r>
    </w:p>
    <w:p>
      <w:pPr>
        <w:spacing w:after="70" w:before="70"/>
      </w:pPr>
      <w:r>
        <w:rPr>
          <w:rFonts w:ascii="Arial" w:cs="Arial" w:eastAsia="Arial" w:hAnsi="Arial"/>
          <w:b/>
          <w:bCs/>
          <w:i w:val="false"/>
          <w:iCs w:val="false"/>
          <w:color w:val="000000"/>
          <w:sz w:val="17"/>
          <w:szCs w:val="17"/>
        </w:rPr>
        <w:t xml:space="preserve">Every full review output MUST include ALL tables below in order. No table may be omitted.</w:t>
      </w:r>
    </w:p>
    <w:p>
      <w:pPr>
        <w:spacing w:after="55" w:before="55"/>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7340"/>
      </w:tblGrid>
      <w:tr>
        <w:trPr>
          <w:tblHeader/>
        </w:trPr>
        <w:tc>
          <w:tcPr>
            <w:tcW w:type="dxa" w:w="5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w:t>
            </w:r>
          </w:p>
        </w:tc>
        <w:tc>
          <w:tcPr>
            <w:tcW w:type="dxa" w:w="26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Table</w:t>
            </w:r>
          </w:p>
        </w:tc>
        <w:tc>
          <w:tcPr>
            <w:tcW w:type="dxa" w:w="734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Required Content</w:t>
            </w:r>
          </w:p>
        </w:tc>
      </w:tr>
      <w:tr>
        <w:tc>
          <w:tcPr>
            <w:tcW w:type="dxa" w:w="5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1</w:t>
            </w:r>
          </w:p>
        </w:tc>
        <w:tc>
          <w:tcPr>
            <w:tcW w:type="dxa" w:w="26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Market Regime</w:t>
            </w:r>
          </w:p>
        </w:tc>
        <w:tc>
          <w:tcPr>
            <w:tcW w:type="dxa" w:w="734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Regime | 6M Return | VIX (or 'Unavailable') | Confidence | Active rule adjustments</w:t>
            </w:r>
          </w:p>
        </w:tc>
      </w:tr>
      <w:tr>
        <w:tc>
          <w:tcPr>
            <w:tcW w:type="dxa" w:w="5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2</w:t>
            </w:r>
          </w:p>
        </w:tc>
        <w:tc>
          <w:tcPr>
            <w:tcW w:type="dxa" w:w="26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Portfolio Summary</w:t>
            </w:r>
          </w:p>
        </w:tc>
        <w:tc>
          <w:tcPr>
            <w:tcW w:type="dxa" w:w="734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 | Fund | Type | Alloc% | SIP/Mo | 5th/15th/25th | Core Warning Status</w:t>
            </w:r>
          </w:p>
        </w:tc>
      </w:tr>
      <w:tr>
        <w:tc>
          <w:tcPr>
            <w:tcW w:type="dxa" w:w="5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3</w:t>
            </w:r>
          </w:p>
        </w:tc>
        <w:tc>
          <w:tcPr>
            <w:tcW w:type="dxa" w:w="26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XIRR Status</w:t>
            </w:r>
          </w:p>
        </w:tc>
        <w:tc>
          <w:tcPr>
            <w:tcW w:type="dxa" w:w="734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XIRR | Freshness (within 7 days: Y/N) | Zone | Corpus | Regime-adjusted action</w:t>
            </w:r>
          </w:p>
        </w:tc>
      </w:tr>
      <w:tr>
        <w:tc>
          <w:tcPr>
            <w:tcW w:type="dxa" w:w="5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4</w:t>
            </w:r>
          </w:p>
        </w:tc>
        <w:tc>
          <w:tcPr>
            <w:tcW w:type="dxa" w:w="26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Performance Scorecard</w:t>
            </w:r>
          </w:p>
        </w:tc>
        <w:tc>
          <w:tcPr>
            <w:tcW w:type="dxa" w:w="734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Fund | Benchmark | 1Y/3Y/5Y | Rank (Direct) | History flag | VR Stars | ER | Beats Benchmark? | Data Tier</w:t>
            </w:r>
          </w:p>
        </w:tc>
      </w:tr>
      <w:tr>
        <w:tc>
          <w:tcPr>
            <w:tcW w:type="dxa" w:w="5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5</w:t>
            </w:r>
          </w:p>
        </w:tc>
        <w:tc>
          <w:tcPr>
            <w:tcW w:type="dxa" w:w="26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Risk Metrics</w:t>
            </w:r>
          </w:p>
        </w:tc>
        <w:tc>
          <w:tcPr>
            <w:tcW w:type="dxa" w:w="734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Fund | Alpha | Sharpe | Sortino | Beta | IR | Down-Market Alpha | SD | Correlation rung used</w:t>
            </w:r>
          </w:p>
        </w:tc>
      </w:tr>
      <w:tr>
        <w:tc>
          <w:tcPr>
            <w:tcW w:type="dxa" w:w="5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6</w:t>
            </w:r>
          </w:p>
        </w:tc>
        <w:tc>
          <w:tcPr>
            <w:tcW w:type="dxa" w:w="26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Overlap &amp; Correlation Matrix</w:t>
            </w:r>
          </w:p>
        </w:tc>
        <w:tc>
          <w:tcPr>
            <w:tcW w:type="dxa" w:w="734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Pair | Overlap % | Tier threshold | Status | Correlation | Rung | Threshold | Status</w:t>
            </w:r>
          </w:p>
        </w:tc>
      </w:tr>
      <w:tr>
        <w:tc>
          <w:tcPr>
            <w:tcW w:type="dxa" w:w="5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7</w:t>
            </w:r>
          </w:p>
        </w:tc>
        <w:tc>
          <w:tcPr>
            <w:tcW w:type="dxa" w:w="26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Stress Test Results</w:t>
            </w:r>
          </w:p>
        </w:tc>
        <w:tc>
          <w:tcPr>
            <w:tcW w:type="dxa" w:w="734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ST1/ST2/ST3 | Impact Rs | SIP OK? | Triggered? | Decision | Buffer status | RRM Active?</w:t>
            </w:r>
          </w:p>
        </w:tc>
      </w:tr>
      <w:tr>
        <w:tc>
          <w:tcPr>
            <w:tcW w:type="dxa" w:w="5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8</w:t>
            </w:r>
          </w:p>
        </w:tc>
        <w:tc>
          <w:tcPr>
            <w:tcW w:type="dxa" w:w="26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Allocation Drift</w:t>
            </w:r>
          </w:p>
        </w:tc>
        <w:tc>
          <w:tcPr>
            <w:tcW w:type="dxa" w:w="734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Category | Target % | Actual % | Drift | In ±5%? | SIP Action</w:t>
            </w:r>
          </w:p>
        </w:tc>
      </w:tr>
      <w:tr>
        <w:tc>
          <w:tcPr>
            <w:tcW w:type="dxa" w:w="5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9</w:t>
            </w:r>
          </w:p>
        </w:tc>
        <w:tc>
          <w:tcPr>
            <w:tcW w:type="dxa" w:w="26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Hard Trigger Check</w:t>
            </w:r>
          </w:p>
        </w:tc>
        <w:tc>
          <w:tcPr>
            <w:tcW w:type="dxa" w:w="734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T1–T12 | Checked | Fired | Regime-applicable | Evidence</w:t>
            </w:r>
          </w:p>
        </w:tc>
      </w:tr>
      <w:tr>
        <w:tc>
          <w:tcPr>
            <w:tcW w:type="dxa" w:w="5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10</w:t>
            </w:r>
          </w:p>
        </w:tc>
        <w:tc>
          <w:tcPr>
            <w:tcW w:type="dxa" w:w="26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Delta Filter Result</w:t>
            </w:r>
          </w:p>
        </w:tc>
        <w:tc>
          <w:tcPr>
            <w:tcW w:type="dxa" w:w="734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Regime mode | Delta 1/2/3 | Incomplete history penalty? | Cost gate Steps 1–5 | Scaled threshold | Net benefit | Decision</w:t>
            </w:r>
          </w:p>
        </w:tc>
      </w:tr>
      <w:tr>
        <w:tc>
          <w:tcPr>
            <w:tcW w:type="dxa" w:w="5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11</w:t>
            </w:r>
          </w:p>
        </w:tc>
        <w:tc>
          <w:tcPr>
            <w:tcW w:type="dxa" w:w="26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Core Fund Status</w:t>
            </w:r>
          </w:p>
        </w:tc>
        <w:tc>
          <w:tcPr>
            <w:tcW w:type="dxa" w:w="734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Fund | Status | Conditions A/B/C (Y/N each) | Action</w:t>
            </w:r>
          </w:p>
        </w:tc>
      </w:tr>
      <w:tr>
        <w:tc>
          <w:tcPr>
            <w:tcW w:type="dxa" w:w="5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12</w:t>
            </w:r>
          </w:p>
        </w:tc>
        <w:tc>
          <w:tcPr>
            <w:tcW w:type="dxa" w:w="26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Action Checklist</w:t>
            </w:r>
          </w:p>
        </w:tc>
        <w:tc>
          <w:tcPr>
            <w:tcW w:type="dxa" w:w="734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Fund | Action | Reason | Churn count (X of 2)</w:t>
            </w:r>
          </w:p>
        </w:tc>
      </w:tr>
      <w:tr>
        <w:tc>
          <w:tcPr>
            <w:tcW w:type="dxa" w:w="5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13</w:t>
            </w:r>
          </w:p>
        </w:tc>
        <w:tc>
          <w:tcPr>
            <w:tcW w:type="dxa" w:w="26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SEBI Disclaimer</w:t>
            </w:r>
          </w:p>
        </w:tc>
        <w:tc>
          <w:tcPr>
            <w:tcW w:type="dxa" w:w="734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Full disclaimer at end of every output</w:t>
            </w:r>
          </w:p>
        </w:tc>
      </w:tr>
    </w:tbl>
    <w:p>
      <w:pPr>
        <w:spacing w:after="55" w:before="55"/>
      </w:pPr>
    </w:p>
    <w:p>
      <w:pPr>
        <w:pStyle w:val="Heading1"/>
        <w:shd w:fill="1F4E79" w:val="clear"/>
        <w:spacing w:after="100" w:before="240"/>
        <w:ind w:left="150"/>
      </w:pPr>
      <w:r>
        <w:rPr>
          <w:rFonts w:ascii="Arial" w:cs="Arial" w:eastAsia="Arial" w:hAnsi="Arial"/>
          <w:b/>
          <w:bCs/>
          <w:color w:val="FFFFFF"/>
          <w:sz w:val="24"/>
          <w:szCs w:val="24"/>
        </w:rPr>
        <w:t xml:space="preserve">12. Portfolio Review Log</w:t>
      </w:r>
    </w:p>
    <w:p>
      <w:pPr>
        <w:pStyle w:val="Heading2"/>
        <w:pBdr>
          <w:bottom w:val="single" w:color="BDD7EE" w:sz="6"/>
        </w:pBdr>
        <w:spacing w:after="65" w:before="160"/>
      </w:pPr>
      <w:r>
        <w:rPr>
          <w:rFonts w:ascii="Arial" w:cs="Arial" w:eastAsia="Arial" w:hAnsi="Arial"/>
          <w:b/>
          <w:bCs/>
          <w:color w:val="1F4E79"/>
          <w:sz w:val="21"/>
          <w:szCs w:val="21"/>
        </w:rPr>
        <w:t xml:space="preserve">12.1 Portfolio Health Log</w:t>
      </w:r>
    </w:p>
    <w:tbl>
      <w:tblPr>
        <w:tblW w:type="dxa" w:w="12440"/>
        <w:tblBorders>
          <w:top w:val="single" w:color="auto" w:sz="4"/>
          <w:left w:val="single" w:color="auto" w:sz="4"/>
          <w:bottom w:val="single" w:color="auto" w:sz="4"/>
          <w:right w:val="single" w:color="auto" w:sz="4"/>
          <w:insideH w:val="single" w:color="auto" w:sz="4"/>
          <w:insideV w:val="single" w:color="auto" w:sz="4"/>
        </w:tblBorders>
      </w:tblPr>
      <w:tblGrid>
        <w:gridCol w:w="1250"/>
        <w:gridCol w:w="1300"/>
        <w:gridCol w:w="1000"/>
        <w:gridCol w:w="1000"/>
        <w:gridCol w:w="1000"/>
        <w:gridCol w:w="900"/>
        <w:gridCol w:w="1000"/>
        <w:gridCol w:w="4990"/>
      </w:tblGrid>
      <w:tr>
        <w:trPr>
          <w:tblHeader/>
        </w:trPr>
        <w:tc>
          <w:tcPr>
            <w:tcW w:type="dxa" w:w="125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Review</w:t>
            </w:r>
          </w:p>
        </w:tc>
        <w:tc>
          <w:tcPr>
            <w:tcW w:type="dxa" w:w="13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Corpus</w:t>
            </w:r>
          </w:p>
        </w:tc>
        <w:tc>
          <w:tcPr>
            <w:tcW w:type="dxa" w:w="10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XIRR</w:t>
            </w:r>
          </w:p>
        </w:tc>
        <w:tc>
          <w:tcPr>
            <w:tcW w:type="dxa" w:w="10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Zone</w:t>
            </w:r>
          </w:p>
        </w:tc>
        <w:tc>
          <w:tcPr>
            <w:tcW w:type="dxa" w:w="10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Regime</w:t>
            </w:r>
          </w:p>
        </w:tc>
        <w:tc>
          <w:tcPr>
            <w:tcW w:type="dxa" w:w="9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VIX</w:t>
            </w:r>
          </w:p>
        </w:tc>
        <w:tc>
          <w:tcPr>
            <w:tcW w:type="dxa" w:w="10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Buffer</w:t>
            </w:r>
          </w:p>
        </w:tc>
        <w:tc>
          <w:tcPr>
            <w:tcW w:type="dxa" w:w="499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Actions</w:t>
            </w:r>
          </w:p>
        </w:tc>
      </w:tr>
      <w:tr>
        <w:tc>
          <w:tcPr>
            <w:tcW w:type="dxa" w:w="125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Jun 2026 (V7)</w:t>
            </w:r>
          </w:p>
        </w:tc>
        <w:tc>
          <w:tcPr>
            <w:tcW w:type="dxa" w:w="13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Rs 20.5L</w:t>
            </w:r>
          </w:p>
        </w:tc>
        <w:tc>
          <w:tcPr>
            <w:tcW w:type="dxa" w:w="10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N/A</w:t>
            </w:r>
          </w:p>
        </w:tc>
        <w:tc>
          <w:tcPr>
            <w:tcW w:type="dxa" w:w="10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w:t>
            </w:r>
          </w:p>
        </w:tc>
        <w:tc>
          <w:tcPr>
            <w:tcW w:type="dxa" w:w="10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w:t>
            </w:r>
          </w:p>
        </w:tc>
        <w:tc>
          <w:tcPr>
            <w:tcW w:type="dxa" w:w="9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w:t>
            </w:r>
          </w:p>
        </w:tc>
        <w:tc>
          <w:tcPr>
            <w:tcW w:type="dxa" w:w="10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w:t>
            </w:r>
          </w:p>
        </w:tc>
        <w:tc>
          <w:tcPr>
            <w:tcW w:type="dxa" w:w="499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V7 locked. 8 funds. All SIPs active.</w:t>
            </w:r>
          </w:p>
        </w:tc>
      </w:tr>
      <w:tr>
        <w:tc>
          <w:tcPr>
            <w:tcW w:type="dxa" w:w="125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Dec 2026</w:t>
            </w:r>
          </w:p>
        </w:tc>
        <w:tc>
          <w:tcPr>
            <w:tcW w:type="dxa" w:w="13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
            </w:r>
          </w:p>
        </w:tc>
        <w:tc>
          <w:tcPr>
            <w:tcW w:type="dxa" w:w="10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
            </w:r>
          </w:p>
        </w:tc>
        <w:tc>
          <w:tcPr>
            <w:tcW w:type="dxa" w:w="10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
            </w:r>
          </w:p>
        </w:tc>
        <w:tc>
          <w:tcPr>
            <w:tcW w:type="dxa" w:w="10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
            </w:r>
          </w:p>
        </w:tc>
        <w:tc>
          <w:tcPr>
            <w:tcW w:type="dxa" w:w="9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
            </w:r>
          </w:p>
        </w:tc>
        <w:tc>
          <w:tcPr>
            <w:tcW w:type="dxa" w:w="10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
            </w:r>
          </w:p>
        </w:tc>
        <w:tc>
          <w:tcPr>
            <w:tcW w:type="dxa" w:w="499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
            </w:r>
          </w:p>
        </w:tc>
      </w:tr>
      <w:tr>
        <w:tc>
          <w:tcPr>
            <w:tcW w:type="dxa" w:w="125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Jun 2027</w:t>
            </w:r>
          </w:p>
        </w:tc>
        <w:tc>
          <w:tcPr>
            <w:tcW w:type="dxa" w:w="13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
            </w:r>
          </w:p>
        </w:tc>
        <w:tc>
          <w:tcPr>
            <w:tcW w:type="dxa" w:w="10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
            </w:r>
          </w:p>
        </w:tc>
        <w:tc>
          <w:tcPr>
            <w:tcW w:type="dxa" w:w="10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
            </w:r>
          </w:p>
        </w:tc>
        <w:tc>
          <w:tcPr>
            <w:tcW w:type="dxa" w:w="10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
            </w:r>
          </w:p>
        </w:tc>
        <w:tc>
          <w:tcPr>
            <w:tcW w:type="dxa" w:w="9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
            </w:r>
          </w:p>
        </w:tc>
        <w:tc>
          <w:tcPr>
            <w:tcW w:type="dxa" w:w="10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
            </w:r>
          </w:p>
        </w:tc>
        <w:tc>
          <w:tcPr>
            <w:tcW w:type="dxa" w:w="499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
            </w:r>
          </w:p>
        </w:tc>
      </w:tr>
      <w:tr>
        <w:tc>
          <w:tcPr>
            <w:tcW w:type="dxa" w:w="125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Dec 2027</w:t>
            </w:r>
          </w:p>
        </w:tc>
        <w:tc>
          <w:tcPr>
            <w:tcW w:type="dxa" w:w="13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
            </w:r>
          </w:p>
        </w:tc>
        <w:tc>
          <w:tcPr>
            <w:tcW w:type="dxa" w:w="10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
            </w:r>
          </w:p>
        </w:tc>
        <w:tc>
          <w:tcPr>
            <w:tcW w:type="dxa" w:w="10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
            </w:r>
          </w:p>
        </w:tc>
        <w:tc>
          <w:tcPr>
            <w:tcW w:type="dxa" w:w="10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
            </w:r>
          </w:p>
        </w:tc>
        <w:tc>
          <w:tcPr>
            <w:tcW w:type="dxa" w:w="9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
            </w:r>
          </w:p>
        </w:tc>
        <w:tc>
          <w:tcPr>
            <w:tcW w:type="dxa" w:w="10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
            </w:r>
          </w:p>
        </w:tc>
        <w:tc>
          <w:tcPr>
            <w:tcW w:type="dxa" w:w="499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
            </w:r>
          </w:p>
        </w:tc>
      </w:tr>
    </w:tbl>
    <w:p>
      <w:pPr>
        <w:spacing w:after="55" w:before="55"/>
      </w:pPr>
    </w:p>
    <w:p>
      <w:pPr>
        <w:pStyle w:val="Heading2"/>
        <w:pBdr>
          <w:bottom w:val="single" w:color="BDD7EE" w:sz="6"/>
        </w:pBdr>
        <w:spacing w:after="65" w:before="160"/>
      </w:pPr>
      <w:r>
        <w:rPr>
          <w:rFonts w:ascii="Arial" w:cs="Arial" w:eastAsia="Arial" w:hAnsi="Arial"/>
          <w:b/>
          <w:bCs/>
          <w:color w:val="1F4E79"/>
          <w:sz w:val="21"/>
          <w:szCs w:val="21"/>
        </w:rPr>
        <w:t xml:space="preserve">12.2 Fund Change Log</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600"/>
        <w:gridCol w:w="2400"/>
        <w:gridCol w:w="1000"/>
        <w:gridCol w:w="2000"/>
        <w:gridCol w:w="440"/>
      </w:tblGrid>
      <w:tr>
        <w:trPr>
          <w:tblHeader/>
        </w:trPr>
        <w:tc>
          <w:tcPr>
            <w:tcW w:type="dxa" w:w="12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Date</w:t>
            </w:r>
          </w:p>
        </w:tc>
        <w:tc>
          <w:tcPr>
            <w:tcW w:type="dxa" w:w="18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Fund</w:t>
            </w:r>
          </w:p>
        </w:tc>
        <w:tc>
          <w:tcPr>
            <w:tcW w:type="dxa" w:w="16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Action</w:t>
            </w:r>
          </w:p>
        </w:tc>
        <w:tc>
          <w:tcPr>
            <w:tcW w:type="dxa" w:w="24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Trigger/Delta</w:t>
            </w:r>
          </w:p>
        </w:tc>
        <w:tc>
          <w:tcPr>
            <w:tcW w:type="dxa" w:w="10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Regime</w:t>
            </w:r>
          </w:p>
        </w:tc>
        <w:tc>
          <w:tcPr>
            <w:tcW w:type="dxa" w:w="20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Replaced With</w:t>
            </w:r>
          </w:p>
        </w:tc>
        <w:tc>
          <w:tcPr>
            <w:tcW w:type="dxa" w:w="44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Churn #</w:t>
            </w:r>
          </w:p>
        </w:tc>
      </w:tr>
      <w:tr>
        <w:tc>
          <w:tcPr>
            <w:tcW w:type="dxa" w:w="12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Jun 2026</w:t>
            </w:r>
          </w:p>
        </w:tc>
        <w:tc>
          <w:tcPr>
            <w:tcW w:type="dxa" w:w="18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All 8</w:t>
            </w:r>
          </w:p>
        </w:tc>
        <w:tc>
          <w:tcPr>
            <w:tcW w:type="dxa" w:w="16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HOLD — V7 locked</w:t>
            </w:r>
          </w:p>
        </w:tc>
        <w:tc>
          <w:tcPr>
            <w:tcW w:type="dxa" w:w="24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None</w:t>
            </w:r>
          </w:p>
        </w:tc>
        <w:tc>
          <w:tcPr>
            <w:tcW w:type="dxa" w:w="10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w:t>
            </w:r>
          </w:p>
        </w:tc>
        <w:tc>
          <w:tcPr>
            <w:tcW w:type="dxa" w:w="20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N/A</w:t>
            </w:r>
          </w:p>
        </w:tc>
        <w:tc>
          <w:tcPr>
            <w:tcW w:type="dxa" w:w="44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0/2</w:t>
            </w:r>
          </w:p>
        </w:tc>
      </w:tr>
      <w:tr>
        <w:tc>
          <w:tcPr>
            <w:tcW w:type="dxa" w:w="12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
            </w:r>
          </w:p>
        </w:tc>
        <w:tc>
          <w:tcPr>
            <w:tcW w:type="dxa" w:w="18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
            </w:r>
          </w:p>
        </w:tc>
        <w:tc>
          <w:tcPr>
            <w:tcW w:type="dxa" w:w="16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
            </w:r>
          </w:p>
        </w:tc>
        <w:tc>
          <w:tcPr>
            <w:tcW w:type="dxa" w:w="24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
            </w:r>
          </w:p>
        </w:tc>
        <w:tc>
          <w:tcPr>
            <w:tcW w:type="dxa" w:w="10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
            </w:r>
          </w:p>
        </w:tc>
        <w:tc>
          <w:tcPr>
            <w:tcW w:type="dxa" w:w="20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
            </w:r>
          </w:p>
        </w:tc>
        <w:tc>
          <w:tcPr>
            <w:tcW w:type="dxa" w:w="44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
            </w:r>
          </w:p>
        </w:tc>
      </w:tr>
    </w:tbl>
    <w:p>
      <w:pPr>
        <w:spacing w:after="55" w:before="55"/>
      </w:pPr>
    </w:p>
    <w:p>
      <w:pPr>
        <w:pStyle w:val="Heading2"/>
        <w:pBdr>
          <w:bottom w:val="single" w:color="BDD7EE" w:sz="6"/>
        </w:pBdr>
        <w:spacing w:after="65" w:before="160"/>
      </w:pPr>
      <w:r>
        <w:rPr>
          <w:rFonts w:ascii="Arial" w:cs="Arial" w:eastAsia="Arial" w:hAnsi="Arial"/>
          <w:b/>
          <w:bCs/>
          <w:color w:val="1F4E79"/>
          <w:sz w:val="21"/>
          <w:szCs w:val="21"/>
        </w:rPr>
        <w:t xml:space="preserve">12.3 Deferred Changes Log</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200"/>
        <w:gridCol w:w="2200"/>
        <w:gridCol w:w="1700"/>
        <w:gridCol w:w="1540"/>
      </w:tblGrid>
      <w:tr>
        <w:trPr>
          <w:tblHeader/>
        </w:trPr>
        <w:tc>
          <w:tcPr>
            <w:tcW w:type="dxa" w:w="12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Date</w:t>
            </w:r>
          </w:p>
        </w:tc>
        <w:tc>
          <w:tcPr>
            <w:tcW w:type="dxa" w:w="16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Fund</w:t>
            </w:r>
          </w:p>
        </w:tc>
        <w:tc>
          <w:tcPr>
            <w:tcW w:type="dxa" w:w="22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Reason</w:t>
            </w:r>
          </w:p>
        </w:tc>
        <w:tc>
          <w:tcPr>
            <w:tcW w:type="dxa" w:w="22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Why Deferred</w:t>
            </w:r>
          </w:p>
        </w:tc>
        <w:tc>
          <w:tcPr>
            <w:tcW w:type="dxa" w:w="17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Regime at Deferral</w:t>
            </w:r>
          </w:p>
        </w:tc>
        <w:tc>
          <w:tcPr>
            <w:tcW w:type="dxa" w:w="154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Re-evaluate At</w:t>
            </w:r>
          </w:p>
        </w:tc>
      </w:tr>
      <w:tr>
        <w:tc>
          <w:tcPr>
            <w:tcW w:type="dxa" w:w="12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
            </w:r>
          </w:p>
        </w:tc>
        <w:tc>
          <w:tcPr>
            <w:tcW w:type="dxa" w:w="16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
            </w:r>
          </w:p>
        </w:tc>
        <w:tc>
          <w:tcPr>
            <w:tcW w:type="dxa" w:w="22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
            </w:r>
          </w:p>
        </w:tc>
        <w:tc>
          <w:tcPr>
            <w:tcW w:type="dxa" w:w="22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
            </w:r>
          </w:p>
        </w:tc>
        <w:tc>
          <w:tcPr>
            <w:tcW w:type="dxa" w:w="17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
            </w:r>
          </w:p>
        </w:tc>
        <w:tc>
          <w:tcPr>
            <w:tcW w:type="dxa" w:w="154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
            </w:r>
          </w:p>
        </w:tc>
      </w:tr>
    </w:tbl>
    <w:p>
      <w:pPr>
        <w:spacing w:after="55" w:before="55"/>
      </w:pPr>
    </w:p>
    <w:p>
      <w:pPr>
        <w:pStyle w:val="Heading2"/>
        <w:pBdr>
          <w:bottom w:val="single" w:color="BDD7EE" w:sz="6"/>
        </w:pBdr>
        <w:spacing w:after="65" w:before="160"/>
      </w:pPr>
      <w:r>
        <w:rPr>
          <w:rFonts w:ascii="Arial" w:cs="Arial" w:eastAsia="Arial" w:hAnsi="Arial"/>
          <w:b/>
          <w:bCs/>
          <w:color w:val="1F4E79"/>
          <w:sz w:val="21"/>
          <w:szCs w:val="21"/>
        </w:rPr>
        <w:t xml:space="preserve">12.4 Core Fund Warning Log</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200"/>
        <w:gridCol w:w="2100"/>
        <w:gridCol w:w="2000"/>
        <w:gridCol w:w="2200"/>
        <w:gridCol w:w="2940"/>
      </w:tblGrid>
      <w:tr>
        <w:trPr>
          <w:tblHeader/>
        </w:trPr>
        <w:tc>
          <w:tcPr>
            <w:tcW w:type="dxa" w:w="12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Date</w:t>
            </w:r>
          </w:p>
        </w:tc>
        <w:tc>
          <w:tcPr>
            <w:tcW w:type="dxa" w:w="21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Fund</w:t>
            </w:r>
          </w:p>
        </w:tc>
        <w:tc>
          <w:tcPr>
            <w:tcW w:type="dxa" w:w="20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Status</w:t>
            </w:r>
          </w:p>
        </w:tc>
        <w:tc>
          <w:tcPr>
            <w:tcW w:type="dxa" w:w="22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Conditions (A/B/C)</w:t>
            </w:r>
          </w:p>
        </w:tc>
        <w:tc>
          <w:tcPr>
            <w:tcW w:type="dxa" w:w="294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Next Action</w:t>
            </w:r>
          </w:p>
        </w:tc>
      </w:tr>
      <w:tr>
        <w:tc>
          <w:tcPr>
            <w:tcW w:type="dxa" w:w="12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Jun 2026</w:t>
            </w:r>
          </w:p>
        </w:tc>
        <w:tc>
          <w:tcPr>
            <w:tcW w:type="dxa" w:w="21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All 4 Core</w:t>
            </w:r>
          </w:p>
        </w:tc>
        <w:tc>
          <w:tcPr>
            <w:tcW w:type="dxa" w:w="20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NORMAL</w:t>
            </w:r>
          </w:p>
        </w:tc>
        <w:tc>
          <w:tcPr>
            <w:tcW w:type="dxa" w:w="22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None met</w:t>
            </w:r>
          </w:p>
        </w:tc>
        <w:tc>
          <w:tcPr>
            <w:tcW w:type="dxa" w:w="294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Standard review. Monitor at Dec 2026.</w:t>
            </w:r>
          </w:p>
        </w:tc>
      </w:tr>
      <w:tr>
        <w:tc>
          <w:tcPr>
            <w:tcW w:type="dxa" w:w="12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
            </w:r>
          </w:p>
        </w:tc>
        <w:tc>
          <w:tcPr>
            <w:tcW w:type="dxa" w:w="21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
            </w:r>
          </w:p>
        </w:tc>
        <w:tc>
          <w:tcPr>
            <w:tcW w:type="dxa" w:w="20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
            </w:r>
          </w:p>
        </w:tc>
        <w:tc>
          <w:tcPr>
            <w:tcW w:type="dxa" w:w="22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
            </w:r>
          </w:p>
        </w:tc>
        <w:tc>
          <w:tcPr>
            <w:tcW w:type="dxa" w:w="294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
            </w:r>
          </w:p>
        </w:tc>
      </w:tr>
      <w:tr>
        <w:tc>
          <w:tcPr>
            <w:tcW w:type="dxa" w:w="12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
            </w:r>
          </w:p>
        </w:tc>
        <w:tc>
          <w:tcPr>
            <w:tcW w:type="dxa" w:w="21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
            </w:r>
          </w:p>
        </w:tc>
        <w:tc>
          <w:tcPr>
            <w:tcW w:type="dxa" w:w="20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
            </w:r>
          </w:p>
        </w:tc>
        <w:tc>
          <w:tcPr>
            <w:tcW w:type="dxa" w:w="22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
            </w:r>
          </w:p>
        </w:tc>
        <w:tc>
          <w:tcPr>
            <w:tcW w:type="dxa" w:w="294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
            </w:r>
          </w:p>
        </w:tc>
      </w:tr>
    </w:tbl>
    <w:p>
      <w:pPr>
        <w:spacing w:after="55" w:before="55"/>
      </w:pPr>
    </w:p>
    <w:p>
      <w:pPr>
        <w:pStyle w:val="Heading1"/>
        <w:shd w:fill="1F4E79" w:val="clear"/>
        <w:spacing w:after="100" w:before="240"/>
        <w:ind w:left="150"/>
      </w:pPr>
      <w:r>
        <w:rPr>
          <w:rFonts w:ascii="Arial" w:cs="Arial" w:eastAsia="Arial" w:hAnsi="Arial"/>
          <w:b/>
          <w:bCs/>
          <w:color w:val="FFFFFF"/>
          <w:sz w:val="24"/>
          <w:szCs w:val="24"/>
        </w:rPr>
        <w:t xml:space="preserve">13. Honest Scoring Rules (Anti-Inflation)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3700"/>
        <w:gridCol w:w="3840"/>
      </w:tblGrid>
      <w:tr>
        <w:trPr>
          <w:tblHeader/>
        </w:trPr>
        <w:tc>
          <w:tcPr>
            <w:tcW w:type="dxa" w:w="7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Rule</w:t>
            </w:r>
          </w:p>
        </w:tc>
        <w:tc>
          <w:tcPr>
            <w:tcW w:type="dxa" w:w="22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Name</w:t>
            </w:r>
          </w:p>
        </w:tc>
        <w:tc>
          <w:tcPr>
            <w:tcW w:type="dxa" w:w="370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Do This</w:t>
            </w:r>
          </w:p>
        </w:tc>
        <w:tc>
          <w:tcPr>
            <w:tcW w:type="dxa" w:w="3840"/>
            <w:tcBorders>
              <w:top w:val="single" w:color="CCCCCC" w:sz="4"/>
              <w:left w:val="single" w:color="CCCCCC" w:sz="4"/>
              <w:bottom w:val="single" w:color="CCCCCC" w:sz="4"/>
              <w:right w:val="single" w:color="CCCCCC" w:sz="4"/>
            </w:tcBorders>
            <w:shd w:fill="1F4E79" w:val="clear"/>
            <w:tcMar>
              <w:top w:type="dxa" w:w="55"/>
              <w:left w:type="dxa" w:w="90"/>
              <w:bottom w:type="dxa" w:w="55"/>
              <w:right w:type="dxa" w:w="90"/>
            </w:tcMar>
          </w:tcPr>
          <w:p>
            <w:pPr>
              <w:jc w:val="left"/>
            </w:pPr>
            <w:r>
              <w:rPr>
                <w:rFonts w:ascii="Arial" w:cs="Arial" w:eastAsia="Arial" w:hAnsi="Arial"/>
                <w:b/>
                <w:bCs/>
                <w:i w:val="false"/>
                <w:iCs w:val="false"/>
                <w:color w:val="FFFFFF"/>
                <w:sz w:val="17"/>
                <w:szCs w:val="17"/>
              </w:rPr>
              <w:t xml:space="preserve">Not This</w:t>
            </w:r>
          </w:p>
        </w:tc>
      </w:tr>
      <w:tr>
        <w:tc>
          <w:tcPr>
            <w:tcW w:type="dxa" w:w="7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R1</w:t>
            </w:r>
          </w:p>
        </w:tc>
        <w:tc>
          <w:tcPr>
            <w:tcW w:type="dxa" w:w="22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Score Only on Hard Triggers</w:t>
            </w:r>
          </w:p>
        </w:tc>
        <w:tc>
          <w:tcPr>
            <w:tcW w:type="dxa" w:w="37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Rescore only when hard-trigger fund was replaced</w:t>
            </w:r>
          </w:p>
        </w:tc>
        <w:tc>
          <w:tcPr>
            <w:tcW w:type="dxa" w:w="384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No rescore for marginal improvement</w:t>
            </w:r>
          </w:p>
        </w:tc>
      </w:tr>
      <w:tr>
        <w:tc>
          <w:tcPr>
            <w:tcW w:type="dxa" w:w="7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R2</w:t>
            </w:r>
          </w:p>
        </w:tc>
        <w:tc>
          <w:tcPr>
            <w:tcW w:type="dxa" w:w="22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State Scoring Conflict</w:t>
            </w:r>
          </w:p>
        </w:tc>
        <w:tc>
          <w:tcPr>
            <w:tcW w:type="dxa" w:w="37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'Score is agent's own — verify on INDmoney Direct plan view'</w:t>
            </w:r>
          </w:p>
        </w:tc>
        <w:tc>
          <w:tcPr>
            <w:tcW w:type="dxa" w:w="384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Don't present as independently verified</w:t>
            </w:r>
          </w:p>
        </w:tc>
      </w:tr>
      <w:tr>
        <w:tc>
          <w:tcPr>
            <w:tcW w:type="dxa" w:w="7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R3</w:t>
            </w:r>
          </w:p>
        </w:tc>
        <w:tc>
          <w:tcPr>
            <w:tcW w:type="dxa" w:w="22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Area Reasoning</w:t>
            </w:r>
          </w:p>
        </w:tc>
        <w:tc>
          <w:tcPr>
            <w:tcW w:type="dxa" w:w="37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Explain WHY each area received its score</w:t>
            </w:r>
          </w:p>
        </w:tc>
        <w:tc>
          <w:tcPr>
            <w:tcW w:type="dxa" w:w="384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Don't just assign numbers</w:t>
            </w:r>
          </w:p>
        </w:tc>
      </w:tr>
      <w:tr>
        <w:tc>
          <w:tcPr>
            <w:tcW w:type="dxa" w:w="7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R4</w:t>
            </w:r>
          </w:p>
        </w:tc>
        <w:tc>
          <w:tcPr>
            <w:tcW w:type="dxa" w:w="22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Max 5-Point Jumps</w:t>
            </w:r>
          </w:p>
        </w:tc>
        <w:tc>
          <w:tcPr>
            <w:tcW w:type="dxa" w:w="37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Max 5-point jump unless 2+ hard-trigger funds replaced</w:t>
            </w:r>
          </w:p>
        </w:tc>
        <w:tc>
          <w:tcPr>
            <w:tcW w:type="dxa" w:w="384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No 10+ point jumps for incremental changes</w:t>
            </w:r>
          </w:p>
        </w:tc>
      </w:tr>
      <w:tr>
        <w:tc>
          <w:tcPr>
            <w:tcW w:type="dxa" w:w="7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R5</w:t>
            </w:r>
          </w:p>
        </w:tc>
        <w:tc>
          <w:tcPr>
            <w:tcW w:type="dxa" w:w="22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Independent Verification</w:t>
            </w:r>
          </w:p>
        </w:tc>
        <w:tc>
          <w:tcPr>
            <w:tcW w:type="dxa" w:w="37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'Verify [fund] ranked [#X] on INDmoney (Direct plan) before trusting this score'</w:t>
            </w:r>
          </w:p>
        </w:tc>
        <w:tc>
          <w:tcPr>
            <w:tcW w:type="dxa" w:w="384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tcPr>
          <w:p>
            <w:pPr>
              <w:jc w:val="left"/>
            </w:pPr>
            <w:r>
              <w:rPr>
                <w:rFonts w:ascii="Arial" w:cs="Arial" w:eastAsia="Arial" w:hAnsi="Arial"/>
                <w:b w:val="false"/>
                <w:bCs w:val="false"/>
                <w:i w:val="false"/>
                <w:iCs w:val="false"/>
                <w:color w:val="000000"/>
                <w:sz w:val="17"/>
                <w:szCs w:val="17"/>
              </w:rPr>
              <w:t xml:space="preserve">Never let investor rely solely on agent score</w:t>
            </w:r>
          </w:p>
        </w:tc>
      </w:tr>
    </w:tbl>
    <w:p>
      <w:pPr>
        <w:spacing w:after="55" w:before="55"/>
      </w:pPr>
    </w:p>
    <w:p>
      <w:pPr>
        <w:pStyle w:val="Heading1"/>
        <w:shd w:fill="1F4E79" w:val="clear"/>
        <w:spacing w:after="100" w:before="240"/>
        <w:ind w:left="150"/>
      </w:pPr>
      <w:r>
        <w:rPr>
          <w:rFonts w:ascii="Arial" w:cs="Arial" w:eastAsia="Arial" w:hAnsi="Arial"/>
          <w:b/>
          <w:bCs/>
          <w:color w:val="FFFFFF"/>
          <w:sz w:val="24"/>
          <w:szCs w:val="24"/>
        </w:rPr>
        <w:t xml:space="preserve">14. Critical Lessons from This Journey</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1F4E79" w:sz="4"/>
              <w:left w:val="single" w:color="1F4E79" w:sz="4"/>
              <w:bottom w:val="single" w:color="1F4E79" w:sz="4"/>
              <w:right w:val="single" w:color="1F4E79" w:sz="4"/>
            </w:tcBorders>
            <w:shd w:fill="F2F2F2" w:val="clear"/>
            <w:tcMar>
              <w:top w:type="dxa" w:w="75"/>
              <w:left w:type="dxa" w:w="140"/>
              <w:bottom w:type="dxa" w:w="75"/>
              <w:right w:type="dxa" w:w="140"/>
            </w:tcMar>
          </w:tcPr>
          <w:p>
            <w:r>
              <w:rPr>
                <w:rFonts w:ascii="Arial" w:cs="Arial" w:eastAsia="Arial" w:hAnsi="Arial"/>
                <w:b/>
                <w:bCs/>
                <w:color w:val="1F4E79"/>
                <w:sz w:val="17"/>
                <w:szCs w:val="17"/>
              </w:rPr>
              <w:t xml:space="preserve">L1 — Tier 1 Source for SIP Status</w:t>
            </w:r>
          </w:p>
          <w:p>
            <w:pPr>
              <w:spacing w:before="35"/>
            </w:pPr>
            <w:r>
              <w:rPr>
                <w:rFonts w:ascii="Arial" w:cs="Arial" w:eastAsia="Arial" w:hAnsi="Arial"/>
                <w:sz w:val="17"/>
                <w:szCs w:val="17"/>
              </w:rPr>
              <w:t xml:space="preserve">All 3 Nasdaq FoFs showed 'open' on aggregators — all 3 suspended on MyCams. AMC website (Tier 1) wins every time for SIP status.</w:t>
            </w:r>
          </w:p>
        </w:tc>
      </w:tr>
    </w:tbl>
    <w:p>
      <w:pPr>
        <w:spacing w:after="55" w:before="55"/>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1F4E79" w:sz="4"/>
              <w:left w:val="single" w:color="1F4E79" w:sz="4"/>
              <w:bottom w:val="single" w:color="1F4E79" w:sz="4"/>
              <w:right w:val="single" w:color="1F4E79" w:sz="4"/>
            </w:tcBorders>
            <w:shd w:fill="F2F2F2" w:val="clear"/>
            <w:tcMar>
              <w:top w:type="dxa" w:w="75"/>
              <w:left w:type="dxa" w:w="140"/>
              <w:bottom w:type="dxa" w:w="75"/>
              <w:right w:type="dxa" w:w="140"/>
            </w:tcMar>
          </w:tcPr>
          <w:p>
            <w:r>
              <w:rPr>
                <w:rFonts w:ascii="Arial" w:cs="Arial" w:eastAsia="Arial" w:hAnsi="Arial"/>
                <w:b/>
                <w:bCs/>
                <w:color w:val="1F4E79"/>
                <w:sz w:val="17"/>
                <w:szCs w:val="17"/>
              </w:rPr>
              <w:t xml:space="preserve">L2 — Two-Tier Core Warning Prevents Extremes</w:t>
            </w:r>
          </w:p>
          <w:p>
            <w:pPr>
              <w:spacing w:before="35"/>
            </w:pPr>
            <w:r>
              <w:rPr>
                <w:rFonts w:ascii="Arial" w:cs="Arial" w:eastAsia="Arial" w:hAnsi="Arial"/>
                <w:sz w:val="17"/>
                <w:szCs w:val="17"/>
              </w:rPr>
              <w:t xml:space="preserve">AT RISK CORE (2-of-3) flags early. Downgrade to Satellite (3-of-3) enables switching. Prevents both casual switching and 'untouchable until too late' failure modes.</w:t>
            </w:r>
          </w:p>
        </w:tc>
      </w:tr>
    </w:tbl>
    <w:p>
      <w:pPr>
        <w:spacing w:after="55" w:before="55"/>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1F4E79" w:sz="4"/>
              <w:left w:val="single" w:color="1F4E79" w:sz="4"/>
              <w:bottom w:val="single" w:color="1F4E79" w:sz="4"/>
              <w:right w:val="single" w:color="1F4E79" w:sz="4"/>
            </w:tcBorders>
            <w:shd w:fill="F2F2F2" w:val="clear"/>
            <w:tcMar>
              <w:top w:type="dxa" w:w="75"/>
              <w:left w:type="dxa" w:w="140"/>
              <w:bottom w:type="dxa" w:w="75"/>
              <w:right w:type="dxa" w:w="140"/>
            </w:tcMar>
          </w:tcPr>
          <w:p>
            <w:r>
              <w:rPr>
                <w:rFonts w:ascii="Arial" w:cs="Arial" w:eastAsia="Arial" w:hAnsi="Arial"/>
                <w:b/>
                <w:bCs/>
                <w:color w:val="1F4E79"/>
                <w:sz w:val="17"/>
                <w:szCs w:val="17"/>
              </w:rPr>
              <w:t xml:space="preserve">L3 — Return Dominates Regime Classification</w:t>
            </w:r>
          </w:p>
          <w:p>
            <w:pPr>
              <w:spacing w:before="35"/>
            </w:pPr>
            <w:r>
              <w:rPr>
                <w:rFonts w:ascii="Arial" w:cs="Arial" w:eastAsia="Arial" w:hAnsi="Arial"/>
                <w:sz w:val="17"/>
                <w:szCs w:val="17"/>
              </w:rPr>
              <w:t xml:space="preserve">Volatility adjusts confidence only — it never changes the regime. Mixed signals (e.g., Bull return + high VIX) remain BULL with MODERATE confidence. The rule is deterministic.</w:t>
            </w:r>
          </w:p>
        </w:tc>
      </w:tr>
    </w:tbl>
    <w:p>
      <w:pPr>
        <w:spacing w:after="55" w:before="55"/>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1F4E79" w:sz="4"/>
              <w:left w:val="single" w:color="1F4E79" w:sz="4"/>
              <w:bottom w:val="single" w:color="1F4E79" w:sz="4"/>
              <w:right w:val="single" w:color="1F4E79" w:sz="4"/>
            </w:tcBorders>
            <w:shd w:fill="F2F2F2" w:val="clear"/>
            <w:tcMar>
              <w:top w:type="dxa" w:w="75"/>
              <w:left w:type="dxa" w:w="140"/>
              <w:bottom w:type="dxa" w:w="75"/>
              <w:right w:type="dxa" w:w="140"/>
            </w:tcMar>
          </w:tcPr>
          <w:p>
            <w:r>
              <w:rPr>
                <w:rFonts w:ascii="Arial" w:cs="Arial" w:eastAsia="Arial" w:hAnsi="Arial"/>
                <w:b/>
                <w:bCs/>
                <w:color w:val="1F4E79"/>
                <w:sz w:val="17"/>
                <w:szCs w:val="17"/>
              </w:rPr>
              <w:t xml:space="preserve">L4 — Flat Market Suspends 1Y Ratio Screens</w:t>
            </w:r>
          </w:p>
          <w:p>
            <w:pPr>
              <w:spacing w:before="35"/>
            </w:pPr>
            <w:r>
              <w:rPr>
                <w:rFonts w:ascii="Arial" w:cs="Arial" w:eastAsia="Arial" w:hAnsi="Arial"/>
                <w:sz w:val="17"/>
                <w:szCs w:val="17"/>
              </w:rPr>
              <w:t xml:space="preserve">In Flat regime, 1Y Sharpe/Sortino/Alpha screens are suspended. Use 3Y/5Y only. A category #1 fund must not be rejected on compressed trailing ratios during a volatile cycle.</w:t>
            </w:r>
          </w:p>
        </w:tc>
      </w:tr>
    </w:tbl>
    <w:p>
      <w:pPr>
        <w:spacing w:after="55" w:before="55"/>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1F4E79" w:sz="4"/>
              <w:left w:val="single" w:color="1F4E79" w:sz="4"/>
              <w:bottom w:val="single" w:color="1F4E79" w:sz="4"/>
              <w:right w:val="single" w:color="1F4E79" w:sz="4"/>
            </w:tcBorders>
            <w:shd w:fill="F2F2F2" w:val="clear"/>
            <w:tcMar>
              <w:top w:type="dxa" w:w="75"/>
              <w:left w:type="dxa" w:w="140"/>
              <w:bottom w:type="dxa" w:w="75"/>
              <w:right w:type="dxa" w:w="140"/>
            </w:tcMar>
          </w:tcPr>
          <w:p>
            <w:r>
              <w:rPr>
                <w:rFonts w:ascii="Arial" w:cs="Arial" w:eastAsia="Arial" w:hAnsi="Arial"/>
                <w:b/>
                <w:bCs/>
                <w:color w:val="1F4E79"/>
                <w:sz w:val="17"/>
                <w:szCs w:val="17"/>
              </w:rPr>
              <w:t xml:space="preserve">L5 — Scaled Cost Gate Protects at Large Corpus</w:t>
            </w:r>
          </w:p>
          <w:p>
            <w:pPr>
              <w:spacing w:before="35"/>
            </w:pPr>
            <w:r>
              <w:rPr>
                <w:rFonts w:ascii="Arial" w:cs="Arial" w:eastAsia="Arial" w:hAnsi="Arial"/>
                <w:sz w:val="17"/>
                <w:szCs w:val="17"/>
              </w:rPr>
              <w:t xml:space="preserve">Fixed Rs 15,000 is too small at Rs 50L+ corpus. max(Rs 15,000, 0.5% of corpus) scales correctly: at Rs 40L it becomes Rs 20,000; at Rs 60L it becomes Rs 30,000.</w:t>
            </w:r>
          </w:p>
        </w:tc>
      </w:tr>
    </w:tbl>
    <w:p>
      <w:pPr>
        <w:spacing w:after="55" w:before="55"/>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1F4E79" w:sz="4"/>
              <w:left w:val="single" w:color="1F4E79" w:sz="4"/>
              <w:bottom w:val="single" w:color="1F4E79" w:sz="4"/>
              <w:right w:val="single" w:color="1F4E79" w:sz="4"/>
            </w:tcBorders>
            <w:shd w:fill="F2F2F2" w:val="clear"/>
            <w:tcMar>
              <w:top w:type="dxa" w:w="75"/>
              <w:left w:type="dxa" w:w="140"/>
              <w:bottom w:type="dxa" w:w="75"/>
              <w:right w:type="dxa" w:w="140"/>
            </w:tcMar>
          </w:tcPr>
          <w:p>
            <w:r>
              <w:rPr>
                <w:rFonts w:ascii="Arial" w:cs="Arial" w:eastAsia="Arial" w:hAnsi="Arial"/>
                <w:b/>
                <w:bCs/>
                <w:color w:val="1F4E79"/>
                <w:sz w:val="17"/>
                <w:szCs w:val="17"/>
              </w:rPr>
              <w:t xml:space="preserve">L6 — Bear Market: Evaluate, Never Execute</w:t>
            </w:r>
          </w:p>
          <w:p>
            <w:pPr>
              <w:spacing w:before="35"/>
            </w:pPr>
            <w:r>
              <w:rPr>
                <w:rFonts w:ascii="Arial" w:cs="Arial" w:eastAsia="Arial" w:hAnsi="Arial"/>
                <w:sz w:val="17"/>
                <w:szCs w:val="17"/>
              </w:rPr>
              <w:t xml:space="preserve">Delta filter in evaluation-only mode maintains institutional memory of replacement candidates without triggering churn. Candidates are pre-ranked and ready when regime transitions to Flat/Bull.</w:t>
            </w:r>
          </w:p>
        </w:tc>
      </w:tr>
    </w:tbl>
    <w:p>
      <w:pPr>
        <w:spacing w:after="55" w:before="55"/>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1F4E79" w:sz="4"/>
              <w:left w:val="single" w:color="1F4E79" w:sz="4"/>
              <w:bottom w:val="single" w:color="1F4E79" w:sz="4"/>
              <w:right w:val="single" w:color="1F4E79" w:sz="4"/>
            </w:tcBorders>
            <w:shd w:fill="F2F2F2" w:val="clear"/>
            <w:tcMar>
              <w:top w:type="dxa" w:w="75"/>
              <w:left w:type="dxa" w:w="140"/>
              <w:bottom w:type="dxa" w:w="75"/>
              <w:right w:type="dxa" w:w="140"/>
            </w:tcMar>
          </w:tcPr>
          <w:p>
            <w:r>
              <w:rPr>
                <w:rFonts w:ascii="Arial" w:cs="Arial" w:eastAsia="Arial" w:hAnsi="Arial"/>
                <w:b/>
                <w:bCs/>
                <w:color w:val="1F4E79"/>
                <w:sz w:val="17"/>
                <w:szCs w:val="17"/>
              </w:rPr>
              <w:t xml:space="preserve">L7 — Correlation Fallback Ladder Prevents Gaps</w:t>
            </w:r>
          </w:p>
          <w:p>
            <w:pPr>
              <w:spacing w:before="35"/>
            </w:pPr>
            <w:r>
              <w:rPr>
                <w:rFonts w:ascii="Arial" w:cs="Arial" w:eastAsia="Arial" w:hAnsi="Arial"/>
                <w:sz w:val="17"/>
                <w:szCs w:val="17"/>
              </w:rPr>
              <w:t xml:space="preserve">36M → 24M → 12M → overlap proxy ensures correlation check never silently fails. New funds get Rung 3 or 4 with clear disclosure rather than skipped entirely.</w:t>
            </w:r>
          </w:p>
        </w:tc>
      </w:tr>
    </w:tbl>
    <w:p>
      <w:pPr>
        <w:spacing w:after="55" w:before="55"/>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1F4E79" w:sz="4"/>
              <w:left w:val="single" w:color="1F4E79" w:sz="4"/>
              <w:bottom w:val="single" w:color="1F4E79" w:sz="4"/>
              <w:right w:val="single" w:color="1F4E79" w:sz="4"/>
            </w:tcBorders>
            <w:shd w:fill="F2F2F2" w:val="clear"/>
            <w:tcMar>
              <w:top w:type="dxa" w:w="75"/>
              <w:left w:type="dxa" w:w="140"/>
              <w:bottom w:type="dxa" w:w="75"/>
              <w:right w:type="dxa" w:w="140"/>
            </w:tcMar>
          </w:tcPr>
          <w:p>
            <w:r>
              <w:rPr>
                <w:rFonts w:ascii="Arial" w:cs="Arial" w:eastAsia="Arial" w:hAnsi="Arial"/>
                <w:b/>
                <w:bCs/>
                <w:color w:val="1F4E79"/>
                <w:sz w:val="17"/>
                <w:szCs w:val="17"/>
              </w:rPr>
              <w:t xml:space="preserve">L8 — XIRR &lt; 18M of SIP Is Unreliable</w:t>
            </w:r>
          </w:p>
          <w:p>
            <w:pPr>
              <w:spacing w:before="35"/>
            </w:pPr>
            <w:r>
              <w:rPr>
                <w:rFonts w:ascii="Arial" w:cs="Arial" w:eastAsia="Arial" w:hAnsi="Arial"/>
                <w:sz w:val="17"/>
                <w:szCs w:val="17"/>
              </w:rPr>
              <w:t xml:space="preserve">Rupee-cost averaging means early XIRR is highly volatile. Do not trigger structural reviews based on XIRR readings from the first 18 months of SIP operation.</w:t>
            </w:r>
          </w:p>
        </w:tc>
      </w:tr>
    </w:tbl>
    <w:p>
      <w:pPr>
        <w:spacing w:after="55" w:before="55"/>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1F4E79" w:sz="4"/>
              <w:left w:val="single" w:color="1F4E79" w:sz="4"/>
              <w:bottom w:val="single" w:color="1F4E79" w:sz="4"/>
              <w:right w:val="single" w:color="1F4E79" w:sz="4"/>
            </w:tcBorders>
            <w:shd w:fill="F2F2F2" w:val="clear"/>
            <w:tcMar>
              <w:top w:type="dxa" w:w="75"/>
              <w:left w:type="dxa" w:w="140"/>
              <w:bottom w:type="dxa" w:w="75"/>
              <w:right w:type="dxa" w:w="140"/>
            </w:tcMar>
          </w:tcPr>
          <w:p>
            <w:r>
              <w:rPr>
                <w:rFonts w:ascii="Arial" w:cs="Arial" w:eastAsia="Arial" w:hAnsi="Arial"/>
                <w:b/>
                <w:bCs/>
                <w:color w:val="1F4E79"/>
                <w:sz w:val="17"/>
                <w:szCs w:val="17"/>
              </w:rPr>
              <w:t xml:space="preserve">L9 — Score Inflation Is Structural</w:t>
            </w:r>
          </w:p>
          <w:p>
            <w:pPr>
              <w:spacing w:before="35"/>
            </w:pPr>
            <w:r>
              <w:rPr>
                <w:rFonts w:ascii="Arial" w:cs="Arial" w:eastAsia="Arial" w:hAnsi="Arial"/>
                <w:sz w:val="17"/>
                <w:szCs w:val="17"/>
              </w:rPr>
              <w:t xml:space="preserve">Scores went 63→92 through 5 versions by the same agent making recommendations. Anti-inflation rules + independent verification are permanently embedded.</w:t>
            </w:r>
          </w:p>
        </w:tc>
      </w:tr>
    </w:tbl>
    <w:p>
      <w:pPr>
        <w:spacing w:after="55" w:before="55"/>
      </w:pPr>
    </w:p>
    <w:p>
      <w:pPr>
        <w:pStyle w:val="Heading1"/>
        <w:shd w:fill="1F4E79" w:val="clear"/>
        <w:spacing w:after="100" w:before="240"/>
        <w:ind w:left="150"/>
      </w:pPr>
      <w:r>
        <w:rPr>
          <w:rFonts w:ascii="Arial" w:cs="Arial" w:eastAsia="Arial" w:hAnsi="Arial"/>
          <w:b/>
          <w:bCs/>
          <w:color w:val="FFFFFF"/>
          <w:sz w:val="24"/>
          <w:szCs w:val="24"/>
        </w:rPr>
        <w:t xml:space="preserve">15. SEBI-Compliant Advisory Disclaimer</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1F4E79" w:sz="4"/>
              <w:left w:val="single" w:color="1F4E79" w:sz="4"/>
              <w:bottom w:val="single" w:color="1F4E79" w:sz="4"/>
              <w:right w:val="single" w:color="1F4E79" w:sz="4"/>
            </w:tcBorders>
            <w:shd w:fill="F2F2F2" w:val="clear"/>
            <w:tcMar>
              <w:top w:type="dxa" w:w="75"/>
              <w:left w:type="dxa" w:w="140"/>
              <w:bottom w:type="dxa" w:w="75"/>
              <w:right w:type="dxa" w:w="140"/>
            </w:tcMar>
          </w:tcPr>
          <w:p>
            <w:r>
              <w:rPr>
                <w:rFonts w:ascii="Arial" w:cs="Arial" w:eastAsia="Arial" w:hAnsi="Arial"/>
                <w:color w:val="000000"/>
                <w:sz w:val="17"/>
                <w:szCs w:val="17"/>
              </w:rPr>
              <w:t xml:space="preserve">IMPORTANT DISCLAIMER
This document is for educational and informational purposes only. Generated by an AI-based research tool. Historical returns do not guarantee future performance. Mutual fund investments are subject to market risks. Read all scheme-related documents carefully.
NOT registered investment advice under SEBI (Investment Advisers) Regulations, 2013. Consult a SEBI-registered advisor for personalized guidance.
Rankings and ratings change with market conditions. Risk ratios vary across calculation windows and data sources. Fund SIP availability changes — ALWAYS verify via AMC website (Tier 1) before investing. XIRR zones require fresh NAV data (within 7 trading days). Market regime classification is directional guidance, not a precision model. Stress tests are readiness checks — not market predictions. Scaled cost gate thresholds are illustrative — actual tax impact varies by individual lot and holding period.</w:t>
            </w:r>
          </w:p>
        </w:tc>
      </w:tr>
    </w:tbl>
    <w:p>
      <w:pPr>
        <w:spacing w:after="55" w:before="55"/>
      </w:pPr>
    </w:p>
    <w:p>
      <w:pPr>
        <w:spacing w:after="70" w:before="70"/>
      </w:pPr>
      <w:r>
        <w:rPr>
          <w:rFonts w:ascii="Arial" w:cs="Arial" w:eastAsia="Arial" w:hAnsi="Arial"/>
          <w:b w:val="false"/>
          <w:bCs w:val="false"/>
          <w:i/>
          <w:iCs/>
          <w:color w:val="808080"/>
          <w:sz w:val="15"/>
          <w:szCs w:val="15"/>
        </w:rPr>
        <w:t xml:space="preserve">SEBI-Aware CFA Agent  |  Version 9.0  |  June 2026  |  3-Layer Architecture</w:t>
      </w:r>
    </w:p>
    <w:p>
      <w:pPr>
        <w:spacing w:after="70" w:before="70"/>
      </w:pPr>
      <w:r>
        <w:rPr>
          <w:rFonts w:ascii="Arial" w:cs="Arial" w:eastAsia="Arial" w:hAnsi="Arial"/>
          <w:b w:val="false"/>
          <w:bCs w:val="false"/>
          <w:i/>
          <w:iCs/>
          <w:color w:val="808080"/>
          <w:sz w:val="15"/>
          <w:szCs w:val="15"/>
        </w:rPr>
        <w:t xml:space="preserve">Compatible with Claude, GPT-4, Gemini &amp; all LLMs  |  Next Review: December 2026  |  Max Churn: 2/review  |  v9: Deterministic router + T12 split + Priority order</w:t>
      </w:r>
    </w:p>
    <w:p>
      <w:pPr>
        <w:spacing w:after="70" w:before="70"/>
      </w:pPr>
      <w:r>
        <w:rPr>
          <w:rFonts w:ascii="Arial" w:cs="Arial" w:eastAsia="Arial" w:hAnsi="Arial"/>
          <w:b w:val="false"/>
          <w:bCs w:val="false"/>
          <w:i/>
          <w:iCs/>
          <w:color w:val="808080"/>
          <w:sz w:val="15"/>
          <w:szCs w:val="15"/>
        </w:rPr>
        <w:t xml:space="preserve">Confidential | Educational Use Only | Not SEBI-Registered Investment Advice</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5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40"/>
      <w:outlineLvl w:val="0"/>
    </w:pPr>
    <w:rPr>
      <w:rFonts w:ascii="Arial" w:cs="Arial" w:eastAsia="Arial" w:hAnsi="Arial"/>
      <w:b/>
      <w:bCs/>
      <w:color w:val="FFFFFF"/>
      <w:sz w:val="24"/>
      <w:szCs w:val="24"/>
    </w:rPr>
  </w:style>
  <w:style w:type="paragraph" w:styleId="Heading2">
    <w:name w:val="Heading 2"/>
    <w:basedOn w:val="Normal"/>
    <w:next w:val="Normal"/>
    <w:qFormat/>
    <w:pPr>
      <w:spacing w:after="65" w:before="160"/>
      <w:outlineLvl w:val="1"/>
    </w:pPr>
    <w:rPr>
      <w:rFonts w:ascii="Arial" w:cs="Arial" w:eastAsia="Arial" w:hAnsi="Arial"/>
      <w:b/>
      <w:bCs/>
      <w:color w:val="1F4E79"/>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2026-06-23T11:01:35.622Z</dcterms:created>
  <dcterms:modified xsi:type="dcterms:W3CDTF">2026-06-23T11:01:35.635Z</dcterms:modified>
</cp:coreProperties>
</file>

<file path=docProps/custom.xml><?xml version="1.0" encoding="utf-8"?>
<Properties xmlns="http://schemas.openxmlformats.org/officeDocument/2006/custom-properties" xmlns:vt="http://schemas.openxmlformats.org/officeDocument/2006/docPropsVTypes"/>
</file>