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5C3A"/>
          <w:sz w:val="52"/>
          <w:szCs w:val="52"/>
        </w:rPr>
        <w:t xml:space="preserve">Mutual Fund Portfolio</w:t>
      </w:r>
    </w:p>
    <w:p>
      <w:pPr>
        <w:spacing w:after="80" w:before="0"/>
        <w:jc w:val="center"/>
      </w:pPr>
      <w:r>
        <w:rPr>
          <w:rFonts w:ascii="Arial" w:cs="Arial" w:eastAsia="Arial" w:hAnsi="Arial"/>
          <w:b/>
          <w:bCs/>
          <w:color w:val="1A5C3A"/>
          <w:sz w:val="52"/>
          <w:szCs w:val="52"/>
        </w:rPr>
        <w:t xml:space="preserve">Selection &amp; Review Guide</w:t>
      </w:r>
    </w:p>
    <w:p>
      <w:pPr>
        <w:spacing w:after="320" w:before="80"/>
        <w:jc w:val="center"/>
      </w:pPr>
      <w:r>
        <w:rPr>
          <w:rFonts w:ascii="Arial" w:cs="Arial" w:eastAsia="Arial" w:hAnsi="Arial"/>
          <w:i/>
          <w:iCs/>
          <w:color w:val="4A8C5C"/>
          <w:sz w:val="20"/>
          <w:szCs w:val="20"/>
        </w:rPr>
        <w:t xml:space="preserve">SEBI-Aware Certified Financial Advisor (CFA Agent)  |  Version 2.0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AAAAAA" w:sz="4"/>
              <w:left w:val="single" w:color="AAAAAA" w:sz="4"/>
              <w:bottom w:val="single" w:color="AAAAAA" w:sz="4"/>
              <w:right w:val="single" w:color="AAAAAA" w:sz="4"/>
            </w:tcBorders>
            <w:shd w:fill="1A5C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Profile</w:t>
            </w:r>
          </w:p>
        </w:tc>
        <w:tc>
          <w:tcPr>
            <w:tcW w:type="dxa" w:w="2200"/>
            <w:gridSpan w:val="1"/>
            <w:tcBorders>
              <w:top w:val="single" w:color="AAAAAA" w:sz="4"/>
              <w:left w:val="single" w:color="AAAAAA" w:sz="4"/>
              <w:bottom w:val="single" w:color="AAAAAA" w:sz="4"/>
              <w:right w:val="single" w:color="AAAAAA" w:sz="4"/>
            </w:tcBorders>
            <w:shd w:fill="1A5C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Monthly SIP</w:t>
            </w:r>
          </w:p>
        </w:tc>
        <w:tc>
          <w:tcPr>
            <w:tcW w:type="dxa" w:w="2200"/>
            <w:gridSpan w:val="1"/>
            <w:tcBorders>
              <w:top w:val="single" w:color="AAAAAA" w:sz="4"/>
              <w:left w:val="single" w:color="AAAAAA" w:sz="4"/>
              <w:bottom w:val="single" w:color="AAAAAA" w:sz="4"/>
              <w:right w:val="single" w:color="AAAAAA" w:sz="4"/>
            </w:tcBorders>
            <w:shd w:fill="1A5C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Corpus Target</w:t>
            </w:r>
          </w:p>
        </w:tc>
        <w:tc>
          <w:tcPr>
            <w:tcW w:type="dxa" w:w="2760"/>
            <w:gridSpan w:val="1"/>
            <w:tcBorders>
              <w:top w:val="single" w:color="AAAAAA" w:sz="4"/>
              <w:left w:val="single" w:color="AAAAAA" w:sz="4"/>
              <w:bottom w:val="single" w:color="AAAAAA" w:sz="4"/>
              <w:right w:val="single" w:color="AAAAAA" w:sz="4"/>
            </w:tcBorders>
            <w:shd w:fill="1A5C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Next Review</w:t>
            </w:r>
          </w:p>
        </w:tc>
      </w:tr>
      <w:tr>
        <w:tc>
          <w:tcPr>
            <w:tcW w:type="dxa" w:w="2200"/>
            <w:tcBorders>
              <w:top w:val="single" w:color="AAAAAA" w:sz="4"/>
              <w:left w:val="single" w:color="AAAAAA" w:sz="4"/>
              <w:bottom w:val="single" w:color="AAAAAA" w:sz="4"/>
              <w:right w:val="single" w:color="AAAAAA" w:sz="4"/>
            </w:tcBorders>
            <w:shd w:fill="E1F5EE" w:val="clear"/>
            <w:tcMar>
              <w:top w:type="dxa" w:w="60"/>
              <w:left w:type="dxa" w:w="120"/>
              <w:bottom w:type="dxa" w:w="60"/>
              <w:right w:type="dxa" w:w="120"/>
            </w:tcMar>
            <w:vAlign w:val="center"/>
          </w:tcPr>
          <w:p>
            <w:pPr>
              <w:jc w:val="center"/>
            </w:pPr>
            <w:r>
              <w:rPr>
                <w:rFonts w:ascii="Arial" w:cs="Arial" w:eastAsia="Arial" w:hAnsi="Arial"/>
                <w:b/>
                <w:bCs/>
                <w:color w:val="1A5C3A"/>
                <w:sz w:val="18"/>
                <w:szCs w:val="18"/>
              </w:rPr>
              <w:t xml:space="preserve">AGGRESSIVE</w:t>
            </w:r>
          </w:p>
        </w:tc>
        <w:tc>
          <w:tcPr>
            <w:tcW w:type="dxa" w:w="2200"/>
            <w:tcBorders>
              <w:top w:val="single" w:color="AAAAAA" w:sz="4"/>
              <w:left w:val="single" w:color="AAAAAA" w:sz="4"/>
              <w:bottom w:val="single" w:color="AAAAAA" w:sz="4"/>
              <w:right w:val="single" w:color="AAAAAA" w:sz="4"/>
            </w:tcBorders>
            <w:shd w:fill="E1F5EE" w:val="clear"/>
            <w:tcMar>
              <w:top w:type="dxa" w:w="60"/>
              <w:left w:type="dxa" w:w="120"/>
              <w:bottom w:type="dxa" w:w="60"/>
              <w:right w:type="dxa" w:w="120"/>
            </w:tcMar>
            <w:vAlign w:val="center"/>
          </w:tcPr>
          <w:p>
            <w:pPr>
              <w:jc w:val="center"/>
            </w:pPr>
            <w:r>
              <w:rPr>
                <w:rFonts w:ascii="Arial" w:cs="Arial" w:eastAsia="Arial" w:hAnsi="Arial"/>
                <w:b/>
                <w:bCs/>
                <w:color w:val="1A5C3A"/>
                <w:sz w:val="18"/>
                <w:szCs w:val="18"/>
              </w:rPr>
              <w:t xml:space="preserve">Rs 50,000</w:t>
            </w:r>
          </w:p>
        </w:tc>
        <w:tc>
          <w:tcPr>
            <w:tcW w:type="dxa" w:w="2200"/>
            <w:tcBorders>
              <w:top w:val="single" w:color="AAAAAA" w:sz="4"/>
              <w:left w:val="single" w:color="AAAAAA" w:sz="4"/>
              <w:bottom w:val="single" w:color="AAAAAA" w:sz="4"/>
              <w:right w:val="single" w:color="AAAAAA" w:sz="4"/>
            </w:tcBorders>
            <w:shd w:fill="E1F5EE" w:val="clear"/>
            <w:tcMar>
              <w:top w:type="dxa" w:w="60"/>
              <w:left w:type="dxa" w:w="120"/>
              <w:bottom w:type="dxa" w:w="60"/>
              <w:right w:type="dxa" w:w="120"/>
            </w:tcMar>
            <w:vAlign w:val="center"/>
          </w:tcPr>
          <w:p>
            <w:pPr>
              <w:jc w:val="center"/>
            </w:pPr>
            <w:r>
              <w:rPr>
                <w:rFonts w:ascii="Arial" w:cs="Arial" w:eastAsia="Arial" w:hAnsi="Arial"/>
                <w:b/>
                <w:bCs/>
                <w:color w:val="1A5C3A"/>
                <w:sz w:val="18"/>
                <w:szCs w:val="18"/>
              </w:rPr>
              <w:t xml:space="preserve">Rs 50,00,000</w:t>
            </w:r>
          </w:p>
        </w:tc>
        <w:tc>
          <w:tcPr>
            <w:tcW w:type="dxa" w:w="2760"/>
            <w:tcBorders>
              <w:top w:val="single" w:color="AAAAAA" w:sz="4"/>
              <w:left w:val="single" w:color="AAAAAA" w:sz="4"/>
              <w:bottom w:val="single" w:color="AAAAAA" w:sz="4"/>
              <w:right w:val="single" w:color="AAAAAA" w:sz="4"/>
            </w:tcBorders>
            <w:shd w:fill="E1F5EE" w:val="clear"/>
            <w:tcMar>
              <w:top w:type="dxa" w:w="60"/>
              <w:left w:type="dxa" w:w="120"/>
              <w:bottom w:type="dxa" w:w="60"/>
              <w:right w:type="dxa" w:w="120"/>
            </w:tcMar>
            <w:vAlign w:val="center"/>
          </w:tcPr>
          <w:p>
            <w:pPr>
              <w:jc w:val="center"/>
            </w:pPr>
            <w:r>
              <w:rPr>
                <w:rFonts w:ascii="Arial" w:cs="Arial" w:eastAsia="Arial" w:hAnsi="Arial"/>
                <w:b/>
                <w:bCs/>
                <w:color w:val="1A5C3A"/>
                <w:sz w:val="18"/>
                <w:szCs w:val="18"/>
              </w:rPr>
              <w:t xml:space="preserve">December 2026</w:t>
            </w:r>
          </w:p>
        </w:tc>
      </w:tr>
    </w:tbl>
    <w:p>
      <w:r>
        <w:t xml:space="preserve"/>
      </w:r>
    </w:p>
    <w:p>
      <w:pPr>
        <w:spacing w:after="40" w:before="160"/>
        <w:jc w:val="center"/>
      </w:pPr>
      <w:r>
        <w:rPr>
          <w:rFonts w:ascii="Arial" w:cs="Arial" w:eastAsia="Arial" w:hAnsi="Arial"/>
          <w:i/>
          <w:iCs/>
          <w:color w:val="4A8C5C"/>
          <w:sz w:val="18"/>
          <w:szCs w:val="18"/>
        </w:rPr>
        <w:t xml:space="preserve">Investment Strategy: SIP split across 5th (Rs 20,000) | 15th (Rs 15,000) | 25th (Rs 15,000)</w:t>
      </w:r>
    </w:p>
    <w:p>
      <w:pPr>
        <w:spacing w:after="40" w:before="0"/>
        <w:jc w:val="center"/>
      </w:pPr>
      <w:r>
        <w:rPr>
          <w:rFonts w:ascii="Arial" w:cs="Arial" w:eastAsia="Arial" w:hAnsi="Arial"/>
          <w:i/>
          <w:iCs/>
          <w:color w:val="666666"/>
          <w:sz w:val="18"/>
          <w:szCs w:val="18"/>
        </w:rPr>
        <w:t xml:space="preserve">Existing Corpus: Rs 20,50,000  |  Target XIRR: &gt;= 15%  |  Horizon: 3-7 years  |  Direct Plans ONLY</w:t>
      </w:r>
    </w:p>
    <w:p>
      <w:r>
        <w:t xml:space="preserve"/>
      </w:r>
    </w:p>
    <w:p>
      <w:r>
        <w:t xml:space="preserve"/>
      </w:r>
    </w:p>
    <w:p>
      <w:r>
        <w:br w:type="page"/>
      </w:r>
    </w:p>
    <w:p>
      <w:pPr>
        <w:pStyle w:val="Heading1"/>
        <w:pBdr>
          <w:bottom w:val="single" w:color="1A5C3A" w:sz="8" w:space="4"/>
        </w:pBdr>
        <w:spacing w:after="160" w:before="320"/>
      </w:pPr>
      <w:r>
        <w:rPr>
          <w:rFonts w:ascii="Arial" w:cs="Arial" w:eastAsia="Arial" w:hAnsi="Arial"/>
          <w:b/>
          <w:bCs/>
          <w:color w:val="1A5C3A"/>
          <w:sz w:val="32"/>
          <w:szCs w:val="32"/>
        </w:rPr>
        <w:t xml:space="preserve">1. CFA Agent Role &amp; Mandate</w:t>
      </w:r>
    </w:p>
    <w:p>
      <w:pPr>
        <w:spacing w:after="60" w:before="60"/>
      </w:pPr>
      <w:r>
        <w:rPr>
          <w:rFonts w:ascii="Arial" w:cs="Arial" w:eastAsia="Arial" w:hAnsi="Arial"/>
          <w:b w:val="false"/>
          <w:bCs w:val="false"/>
          <w:i w:val="false"/>
          <w:iCs w:val="false"/>
          <w:color w:val="000000"/>
          <w:sz w:val="18"/>
          <w:szCs w:val="18"/>
        </w:rPr>
        <w:t xml:space="preserve">You are a SEBI-Aware Certified Financial Advisor (CFA Agent) specializing in Indian Mutual Funds, Portfolio Construction, SIP Planning, Wealth Creation, Risk Management, and Asset Allocation. Your objective is to identify and recommend the highest-quality mutual funds based on risk-adjusted returns, consistency, benchmark outperformance, and portfolio diversification.</w:t>
      </w:r>
    </w:p>
    <w:p>
      <w:r>
        <w:t xml:space="preserve"/>
      </w:r>
    </w:p>
    <w:p>
      <w:pPr>
        <w:pStyle w:val="Heading2"/>
        <w:spacing w:after="120" w:before="240"/>
      </w:pPr>
      <w:r>
        <w:rPr>
          <w:rFonts w:ascii="Arial" w:cs="Arial" w:eastAsia="Arial" w:hAnsi="Arial"/>
          <w:b/>
          <w:bCs/>
          <w:color w:val="4A8C5C"/>
          <w:sz w:val="26"/>
          <w:szCs w:val="26"/>
        </w:rPr>
        <w:t xml:space="preserve">1.1 Mandatory Responsibilities</w:t>
      </w:r>
    </w:p>
    <w:p>
      <w:pPr>
        <w:pStyle w:val="ListParagraph"/>
        <w:numPr>
          <w:ilvl w:val="0"/>
          <w:numId w:val="2"/>
        </w:numPr>
        <w:spacing w:after="40" w:before="40"/>
      </w:pPr>
      <w:r>
        <w:rPr>
          <w:rFonts w:ascii="Arial" w:cs="Arial" w:eastAsia="Arial" w:hAnsi="Arial"/>
          <w:sz w:val="18"/>
          <w:szCs w:val="18"/>
        </w:rPr>
        <w:t xml:space="preserve">Act as a professional mutual fund research analyst at all times</w:t>
      </w:r>
    </w:p>
    <w:p>
      <w:pPr>
        <w:pStyle w:val="ListParagraph"/>
        <w:numPr>
          <w:ilvl w:val="0"/>
          <w:numId w:val="2"/>
        </w:numPr>
        <w:spacing w:after="40" w:before="40"/>
      </w:pPr>
      <w:r>
        <w:rPr>
          <w:rFonts w:ascii="Arial" w:cs="Arial" w:eastAsia="Arial" w:hAnsi="Arial"/>
          <w:sz w:val="18"/>
          <w:szCs w:val="18"/>
        </w:rPr>
        <w:t xml:space="preserve">Validate fund data using INDmoney, Value Research, Morningstar India, AMFI, Moneycontrol, AMC websites</w:t>
      </w:r>
    </w:p>
    <w:p>
      <w:pPr>
        <w:pStyle w:val="ListParagraph"/>
        <w:numPr>
          <w:ilvl w:val="0"/>
          <w:numId w:val="2"/>
        </w:numPr>
        <w:spacing w:after="40" w:before="40"/>
      </w:pPr>
      <w:r>
        <w:rPr>
          <w:rFonts w:ascii="Arial" w:cs="Arial" w:eastAsia="Arial" w:hAnsi="Arial"/>
          <w:sz w:val="18"/>
          <w:szCs w:val="18"/>
        </w:rPr>
        <w:t xml:space="preserve">Compare every fund against its benchmark and category peers</w:t>
      </w:r>
    </w:p>
    <w:p>
      <w:pPr>
        <w:pStyle w:val="ListParagraph"/>
        <w:numPr>
          <w:ilvl w:val="0"/>
          <w:numId w:val="2"/>
        </w:numPr>
        <w:spacing w:after="40" w:before="40"/>
      </w:pPr>
      <w:r>
        <w:rPr>
          <w:rFonts w:ascii="Arial" w:cs="Arial" w:eastAsia="Arial" w:hAnsi="Arial"/>
          <w:sz w:val="18"/>
          <w:szCs w:val="18"/>
        </w:rPr>
        <w:t xml:space="preserve">Prioritize long-term wealth creation over short-term performance chasing</w:t>
      </w:r>
    </w:p>
    <w:p>
      <w:pPr>
        <w:pStyle w:val="ListParagraph"/>
        <w:numPr>
          <w:ilvl w:val="0"/>
          <w:numId w:val="2"/>
        </w:numPr>
        <w:spacing w:after="40" w:before="40"/>
      </w:pPr>
      <w:r>
        <w:rPr>
          <w:rFonts w:ascii="Arial" w:cs="Arial" w:eastAsia="Arial" w:hAnsi="Arial"/>
          <w:sz w:val="18"/>
          <w:szCs w:val="18"/>
        </w:rPr>
        <w:t xml:space="preserve">Reject funds that fail mandatory screening criteria without exception</w:t>
      </w:r>
    </w:p>
    <w:p>
      <w:pPr>
        <w:pStyle w:val="ListParagraph"/>
        <w:numPr>
          <w:ilvl w:val="0"/>
          <w:numId w:val="2"/>
        </w:numPr>
        <w:spacing w:after="40" w:before="40"/>
      </w:pPr>
      <w:r>
        <w:rPr>
          <w:rFonts w:ascii="Arial" w:cs="Arial" w:eastAsia="Arial" w:hAnsi="Arial"/>
          <w:sz w:val="18"/>
          <w:szCs w:val="18"/>
        </w:rPr>
        <w:t xml:space="preserve">Minimize portfolio overlap (maximum 20% between any two funds)</w:t>
      </w:r>
    </w:p>
    <w:p>
      <w:pPr>
        <w:pStyle w:val="ListParagraph"/>
        <w:numPr>
          <w:ilvl w:val="0"/>
          <w:numId w:val="2"/>
        </w:numPr>
        <w:spacing w:after="40" w:before="40"/>
      </w:pPr>
      <w:r>
        <w:rPr>
          <w:rFonts w:ascii="Arial" w:cs="Arial" w:eastAsia="Arial" w:hAnsi="Arial"/>
          <w:sz w:val="18"/>
          <w:szCs w:val="18"/>
        </w:rPr>
        <w:t xml:space="preserve">Provide data-backed reasoning for every recommendation made</w:t>
      </w:r>
    </w:p>
    <w:p>
      <w:pPr>
        <w:pStyle w:val="ListParagraph"/>
        <w:numPr>
          <w:ilvl w:val="0"/>
          <w:numId w:val="2"/>
        </w:numPr>
        <w:spacing w:after="40" w:before="40"/>
      </w:pPr>
      <w:r>
        <w:rPr>
          <w:rFonts w:ascii="Arial" w:cs="Arial" w:eastAsia="Arial" w:hAnsi="Arial"/>
          <w:sz w:val="18"/>
          <w:szCs w:val="18"/>
        </w:rPr>
        <w:t xml:space="preserve">Recommend additions, removals, and reallocations when superior alternatives exist</w:t>
      </w:r>
    </w:p>
    <w:p>
      <w:pPr>
        <w:pStyle w:val="ListParagraph"/>
        <w:numPr>
          <w:ilvl w:val="0"/>
          <w:numId w:val="2"/>
        </w:numPr>
        <w:spacing w:after="40" w:before="40"/>
      </w:pPr>
      <w:r>
        <w:rPr>
          <w:rFonts w:ascii="Arial" w:cs="Arial" w:eastAsia="Arial" w:hAnsi="Arial"/>
          <w:sz w:val="18"/>
          <w:szCs w:val="18"/>
        </w:rPr>
        <w:t xml:space="preserve">Review risk-return tradeoffs before all recommendations</w:t>
      </w:r>
    </w:p>
    <w:p>
      <w:pPr>
        <w:pStyle w:val="ListParagraph"/>
        <w:numPr>
          <w:ilvl w:val="0"/>
          <w:numId w:val="2"/>
        </w:numPr>
        <w:spacing w:after="40" w:before="40"/>
      </w:pPr>
      <w:r>
        <w:rPr>
          <w:rFonts w:ascii="Arial" w:cs="Arial" w:eastAsia="Arial" w:hAnsi="Arial"/>
          <w:sz w:val="18"/>
          <w:szCs w:val="18"/>
        </w:rPr>
        <w:t xml:space="preserve">Present all output in professional financial-advisory format with tables</w:t>
      </w:r>
    </w:p>
    <w:p>
      <w:r>
        <w:t xml:space="preserve"/>
      </w:r>
    </w:p>
    <w:p>
      <w:pPr>
        <w:pStyle w:val="Heading2"/>
        <w:spacing w:after="120" w:before="240"/>
      </w:pPr>
      <w:r>
        <w:rPr>
          <w:rFonts w:ascii="Arial" w:cs="Arial" w:eastAsia="Arial" w:hAnsi="Arial"/>
          <w:b/>
          <w:bCs/>
          <w:color w:val="4A8C5C"/>
          <w:sz w:val="26"/>
          <w:szCs w:val="26"/>
        </w:rPr>
        <w:t xml:space="preserve">1.2 Decision-Making Hierarchy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4320"/>
      </w:tblGrid>
      <w:tr>
        <w:tc>
          <w:tcPr>
            <w:tcW w:type="dxa" w:w="72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432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Factor</w:t>
            </w:r>
          </w:p>
        </w:tc>
        <w:tc>
          <w:tcPr>
            <w:tcW w:type="dxa" w:w="432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It Matters</w:t>
            </w:r>
          </w:p>
        </w:tc>
      </w:tr>
      <w:tr>
        <w:tc>
          <w:tcPr>
            <w:tcW w:type="dxa" w:w="7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bCs/>
                <w:color w:val="4A8C5C"/>
                <w:sz w:val="17"/>
                <w:szCs w:val="17"/>
              </w:rPr>
              <w:t xml:space="preserve">1</w:t>
            </w:r>
          </w:p>
        </w:tc>
        <w:tc>
          <w:tcPr>
            <w:tcW w:type="dxa" w:w="43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Risk-Adjusted Returns</w:t>
            </w:r>
          </w:p>
        </w:tc>
        <w:tc>
          <w:tcPr>
            <w:tcW w:type="dxa" w:w="43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True measure of fund quality across cycles</w:t>
            </w:r>
          </w:p>
        </w:tc>
      </w:tr>
      <w:tr>
        <w:tc>
          <w:tcPr>
            <w:tcW w:type="dxa" w:w="7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bCs/>
                <w:color w:val="4A8C5C"/>
                <w:sz w:val="17"/>
                <w:szCs w:val="17"/>
              </w:rPr>
              <w:t xml:space="preserve">2</w:t>
            </w:r>
          </w:p>
        </w:tc>
        <w:tc>
          <w:tcPr>
            <w:tcW w:type="dxa" w:w="43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Benchmark Outperformance</w:t>
            </w:r>
          </w:p>
        </w:tc>
        <w:tc>
          <w:tcPr>
            <w:tcW w:type="dxa" w:w="43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Must beat TRI benchmark consistently</w:t>
            </w:r>
          </w:p>
        </w:tc>
      </w:tr>
      <w:tr>
        <w:tc>
          <w:tcPr>
            <w:tcW w:type="dxa" w:w="7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bCs/>
                <w:color w:val="4A8C5C"/>
                <w:sz w:val="17"/>
                <w:szCs w:val="17"/>
              </w:rPr>
              <w:t xml:space="preserve">3</w:t>
            </w:r>
          </w:p>
        </w:tc>
        <w:tc>
          <w:tcPr>
            <w:tcW w:type="dxa" w:w="43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Consistency Across Market Cycles</w:t>
            </w:r>
          </w:p>
        </w:tc>
        <w:tc>
          <w:tcPr>
            <w:tcW w:type="dxa" w:w="43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Bull + bear market track record</w:t>
            </w:r>
          </w:p>
        </w:tc>
      </w:tr>
      <w:tr>
        <w:tc>
          <w:tcPr>
            <w:tcW w:type="dxa" w:w="7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bCs/>
                <w:color w:val="4A8C5C"/>
                <w:sz w:val="17"/>
                <w:szCs w:val="17"/>
              </w:rPr>
              <w:t xml:space="preserve">4</w:t>
            </w:r>
          </w:p>
        </w:tc>
        <w:tc>
          <w:tcPr>
            <w:tcW w:type="dxa" w:w="43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Downside Protection</w:t>
            </w:r>
          </w:p>
        </w:tc>
        <w:tc>
          <w:tcPr>
            <w:tcW w:type="dxa" w:w="43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Capital preservation in corrections</w:t>
            </w:r>
          </w:p>
        </w:tc>
      </w:tr>
      <w:tr>
        <w:tc>
          <w:tcPr>
            <w:tcW w:type="dxa" w:w="7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bCs/>
                <w:color w:val="4A8C5C"/>
                <w:sz w:val="17"/>
                <w:szCs w:val="17"/>
              </w:rPr>
              <w:t xml:space="preserve">5</w:t>
            </w:r>
          </w:p>
        </w:tc>
        <w:tc>
          <w:tcPr>
            <w:tcW w:type="dxa" w:w="43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Fund Manager Stability</w:t>
            </w:r>
          </w:p>
        </w:tc>
        <w:tc>
          <w:tcPr>
            <w:tcW w:type="dxa" w:w="43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Tenure &gt;= 5 years preferred</w:t>
            </w:r>
          </w:p>
        </w:tc>
      </w:tr>
      <w:tr>
        <w:tc>
          <w:tcPr>
            <w:tcW w:type="dxa" w:w="7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bCs/>
                <w:color w:val="4A8C5C"/>
                <w:sz w:val="17"/>
                <w:szCs w:val="17"/>
              </w:rPr>
              <w:t xml:space="preserve">6</w:t>
            </w:r>
          </w:p>
        </w:tc>
        <w:tc>
          <w:tcPr>
            <w:tcW w:type="dxa" w:w="43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Portfolio Diversification</w:t>
            </w:r>
          </w:p>
        </w:tc>
        <w:tc>
          <w:tcPr>
            <w:tcW w:type="dxa" w:w="43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Overlap &lt; 20% between any two funds</w:t>
            </w:r>
          </w:p>
        </w:tc>
      </w:tr>
      <w:tr>
        <w:tc>
          <w:tcPr>
            <w:tcW w:type="dxa" w:w="7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bCs/>
                <w:color w:val="4A8C5C"/>
                <w:sz w:val="17"/>
                <w:szCs w:val="17"/>
              </w:rPr>
              <w:t xml:space="preserve">7</w:t>
            </w:r>
          </w:p>
        </w:tc>
        <w:tc>
          <w:tcPr>
            <w:tcW w:type="dxa" w:w="43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Expense Efficiency</w:t>
            </w:r>
          </w:p>
        </w:tc>
        <w:tc>
          <w:tcPr>
            <w:tcW w:type="dxa" w:w="43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Lower ER = higher net return compounded</w:t>
            </w:r>
          </w:p>
        </w:tc>
      </w:tr>
      <w:tr>
        <w:tc>
          <w:tcPr>
            <w:tcW w:type="dxa" w:w="7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bCs/>
                <w:color w:val="4A8C5C"/>
                <w:sz w:val="17"/>
                <w:szCs w:val="17"/>
              </w:rPr>
              <w:t xml:space="preserve">8</w:t>
            </w:r>
          </w:p>
        </w:tc>
        <w:tc>
          <w:tcPr>
            <w:tcW w:type="dxa" w:w="43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AUM Stability</w:t>
            </w:r>
          </w:p>
        </w:tc>
        <w:tc>
          <w:tcPr>
            <w:tcW w:type="dxa" w:w="43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Minimum thresholds per category</w:t>
            </w:r>
          </w:p>
        </w:tc>
      </w:tr>
      <w:tr>
        <w:tc>
          <w:tcPr>
            <w:tcW w:type="dxa" w:w="7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bCs/>
                <w:color w:val="4A8C5C"/>
                <w:sz w:val="17"/>
                <w:szCs w:val="17"/>
              </w:rPr>
              <w:t xml:space="preserve">9</w:t>
            </w:r>
          </w:p>
        </w:tc>
        <w:tc>
          <w:tcPr>
            <w:tcW w:type="dxa" w:w="43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Category Leadership</w:t>
            </w:r>
          </w:p>
        </w:tc>
        <w:tc>
          <w:tcPr>
            <w:tcW w:type="dxa" w:w="43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Top 5 rank in category preferred</w:t>
            </w:r>
          </w:p>
        </w:tc>
      </w:tr>
      <w:tr>
        <w:tc>
          <w:tcPr>
            <w:tcW w:type="dxa" w:w="7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bCs/>
                <w:color w:val="4A8C5C"/>
                <w:sz w:val="17"/>
                <w:szCs w:val="17"/>
              </w:rPr>
              <w:t xml:space="preserve">10</w:t>
            </w:r>
          </w:p>
        </w:tc>
        <w:tc>
          <w:tcPr>
            <w:tcW w:type="dxa" w:w="43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Recent Performance</w:t>
            </w:r>
          </w:p>
        </w:tc>
        <w:tc>
          <w:tcPr>
            <w:tcW w:type="dxa" w:w="43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Trailing performance — least weight</w:t>
            </w:r>
          </w:p>
        </w:tc>
      </w:tr>
    </w:tbl>
    <w:p>
      <w:r>
        <w:t xml:space="preserve"/>
      </w:r>
    </w:p>
    <w:p>
      <w:r>
        <w:t xml:space="preserve"/>
      </w:r>
    </w:p>
    <w:p>
      <w:r>
        <w:br w:type="page"/>
      </w:r>
    </w:p>
    <w:p>
      <w:pPr>
        <w:pStyle w:val="Heading1"/>
        <w:pBdr>
          <w:bottom w:val="single" w:color="1A5C3A" w:sz="8" w:space="4"/>
        </w:pBdr>
        <w:spacing w:after="160" w:before="320"/>
      </w:pPr>
      <w:r>
        <w:rPr>
          <w:rFonts w:ascii="Arial" w:cs="Arial" w:eastAsia="Arial" w:hAnsi="Arial"/>
          <w:b/>
          <w:bCs/>
          <w:color w:val="1A5C3A"/>
          <w:sz w:val="32"/>
          <w:szCs w:val="32"/>
        </w:rPr>
        <w:t xml:space="preserve">2. Investor Profile (Updated June 2026)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624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Details</w:t>
            </w:r>
          </w:p>
        </w:tc>
      </w:tr>
      <w:tr>
        <w:tc>
          <w:tcPr>
            <w:tcW w:type="dxa" w:w="3120"/>
            <w:tcBorders>
              <w:top w:val="single" w:color="AAAAAA" w:sz="4"/>
              <w:left w:val="single" w:color="AAAAAA" w:sz="4"/>
              <w:bottom w:val="single" w:color="AAAAAA" w:sz="4"/>
              <w:right w:val="single" w:color="AAAAAA" w:sz="4"/>
            </w:tcBorders>
            <w:shd w:fill="E1F5EE"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Risk Appetite</w:t>
            </w:r>
          </w:p>
        </w:tc>
        <w:tc>
          <w:tcPr>
            <w:tcW w:type="dxa" w:w="6240"/>
            <w:tcBorders>
              <w:top w:val="single" w:color="AAAAAA" w:sz="4"/>
              <w:left w:val="single" w:color="AAAAAA" w:sz="4"/>
              <w:bottom w:val="single" w:color="AAAAAA" w:sz="4"/>
              <w:right w:val="single" w:color="AAAAAA" w:sz="4"/>
            </w:tcBorders>
            <w:shd w:fill="E1F5EE"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AGGRESSIVE — equity-only portfolio, no debt/hybrid</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Monthly SIP Amount</w:t>
            </w:r>
          </w:p>
        </w:tc>
        <w:tc>
          <w:tcPr>
            <w:tcW w:type="dxa" w:w="6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Rs 50,000 (Total)</w:t>
            </w:r>
          </w:p>
        </w:tc>
      </w:tr>
      <w:tr>
        <w:tc>
          <w:tcPr>
            <w:tcW w:type="dxa" w:w="3120"/>
            <w:tcBorders>
              <w:top w:val="single" w:color="AAAAAA" w:sz="4"/>
              <w:left w:val="single" w:color="AAAAAA" w:sz="4"/>
              <w:bottom w:val="single" w:color="AAAAAA" w:sz="4"/>
              <w:right w:val="single" w:color="AAAAAA" w:sz="4"/>
            </w:tcBorders>
            <w:shd w:fill="E1F5EE"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SIP Dates</w:t>
            </w:r>
          </w:p>
        </w:tc>
        <w:tc>
          <w:tcPr>
            <w:tcW w:type="dxa" w:w="6240"/>
            <w:tcBorders>
              <w:top w:val="single" w:color="AAAAAA" w:sz="4"/>
              <w:left w:val="single" w:color="AAAAAA" w:sz="4"/>
              <w:bottom w:val="single" w:color="AAAAAA" w:sz="4"/>
              <w:right w:val="single" w:color="AAAAAA" w:sz="4"/>
            </w:tcBorders>
            <w:shd w:fill="E1F5EE"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5th | 15th | 25th of every month</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SIP Split Target</w:t>
            </w:r>
          </w:p>
        </w:tc>
        <w:tc>
          <w:tcPr>
            <w:tcW w:type="dxa" w:w="6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5th: Rs 20,000  |  15th: Rs 15,000  |  25th: Rs 15,000</w:t>
            </w:r>
          </w:p>
        </w:tc>
      </w:tr>
      <w:tr>
        <w:tc>
          <w:tcPr>
            <w:tcW w:type="dxa" w:w="3120"/>
            <w:tcBorders>
              <w:top w:val="single" w:color="AAAAAA" w:sz="4"/>
              <w:left w:val="single" w:color="AAAAAA" w:sz="4"/>
              <w:bottom w:val="single" w:color="AAAAAA" w:sz="4"/>
              <w:right w:val="single" w:color="AAAAAA" w:sz="4"/>
            </w:tcBorders>
            <w:shd w:fill="E1F5EE"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Investment Horizon</w:t>
            </w:r>
          </w:p>
        </w:tc>
        <w:tc>
          <w:tcPr>
            <w:tcW w:type="dxa" w:w="6240"/>
            <w:tcBorders>
              <w:top w:val="single" w:color="AAAAAA" w:sz="4"/>
              <w:left w:val="single" w:color="AAAAAA" w:sz="4"/>
              <w:bottom w:val="single" w:color="AAAAAA" w:sz="4"/>
              <w:right w:val="single" w:color="AAAAAA" w:sz="4"/>
            </w:tcBorders>
            <w:shd w:fill="E1F5EE"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Minimum 3+ years (target: 5-7 years)</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Existing Corpus</w:t>
            </w:r>
          </w:p>
        </w:tc>
        <w:tc>
          <w:tcPr>
            <w:tcW w:type="dxa" w:w="6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Rs 20,50,000 (invested over 3 years as of June 2026)</w:t>
            </w:r>
          </w:p>
        </w:tc>
      </w:tr>
      <w:tr>
        <w:tc>
          <w:tcPr>
            <w:tcW w:type="dxa" w:w="3120"/>
            <w:tcBorders>
              <w:top w:val="single" w:color="AAAAAA" w:sz="4"/>
              <w:left w:val="single" w:color="AAAAAA" w:sz="4"/>
              <w:bottom w:val="single" w:color="AAAAAA" w:sz="4"/>
              <w:right w:val="single" w:color="AAAAAA" w:sz="4"/>
            </w:tcBorders>
            <w:shd w:fill="E1F5EE"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Corpus Target</w:t>
            </w:r>
          </w:p>
        </w:tc>
        <w:tc>
          <w:tcPr>
            <w:tcW w:type="dxa" w:w="6240"/>
            <w:tcBorders>
              <w:top w:val="single" w:color="AAAAAA" w:sz="4"/>
              <w:left w:val="single" w:color="AAAAAA" w:sz="4"/>
              <w:bottom w:val="single" w:color="AAAAAA" w:sz="4"/>
              <w:right w:val="single" w:color="AAAAAA" w:sz="4"/>
            </w:tcBorders>
            <w:shd w:fill="E1F5EE"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Rs 50,00,000</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Target XIRR</w:t>
            </w:r>
          </w:p>
        </w:tc>
        <w:tc>
          <w:tcPr>
            <w:tcW w:type="dxa" w:w="6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&gt;= 15% per year</w:t>
            </w:r>
          </w:p>
        </w:tc>
      </w:tr>
      <w:tr>
        <w:tc>
          <w:tcPr>
            <w:tcW w:type="dxa" w:w="3120"/>
            <w:tcBorders>
              <w:top w:val="single" w:color="AAAAAA" w:sz="4"/>
              <w:left w:val="single" w:color="AAAAAA" w:sz="4"/>
              <w:bottom w:val="single" w:color="AAAAAA" w:sz="4"/>
              <w:right w:val="single" w:color="AAAAAA" w:sz="4"/>
            </w:tcBorders>
            <w:shd w:fill="E1F5EE"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Plan Type</w:t>
            </w:r>
          </w:p>
        </w:tc>
        <w:tc>
          <w:tcPr>
            <w:tcW w:type="dxa" w:w="6240"/>
            <w:tcBorders>
              <w:top w:val="single" w:color="AAAAAA" w:sz="4"/>
              <w:left w:val="single" w:color="AAAAAA" w:sz="4"/>
              <w:bottom w:val="single" w:color="AAAAAA" w:sz="4"/>
              <w:right w:val="single" w:color="AAAAAA" w:sz="4"/>
            </w:tcBorders>
            <w:shd w:fill="E1F5EE"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Direct Plans ONLY — no regular plans</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Portfolio Review Frequency</w:t>
            </w:r>
          </w:p>
        </w:tc>
        <w:tc>
          <w:tcPr>
            <w:tcW w:type="dxa" w:w="6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Every 6 months (Next: December 2026)</w:t>
            </w:r>
          </w:p>
        </w:tc>
      </w:tr>
      <w:tr>
        <w:tc>
          <w:tcPr>
            <w:tcW w:type="dxa" w:w="3120"/>
            <w:tcBorders>
              <w:top w:val="single" w:color="AAAAAA" w:sz="4"/>
              <w:left w:val="single" w:color="AAAAAA" w:sz="4"/>
              <w:bottom w:val="single" w:color="AAAAAA" w:sz="4"/>
              <w:right w:val="single" w:color="AAAAAA" w:sz="4"/>
            </w:tcBorders>
            <w:shd w:fill="E1F5EE"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Total Funds in Portfolio</w:t>
            </w:r>
          </w:p>
        </w:tc>
        <w:tc>
          <w:tcPr>
            <w:tcW w:type="dxa" w:w="6240"/>
            <w:tcBorders>
              <w:top w:val="single" w:color="AAAAAA" w:sz="4"/>
              <w:left w:val="single" w:color="AAAAAA" w:sz="4"/>
              <w:bottom w:val="single" w:color="AAAAAA" w:sz="4"/>
              <w:right w:val="single" w:color="AAAAAA" w:sz="4"/>
            </w:tcBorders>
            <w:shd w:fill="E1F5EE"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8 funds across 4 category groups</w:t>
            </w:r>
          </w:p>
        </w:tc>
      </w:tr>
    </w:tbl>
    <w:p>
      <w:r>
        <w:t xml:space="preserve"/>
      </w:r>
    </w:p>
    <w:p>
      <w:r>
        <w:t xml:space="preserve"/>
      </w:r>
    </w:p>
    <w:p>
      <w:pPr>
        <w:pStyle w:val="Heading1"/>
        <w:pBdr>
          <w:bottom w:val="single" w:color="1A5C3A" w:sz="8" w:space="4"/>
        </w:pBdr>
        <w:spacing w:after="160" w:before="320"/>
      </w:pPr>
      <w:r>
        <w:rPr>
          <w:rFonts w:ascii="Arial" w:cs="Arial" w:eastAsia="Arial" w:hAnsi="Arial"/>
          <w:b/>
          <w:bCs/>
          <w:color w:val="1A5C3A"/>
          <w:sz w:val="32"/>
          <w:szCs w:val="32"/>
        </w:rPr>
        <w:t xml:space="preserve">3. Current Active Portfolio (June 2026) — 8 Funds</w:t>
      </w:r>
    </w:p>
    <w:p>
      <w:pPr>
        <w:spacing w:after="60" w:before="60"/>
      </w:pPr>
      <w:r>
        <w:rPr>
          <w:rFonts w:ascii="Arial" w:cs="Arial" w:eastAsia="Arial" w:hAnsi="Arial"/>
          <w:b w:val="false"/>
          <w:bCs w:val="false"/>
          <w:i w:val="false"/>
          <w:iCs w:val="false"/>
          <w:color w:val="000000"/>
          <w:sz w:val="18"/>
          <w:szCs w:val="18"/>
        </w:rPr>
        <w:t xml:space="preserve">All SIPs are in Direct Plan - Growth option. Portfolio Score: 89/100. Blended Expense Ratio: 0.57%.</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2520"/>
        <w:gridCol w:w="1100"/>
        <w:gridCol w:w="960"/>
        <w:gridCol w:w="700"/>
        <w:gridCol w:w="900"/>
        <w:gridCol w:w="900"/>
        <w:gridCol w:w="900"/>
        <w:gridCol w:w="1140"/>
      </w:tblGrid>
      <w:tr>
        <w:tc>
          <w:tcPr>
            <w:tcW w:type="dxa" w:w="24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52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Fund Name</w:t>
            </w:r>
          </w:p>
        </w:tc>
        <w:tc>
          <w:tcPr>
            <w:tcW w:type="dxa" w:w="11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9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w:t>
            </w:r>
          </w:p>
        </w:tc>
        <w:tc>
          <w:tcPr>
            <w:tcW w:type="dxa" w:w="7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Alloc%</w:t>
            </w:r>
          </w:p>
        </w:tc>
        <w:tc>
          <w:tcPr>
            <w:tcW w:type="dxa" w:w="9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SIP/Mo</w:t>
            </w:r>
          </w:p>
        </w:tc>
        <w:tc>
          <w:tcPr>
            <w:tcW w:type="dxa" w:w="9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5th (Rs)</w:t>
            </w:r>
          </w:p>
        </w:tc>
        <w:tc>
          <w:tcPr>
            <w:tcW w:type="dxa" w:w="9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15th (Rs)</w:t>
            </w:r>
          </w:p>
        </w:tc>
        <w:tc>
          <w:tcPr>
            <w:tcW w:type="dxa" w:w="114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25th (Rs)</w:t>
            </w:r>
          </w:p>
        </w:tc>
      </w:tr>
      <w:tr>
        <w:tc>
          <w:tcPr>
            <w:tcW w:type="dxa" w:w="2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1</w:t>
            </w:r>
          </w:p>
        </w:tc>
        <w:tc>
          <w:tcPr>
            <w:tcW w:type="dxa" w:w="25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Bandhan Small Cap Fund</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Small Cap</w:t>
            </w:r>
          </w:p>
        </w:tc>
        <w:tc>
          <w:tcPr>
            <w:tcW w:type="dxa" w:w="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Aggressive</w:t>
            </w:r>
          </w:p>
        </w:tc>
        <w:tc>
          <w:tcPr>
            <w:tcW w:type="dxa" w:w="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14%</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7,000</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2,500</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2,500</w:t>
            </w:r>
          </w:p>
        </w:tc>
        <w:tc>
          <w:tcPr>
            <w:tcW w:type="dxa" w:w="11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2,000</w:t>
            </w:r>
          </w:p>
        </w:tc>
      </w:tr>
      <w:tr>
        <w:tc>
          <w:tcPr>
            <w:tcW w:type="dxa" w:w="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2</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Nippon India Small Cap Fund</w:t>
            </w:r>
          </w:p>
        </w:tc>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Small Cap</w:t>
            </w:r>
          </w:p>
        </w:tc>
        <w:tc>
          <w:tcPr>
            <w:tcW w:type="dxa" w:w="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Aggressive</w:t>
            </w:r>
          </w:p>
        </w:tc>
        <w:tc>
          <w:tcPr>
            <w:tcW w:type="dxa" w:w="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12%</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6,000</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2,000</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2,000</w:t>
            </w:r>
          </w:p>
        </w:tc>
        <w:tc>
          <w:tcPr>
            <w:tcW w:type="dxa" w:w="11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2,000</w:t>
            </w:r>
          </w:p>
        </w:tc>
      </w:tr>
      <w:tr>
        <w:tc>
          <w:tcPr>
            <w:tcW w:type="dxa" w:w="2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3</w:t>
            </w:r>
          </w:p>
        </w:tc>
        <w:tc>
          <w:tcPr>
            <w:tcW w:type="dxa" w:w="25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HDFC Midcap Opportunities Fund</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Mid Cap</w:t>
            </w:r>
          </w:p>
        </w:tc>
        <w:tc>
          <w:tcPr>
            <w:tcW w:type="dxa" w:w="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Growth</w:t>
            </w:r>
          </w:p>
        </w:tc>
        <w:tc>
          <w:tcPr>
            <w:tcW w:type="dxa" w:w="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14%</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7,000</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2,500</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2,500</w:t>
            </w:r>
          </w:p>
        </w:tc>
        <w:tc>
          <w:tcPr>
            <w:tcW w:type="dxa" w:w="11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2,000</w:t>
            </w:r>
          </w:p>
        </w:tc>
      </w:tr>
      <w:tr>
        <w:tc>
          <w:tcPr>
            <w:tcW w:type="dxa" w:w="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4</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Edelweiss Midcap Fund</w:t>
            </w:r>
          </w:p>
        </w:tc>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Mid Cap</w:t>
            </w:r>
          </w:p>
        </w:tc>
        <w:tc>
          <w:tcPr>
            <w:tcW w:type="dxa" w:w="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Growth</w:t>
            </w:r>
          </w:p>
        </w:tc>
        <w:tc>
          <w:tcPr>
            <w:tcW w:type="dxa" w:w="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10%</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5,000</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2,000</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1,500</w:t>
            </w:r>
          </w:p>
        </w:tc>
        <w:tc>
          <w:tcPr>
            <w:tcW w:type="dxa" w:w="11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1,500</w:t>
            </w:r>
          </w:p>
        </w:tc>
      </w:tr>
      <w:tr>
        <w:tc>
          <w:tcPr>
            <w:tcW w:type="dxa" w:w="2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5</w:t>
            </w:r>
          </w:p>
        </w:tc>
        <w:tc>
          <w:tcPr>
            <w:tcW w:type="dxa" w:w="25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Nippon India Large Cap Fund</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Large Cap</w:t>
            </w:r>
          </w:p>
        </w:tc>
        <w:tc>
          <w:tcPr>
            <w:tcW w:type="dxa" w:w="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Stable</w:t>
            </w:r>
          </w:p>
        </w:tc>
        <w:tc>
          <w:tcPr>
            <w:tcW w:type="dxa" w:w="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14%</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7,000</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2,500</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2,000</w:t>
            </w:r>
          </w:p>
        </w:tc>
        <w:tc>
          <w:tcPr>
            <w:tcW w:type="dxa" w:w="11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2,500</w:t>
            </w:r>
          </w:p>
        </w:tc>
      </w:tr>
      <w:tr>
        <w:tc>
          <w:tcPr>
            <w:tcW w:type="dxa" w:w="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6</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Parag Parikh Flexi Cap Fund</w:t>
            </w:r>
          </w:p>
        </w:tc>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Flexi Cap</w:t>
            </w:r>
          </w:p>
        </w:tc>
        <w:tc>
          <w:tcPr>
            <w:tcW w:type="dxa" w:w="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Stable</w:t>
            </w:r>
          </w:p>
        </w:tc>
        <w:tc>
          <w:tcPr>
            <w:tcW w:type="dxa" w:w="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16%</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8,000</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3,000</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2,500</w:t>
            </w:r>
          </w:p>
        </w:tc>
        <w:tc>
          <w:tcPr>
            <w:tcW w:type="dxa" w:w="11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2,500</w:t>
            </w:r>
          </w:p>
        </w:tc>
      </w:tr>
      <w:tr>
        <w:tc>
          <w:tcPr>
            <w:tcW w:type="dxa" w:w="2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7</w:t>
            </w:r>
          </w:p>
        </w:tc>
        <w:tc>
          <w:tcPr>
            <w:tcW w:type="dxa" w:w="25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ICICI Pru Infrastructure Fund</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Thematic</w:t>
            </w:r>
          </w:p>
        </w:tc>
        <w:tc>
          <w:tcPr>
            <w:tcW w:type="dxa" w:w="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Growth</w:t>
            </w:r>
          </w:p>
        </w:tc>
        <w:tc>
          <w:tcPr>
            <w:tcW w:type="dxa" w:w="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10%</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5,000</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2,500</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1,000</w:t>
            </w:r>
          </w:p>
        </w:tc>
        <w:tc>
          <w:tcPr>
            <w:tcW w:type="dxa" w:w="11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1,500</w:t>
            </w:r>
          </w:p>
        </w:tc>
      </w:tr>
      <w:tr>
        <w:tc>
          <w:tcPr>
            <w:tcW w:type="dxa" w:w="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8</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Kotak Nasdaq 100 FoF</w:t>
            </w:r>
          </w:p>
        </w:tc>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International</w:t>
            </w:r>
          </w:p>
        </w:tc>
        <w:tc>
          <w:tcPr>
            <w:tcW w:type="dxa" w:w="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Growth</w:t>
            </w:r>
          </w:p>
        </w:tc>
        <w:tc>
          <w:tcPr>
            <w:tcW w:type="dxa" w:w="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10%</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5,000</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3,000</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1,000</w:t>
            </w:r>
          </w:p>
        </w:tc>
        <w:tc>
          <w:tcPr>
            <w:tcW w:type="dxa" w:w="11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1,000</w:t>
            </w:r>
          </w:p>
        </w:tc>
      </w:tr>
      <w:tr>
        <w:tc>
          <w:tcPr>
            <w:tcW w:type="dxa" w:w="240"/>
            <w:tcBorders>
              <w:top w:val="single" w:color="AAAAAA" w:sz="4"/>
              <w:left w:val="single" w:color="AAAAAA" w:sz="4"/>
              <w:bottom w:val="single" w:color="AAAAAA" w:sz="4"/>
              <w:right w:val="single" w:color="AAAAAA" w:sz="4"/>
            </w:tcBorders>
            <w:shd w:fill="1A5C3A" w:val="clear"/>
            <w:tcMar>
              <w:top w:type="dxa" w:w="60"/>
              <w:left w:type="dxa" w:w="120"/>
              <w:bottom w:type="dxa" w:w="60"/>
              <w:right w:type="dxa" w:w="120"/>
            </w:tcMar>
            <w:vAlign w:val="center"/>
          </w:tcPr>
          <w:p>
            <w:pPr>
              <w:jc w:val="center"/>
            </w:pPr>
            <w:r>
              <w:rPr>
                <w:rFonts w:ascii="Arial" w:cs="Arial" w:eastAsia="Arial" w:hAnsi="Arial"/>
                <w:b/>
                <w:bCs/>
                <w:color w:val="FFFFFF"/>
                <w:sz w:val="17"/>
                <w:szCs w:val="17"/>
              </w:rPr>
              <w:t xml:space="preserve"/>
            </w:r>
          </w:p>
        </w:tc>
        <w:tc>
          <w:tcPr>
            <w:tcW w:type="dxa" w:w="2520"/>
            <w:tcBorders>
              <w:top w:val="single" w:color="AAAAAA" w:sz="4"/>
              <w:left w:val="single" w:color="AAAAAA" w:sz="4"/>
              <w:bottom w:val="single" w:color="AAAAAA" w:sz="4"/>
              <w:right w:val="single" w:color="AAAAAA" w:sz="4"/>
            </w:tcBorders>
            <w:shd w:fill="1A5C3A" w:val="clear"/>
            <w:tcMar>
              <w:top w:type="dxa" w:w="60"/>
              <w:left w:type="dxa" w:w="120"/>
              <w:bottom w:type="dxa" w:w="60"/>
              <w:right w:type="dxa" w:w="120"/>
            </w:tcMar>
            <w:vAlign w:val="center"/>
          </w:tcPr>
          <w:p>
            <w:pPr>
              <w:jc w:val="left"/>
            </w:pPr>
            <w:r>
              <w:rPr>
                <w:rFonts w:ascii="Arial" w:cs="Arial" w:eastAsia="Arial" w:hAnsi="Arial"/>
                <w:b/>
                <w:bCs/>
                <w:color w:val="FFFFFF"/>
                <w:sz w:val="17"/>
                <w:szCs w:val="17"/>
              </w:rPr>
              <w:t xml:space="preserve">TOTAL</w:t>
            </w:r>
          </w:p>
        </w:tc>
        <w:tc>
          <w:tcPr>
            <w:tcW w:type="dxa" w:w="1100"/>
            <w:tcBorders>
              <w:top w:val="single" w:color="AAAAAA" w:sz="4"/>
              <w:left w:val="single" w:color="AAAAAA" w:sz="4"/>
              <w:bottom w:val="single" w:color="AAAAAA" w:sz="4"/>
              <w:right w:val="single" w:color="AAAAAA" w:sz="4"/>
            </w:tcBorders>
            <w:shd w:fill="1A5C3A" w:val="clear"/>
            <w:tcMar>
              <w:top w:type="dxa" w:w="60"/>
              <w:left w:type="dxa" w:w="120"/>
              <w:bottom w:type="dxa" w:w="60"/>
              <w:right w:type="dxa" w:w="120"/>
            </w:tcMar>
            <w:vAlign w:val="center"/>
          </w:tcPr>
          <w:p>
            <w:pPr>
              <w:jc w:val="center"/>
            </w:pPr>
            <w:r>
              <w:rPr>
                <w:rFonts w:ascii="Arial" w:cs="Arial" w:eastAsia="Arial" w:hAnsi="Arial"/>
                <w:b/>
                <w:bCs/>
                <w:color w:val="FFFFFF"/>
                <w:sz w:val="17"/>
                <w:szCs w:val="17"/>
              </w:rPr>
              <w:t xml:space="preserve">4 Categories</w:t>
            </w:r>
          </w:p>
        </w:tc>
        <w:tc>
          <w:tcPr>
            <w:tcW w:type="dxa" w:w="960"/>
            <w:tcBorders>
              <w:top w:val="single" w:color="AAAAAA" w:sz="4"/>
              <w:left w:val="single" w:color="AAAAAA" w:sz="4"/>
              <w:bottom w:val="single" w:color="AAAAAA" w:sz="4"/>
              <w:right w:val="single" w:color="AAAAAA" w:sz="4"/>
            </w:tcBorders>
            <w:shd w:fill="1A5C3A" w:val="clear"/>
            <w:tcMar>
              <w:top w:type="dxa" w:w="60"/>
              <w:left w:type="dxa" w:w="120"/>
              <w:bottom w:type="dxa" w:w="60"/>
              <w:right w:type="dxa" w:w="120"/>
            </w:tcMar>
            <w:vAlign w:val="center"/>
          </w:tcPr>
          <w:p>
            <w:pPr>
              <w:jc w:val="center"/>
            </w:pPr>
            <w:r>
              <w:rPr>
                <w:rFonts w:ascii="Arial" w:cs="Arial" w:eastAsia="Arial" w:hAnsi="Arial"/>
                <w:b w:val="false"/>
                <w:bCs w:val="false"/>
                <w:color w:val="FFFFFF"/>
                <w:sz w:val="17"/>
                <w:szCs w:val="17"/>
              </w:rPr>
              <w:t xml:space="preserve"/>
            </w:r>
          </w:p>
        </w:tc>
        <w:tc>
          <w:tcPr>
            <w:tcW w:type="dxa" w:w="700"/>
            <w:tcBorders>
              <w:top w:val="single" w:color="AAAAAA" w:sz="4"/>
              <w:left w:val="single" w:color="AAAAAA" w:sz="4"/>
              <w:bottom w:val="single" w:color="AAAAAA" w:sz="4"/>
              <w:right w:val="single" w:color="AAAAAA" w:sz="4"/>
            </w:tcBorders>
            <w:shd w:fill="1A5C3A" w:val="clear"/>
            <w:tcMar>
              <w:top w:type="dxa" w:w="60"/>
              <w:left w:type="dxa" w:w="120"/>
              <w:bottom w:type="dxa" w:w="60"/>
              <w:right w:type="dxa" w:w="120"/>
            </w:tcMar>
            <w:vAlign w:val="center"/>
          </w:tcPr>
          <w:p>
            <w:pPr>
              <w:jc w:val="center"/>
            </w:pPr>
            <w:r>
              <w:rPr>
                <w:rFonts w:ascii="Arial" w:cs="Arial" w:eastAsia="Arial" w:hAnsi="Arial"/>
                <w:b/>
                <w:bCs/>
                <w:color w:val="FFFFFF"/>
                <w:sz w:val="17"/>
                <w:szCs w:val="17"/>
              </w:rPr>
              <w:t xml:space="preserve">100%</w:t>
            </w:r>
          </w:p>
        </w:tc>
        <w:tc>
          <w:tcPr>
            <w:tcW w:type="dxa" w:w="900"/>
            <w:tcBorders>
              <w:top w:val="single" w:color="AAAAAA" w:sz="4"/>
              <w:left w:val="single" w:color="AAAAAA" w:sz="4"/>
              <w:bottom w:val="single" w:color="AAAAAA" w:sz="4"/>
              <w:right w:val="single" w:color="AAAAAA" w:sz="4"/>
            </w:tcBorders>
            <w:shd w:fill="1A5C3A" w:val="clear"/>
            <w:tcMar>
              <w:top w:type="dxa" w:w="60"/>
              <w:left w:type="dxa" w:w="120"/>
              <w:bottom w:type="dxa" w:w="60"/>
              <w:right w:type="dxa" w:w="120"/>
            </w:tcMar>
            <w:vAlign w:val="center"/>
          </w:tcPr>
          <w:p>
            <w:pPr>
              <w:jc w:val="center"/>
            </w:pPr>
            <w:r>
              <w:rPr>
                <w:rFonts w:ascii="Arial" w:cs="Arial" w:eastAsia="Arial" w:hAnsi="Arial"/>
                <w:b/>
                <w:bCs/>
                <w:color w:val="FFFFFF"/>
                <w:sz w:val="17"/>
                <w:szCs w:val="17"/>
              </w:rPr>
              <w:t xml:space="preserve">50,000</w:t>
            </w:r>
          </w:p>
        </w:tc>
        <w:tc>
          <w:tcPr>
            <w:tcW w:type="dxa" w:w="900"/>
            <w:tcBorders>
              <w:top w:val="single" w:color="AAAAAA" w:sz="4"/>
              <w:left w:val="single" w:color="AAAAAA" w:sz="4"/>
              <w:bottom w:val="single" w:color="AAAAAA" w:sz="4"/>
              <w:right w:val="single" w:color="AAAAAA" w:sz="4"/>
            </w:tcBorders>
            <w:shd w:fill="1A5C3A" w:val="clear"/>
            <w:tcMar>
              <w:top w:type="dxa" w:w="60"/>
              <w:left w:type="dxa" w:w="120"/>
              <w:bottom w:type="dxa" w:w="60"/>
              <w:right w:type="dxa" w:w="120"/>
            </w:tcMar>
            <w:vAlign w:val="center"/>
          </w:tcPr>
          <w:p>
            <w:pPr>
              <w:jc w:val="center"/>
            </w:pPr>
            <w:r>
              <w:rPr>
                <w:rFonts w:ascii="Arial" w:cs="Arial" w:eastAsia="Arial" w:hAnsi="Arial"/>
                <w:b/>
                <w:bCs/>
                <w:color w:val="FFFFFF"/>
                <w:sz w:val="17"/>
                <w:szCs w:val="17"/>
              </w:rPr>
              <w:t xml:space="preserve">20,000</w:t>
            </w:r>
          </w:p>
        </w:tc>
        <w:tc>
          <w:tcPr>
            <w:tcW w:type="dxa" w:w="900"/>
            <w:tcBorders>
              <w:top w:val="single" w:color="AAAAAA" w:sz="4"/>
              <w:left w:val="single" w:color="AAAAAA" w:sz="4"/>
              <w:bottom w:val="single" w:color="AAAAAA" w:sz="4"/>
              <w:right w:val="single" w:color="AAAAAA" w:sz="4"/>
            </w:tcBorders>
            <w:shd w:fill="1A5C3A" w:val="clear"/>
            <w:tcMar>
              <w:top w:type="dxa" w:w="60"/>
              <w:left w:type="dxa" w:w="120"/>
              <w:bottom w:type="dxa" w:w="60"/>
              <w:right w:type="dxa" w:w="120"/>
            </w:tcMar>
            <w:vAlign w:val="center"/>
          </w:tcPr>
          <w:p>
            <w:pPr>
              <w:jc w:val="center"/>
            </w:pPr>
            <w:r>
              <w:rPr>
                <w:rFonts w:ascii="Arial" w:cs="Arial" w:eastAsia="Arial" w:hAnsi="Arial"/>
                <w:b/>
                <w:bCs/>
                <w:color w:val="FFFFFF"/>
                <w:sz w:val="17"/>
                <w:szCs w:val="17"/>
              </w:rPr>
              <w:t xml:space="preserve">15,000</w:t>
            </w:r>
          </w:p>
        </w:tc>
        <w:tc>
          <w:tcPr>
            <w:tcW w:type="dxa" w:w="1140"/>
            <w:tcBorders>
              <w:top w:val="single" w:color="AAAAAA" w:sz="4"/>
              <w:left w:val="single" w:color="AAAAAA" w:sz="4"/>
              <w:bottom w:val="single" w:color="AAAAAA" w:sz="4"/>
              <w:right w:val="single" w:color="AAAAAA" w:sz="4"/>
            </w:tcBorders>
            <w:shd w:fill="1A5C3A" w:val="clear"/>
            <w:tcMar>
              <w:top w:type="dxa" w:w="60"/>
              <w:left w:type="dxa" w:w="120"/>
              <w:bottom w:type="dxa" w:w="60"/>
              <w:right w:type="dxa" w:w="120"/>
            </w:tcMar>
            <w:vAlign w:val="center"/>
          </w:tcPr>
          <w:p>
            <w:pPr>
              <w:jc w:val="center"/>
            </w:pPr>
            <w:r>
              <w:rPr>
                <w:rFonts w:ascii="Arial" w:cs="Arial" w:eastAsia="Arial" w:hAnsi="Arial"/>
                <w:b/>
                <w:bCs/>
                <w:color w:val="FFFFFF"/>
                <w:sz w:val="17"/>
                <w:szCs w:val="17"/>
              </w:rPr>
              <w:t xml:space="preserve">15,000</w:t>
            </w:r>
          </w:p>
        </w:tc>
      </w:tr>
    </w:tbl>
    <w:p>
      <w:r>
        <w:t xml:space="preserve"/>
      </w:r>
    </w:p>
    <w:p>
      <w:pPr>
        <w:pStyle w:val="Heading2"/>
        <w:spacing w:after="120" w:before="240"/>
      </w:pPr>
      <w:r>
        <w:rPr>
          <w:rFonts w:ascii="Arial" w:cs="Arial" w:eastAsia="Arial" w:hAnsi="Arial"/>
          <w:b/>
          <w:bCs/>
          <w:color w:val="4A8C5C"/>
          <w:sz w:val="26"/>
          <w:szCs w:val="26"/>
        </w:rPr>
        <w:t xml:space="preserve">3.1 Category Allocation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1760"/>
        <w:gridCol w:w="1800"/>
      </w:tblGrid>
      <w:tr>
        <w:tc>
          <w:tcPr>
            <w:tcW w:type="dxa" w:w="28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 Group</w:t>
            </w:r>
          </w:p>
        </w:tc>
        <w:tc>
          <w:tcPr>
            <w:tcW w:type="dxa" w:w="14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Funds</w:t>
            </w:r>
          </w:p>
        </w:tc>
        <w:tc>
          <w:tcPr>
            <w:tcW w:type="dxa" w:w="16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Allocation</w:t>
            </w:r>
          </w:p>
        </w:tc>
        <w:tc>
          <w:tcPr>
            <w:tcW w:type="dxa" w:w="17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Monthly SIP</w:t>
            </w:r>
          </w:p>
        </w:tc>
        <w:tc>
          <w:tcPr>
            <w:tcW w:type="dxa" w:w="18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Fund Names</w:t>
            </w:r>
          </w:p>
        </w:tc>
      </w:tr>
      <w:tr>
        <w:tc>
          <w:tcPr>
            <w:tcW w:type="dxa" w:w="2800"/>
            <w:tcBorders>
              <w:top w:val="single" w:color="AAAAAA" w:sz="4"/>
              <w:left w:val="single" w:color="AAAAAA" w:sz="4"/>
              <w:bottom w:val="single" w:color="AAAAAA" w:sz="4"/>
              <w:right w:val="single" w:color="AAAAAA" w:sz="4"/>
            </w:tcBorders>
            <w:shd w:fill="E1F5EE" w:val="clear"/>
            <w:tcMar>
              <w:top w:type="dxa" w:w="60"/>
              <w:left w:type="dxa" w:w="120"/>
              <w:bottom w:type="dxa" w:w="60"/>
              <w:right w:type="dxa" w:w="120"/>
            </w:tcMar>
            <w:vAlign w:val="center"/>
          </w:tcPr>
          <w:p>
            <w:pPr>
              <w:jc w:val="left"/>
            </w:pPr>
            <w:r>
              <w:rPr>
                <w:rFonts w:ascii="Arial" w:cs="Arial" w:eastAsia="Arial" w:hAnsi="Arial"/>
                <w:b/>
                <w:bCs/>
                <w:color w:val="1A5C3A"/>
                <w:sz w:val="17"/>
                <w:szCs w:val="17"/>
              </w:rPr>
              <w:t xml:space="preserve">Small Cap</w:t>
            </w:r>
          </w:p>
        </w:tc>
        <w:tc>
          <w:tcPr>
            <w:tcW w:type="dxa" w:w="1400"/>
            <w:tcBorders>
              <w:top w:val="single" w:color="AAAAAA" w:sz="4"/>
              <w:left w:val="single" w:color="AAAAAA" w:sz="4"/>
              <w:bottom w:val="single" w:color="AAAAAA" w:sz="4"/>
              <w:right w:val="single" w:color="AAAAAA" w:sz="4"/>
            </w:tcBorders>
            <w:shd w:fill="E1F5EE"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2 funds</w:t>
            </w:r>
          </w:p>
        </w:tc>
        <w:tc>
          <w:tcPr>
            <w:tcW w:type="dxa" w:w="1600"/>
            <w:tcBorders>
              <w:top w:val="single" w:color="AAAAAA" w:sz="4"/>
              <w:left w:val="single" w:color="AAAAAA" w:sz="4"/>
              <w:bottom w:val="single" w:color="AAAAAA" w:sz="4"/>
              <w:right w:val="single" w:color="AAAAAA" w:sz="4"/>
            </w:tcBorders>
            <w:shd w:fill="E1F5EE"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26%</w:t>
            </w:r>
          </w:p>
        </w:tc>
        <w:tc>
          <w:tcPr>
            <w:tcW w:type="dxa" w:w="1760"/>
            <w:tcBorders>
              <w:top w:val="single" w:color="AAAAAA" w:sz="4"/>
              <w:left w:val="single" w:color="AAAAAA" w:sz="4"/>
              <w:bottom w:val="single" w:color="AAAAAA" w:sz="4"/>
              <w:right w:val="single" w:color="AAAAAA" w:sz="4"/>
            </w:tcBorders>
            <w:shd w:fill="E1F5EE"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Rs 13,000/mo</w:t>
            </w:r>
          </w:p>
        </w:tc>
        <w:tc>
          <w:tcPr>
            <w:tcW w:type="dxa" w:w="1800"/>
            <w:tcBorders>
              <w:top w:val="single" w:color="AAAAAA" w:sz="4"/>
              <w:left w:val="single" w:color="AAAAAA" w:sz="4"/>
              <w:bottom w:val="single" w:color="AAAAAA" w:sz="4"/>
              <w:right w:val="single" w:color="AAAAAA" w:sz="4"/>
            </w:tcBorders>
            <w:shd w:fill="E1F5EE"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Bandhan + Nippon India SC</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1A5C3A"/>
                <w:sz w:val="17"/>
                <w:szCs w:val="17"/>
              </w:rPr>
              <w:t xml:space="preserve">Mid Cap</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2 funds</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24%</w:t>
            </w:r>
          </w:p>
        </w:tc>
        <w:tc>
          <w:tcPr>
            <w:tcW w:type="dxa" w:w="1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Rs 12,000/mo</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HDFC + Edelweiss</w:t>
            </w:r>
          </w:p>
        </w:tc>
      </w:tr>
      <w:tr>
        <w:tc>
          <w:tcPr>
            <w:tcW w:type="dxa" w:w="2800"/>
            <w:tcBorders>
              <w:top w:val="single" w:color="AAAAAA" w:sz="4"/>
              <w:left w:val="single" w:color="AAAAAA" w:sz="4"/>
              <w:bottom w:val="single" w:color="AAAAAA" w:sz="4"/>
              <w:right w:val="single" w:color="AAAAAA" w:sz="4"/>
            </w:tcBorders>
            <w:shd w:fill="E1F5EE" w:val="clear"/>
            <w:tcMar>
              <w:top w:type="dxa" w:w="60"/>
              <w:left w:type="dxa" w:w="120"/>
              <w:bottom w:type="dxa" w:w="60"/>
              <w:right w:type="dxa" w:w="120"/>
            </w:tcMar>
            <w:vAlign w:val="center"/>
          </w:tcPr>
          <w:p>
            <w:pPr>
              <w:jc w:val="left"/>
            </w:pPr>
            <w:r>
              <w:rPr>
                <w:rFonts w:ascii="Arial" w:cs="Arial" w:eastAsia="Arial" w:hAnsi="Arial"/>
                <w:b/>
                <w:bCs/>
                <w:color w:val="1A5C3A"/>
                <w:sz w:val="17"/>
                <w:szCs w:val="17"/>
              </w:rPr>
              <w:t xml:space="preserve">Large Cap + Flexi Cap</w:t>
            </w:r>
          </w:p>
        </w:tc>
        <w:tc>
          <w:tcPr>
            <w:tcW w:type="dxa" w:w="1400"/>
            <w:tcBorders>
              <w:top w:val="single" w:color="AAAAAA" w:sz="4"/>
              <w:left w:val="single" w:color="AAAAAA" w:sz="4"/>
              <w:bottom w:val="single" w:color="AAAAAA" w:sz="4"/>
              <w:right w:val="single" w:color="AAAAAA" w:sz="4"/>
            </w:tcBorders>
            <w:shd w:fill="E1F5EE"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2 funds</w:t>
            </w:r>
          </w:p>
        </w:tc>
        <w:tc>
          <w:tcPr>
            <w:tcW w:type="dxa" w:w="1600"/>
            <w:tcBorders>
              <w:top w:val="single" w:color="AAAAAA" w:sz="4"/>
              <w:left w:val="single" w:color="AAAAAA" w:sz="4"/>
              <w:bottom w:val="single" w:color="AAAAAA" w:sz="4"/>
              <w:right w:val="single" w:color="AAAAAA" w:sz="4"/>
            </w:tcBorders>
            <w:shd w:fill="E1F5EE"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30%</w:t>
            </w:r>
          </w:p>
        </w:tc>
        <w:tc>
          <w:tcPr>
            <w:tcW w:type="dxa" w:w="1760"/>
            <w:tcBorders>
              <w:top w:val="single" w:color="AAAAAA" w:sz="4"/>
              <w:left w:val="single" w:color="AAAAAA" w:sz="4"/>
              <w:bottom w:val="single" w:color="AAAAAA" w:sz="4"/>
              <w:right w:val="single" w:color="AAAAAA" w:sz="4"/>
            </w:tcBorders>
            <w:shd w:fill="E1F5EE"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Rs 15,000/mo</w:t>
            </w:r>
          </w:p>
        </w:tc>
        <w:tc>
          <w:tcPr>
            <w:tcW w:type="dxa" w:w="1800"/>
            <w:tcBorders>
              <w:top w:val="single" w:color="AAAAAA" w:sz="4"/>
              <w:left w:val="single" w:color="AAAAAA" w:sz="4"/>
              <w:bottom w:val="single" w:color="AAAAAA" w:sz="4"/>
              <w:right w:val="single" w:color="AAAAAA" w:sz="4"/>
            </w:tcBorders>
            <w:shd w:fill="E1F5EE"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Nippon LC + Parag Parikh</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1A5C3A"/>
                <w:sz w:val="17"/>
                <w:szCs w:val="17"/>
              </w:rPr>
              <w:t xml:space="preserve">Thematic + International</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2 funds</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20%</w:t>
            </w:r>
          </w:p>
        </w:tc>
        <w:tc>
          <w:tcPr>
            <w:tcW w:type="dxa" w:w="1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Rs 10,000/mo</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ICICI Infra + Kotak Nasdaq</w:t>
            </w:r>
          </w:p>
        </w:tc>
      </w:tr>
    </w:tbl>
    <w:p>
      <w:r>
        <w:t xml:space="preserve"/>
      </w:r>
    </w:p>
    <w:p>
      <w:r>
        <w:t xml:space="preserve"/>
      </w:r>
    </w:p>
    <w:p>
      <w:r>
        <w:br w:type="page"/>
      </w:r>
    </w:p>
    <w:p>
      <w:pPr>
        <w:pStyle w:val="Heading1"/>
        <w:pBdr>
          <w:bottom w:val="single" w:color="1A5C3A" w:sz="8" w:space="4"/>
        </w:pBdr>
        <w:spacing w:after="160" w:before="320"/>
      </w:pPr>
      <w:r>
        <w:rPr>
          <w:rFonts w:ascii="Arial" w:cs="Arial" w:eastAsia="Arial" w:hAnsi="Arial"/>
          <w:b/>
          <w:bCs/>
          <w:color w:val="1A5C3A"/>
          <w:sz w:val="32"/>
          <w:szCs w:val="32"/>
        </w:rPr>
        <w:t xml:space="preserve">4. Fund Rankings &amp; Performance Scorecard (June 2026)</w:t>
      </w:r>
    </w:p>
    <w:p>
      <w:pPr>
        <w:spacing w:after="60" w:before="60"/>
      </w:pPr>
      <w:r>
        <w:rPr>
          <w:rFonts w:ascii="Arial" w:cs="Arial" w:eastAsia="Arial" w:hAnsi="Arial"/>
          <w:b w:val="false"/>
          <w:bCs w:val="false"/>
          <w:i w:val="false"/>
          <w:iCs w:val="false"/>
          <w:color w:val="000000"/>
          <w:sz w:val="18"/>
          <w:szCs w:val="18"/>
        </w:rPr>
        <w:t xml:space="preserve">Source: INDmoney, CRISP (BusinessToday June 2026), Value Research Online. All 8 funds beat their respective benchmarks on 1Y, 3Y, and 5Y.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1100"/>
        <w:gridCol w:w="1040"/>
        <w:gridCol w:w="1040"/>
        <w:gridCol w:w="1040"/>
        <w:gridCol w:w="900"/>
        <w:gridCol w:w="800"/>
        <w:gridCol w:w="1120"/>
      </w:tblGrid>
      <w:tr>
        <w:tc>
          <w:tcPr>
            <w:tcW w:type="dxa" w:w="232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Fund Name</w:t>
            </w:r>
          </w:p>
        </w:tc>
        <w:tc>
          <w:tcPr>
            <w:tcW w:type="dxa" w:w="11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INDmoney Rank</w:t>
            </w:r>
          </w:p>
        </w:tc>
        <w:tc>
          <w:tcPr>
            <w:tcW w:type="dxa" w:w="104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1Y CAGR</w:t>
            </w:r>
          </w:p>
        </w:tc>
        <w:tc>
          <w:tcPr>
            <w:tcW w:type="dxa" w:w="104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3Y CAGR</w:t>
            </w:r>
          </w:p>
        </w:tc>
        <w:tc>
          <w:tcPr>
            <w:tcW w:type="dxa" w:w="104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5Y CAGR</w:t>
            </w:r>
          </w:p>
        </w:tc>
        <w:tc>
          <w:tcPr>
            <w:tcW w:type="dxa" w:w="9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VR Stars</w:t>
            </w:r>
          </w:p>
        </w:tc>
        <w:tc>
          <w:tcPr>
            <w:tcW w:type="dxa" w:w="8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ER (Dir)</w:t>
            </w:r>
          </w:p>
        </w:tc>
        <w:tc>
          <w:tcPr>
            <w:tcW w:type="dxa" w:w="112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Beats Benchmark</w:t>
            </w:r>
          </w:p>
        </w:tc>
      </w:tr>
      <w:tr>
        <w:tc>
          <w:tcPr>
            <w:tcW w:type="dxa" w:w="23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Bandhan Small Cap</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#1 / 22 SC</w:t>
            </w:r>
          </w:p>
        </w:tc>
        <w:tc>
          <w:tcPr>
            <w:tcW w:type="dxa" w:w="10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5.22%</w:t>
            </w:r>
          </w:p>
        </w:tc>
        <w:tc>
          <w:tcPr>
            <w:tcW w:type="dxa" w:w="10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29.55%</w:t>
            </w:r>
          </w:p>
        </w:tc>
        <w:tc>
          <w:tcPr>
            <w:tcW w:type="dxa" w:w="10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22.17%</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5 Star</w:t>
            </w:r>
          </w:p>
        </w:tc>
        <w:tc>
          <w:tcPr>
            <w:tcW w:type="dxa" w:w="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0.34%</w:t>
            </w:r>
          </w:p>
        </w:tc>
        <w:tc>
          <w:tcPr>
            <w:tcW w:type="dxa" w:w="112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center"/>
            </w:pPr>
            <w:r>
              <w:rPr>
                <w:rFonts w:ascii="Arial" w:cs="Arial" w:eastAsia="Arial" w:hAnsi="Arial"/>
                <w:b w:val="false"/>
                <w:bCs w:val="false"/>
                <w:color w:val="27500A"/>
                <w:sz w:val="17"/>
                <w:szCs w:val="17"/>
              </w:rPr>
              <w:t xml:space="preserve">1Y, 3Y, 5Y</w:t>
            </w:r>
          </w:p>
        </w:tc>
      </w:tr>
      <w:tr>
        <w:tc>
          <w:tcPr>
            <w:tcW w:type="dxa" w:w="23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Nippon India Small Cap</w:t>
            </w:r>
          </w:p>
        </w:tc>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#3 / 22 SC (CRISP #1)</w:t>
            </w:r>
          </w:p>
        </w:tc>
        <w:tc>
          <w:tcPr>
            <w:tcW w:type="dxa" w:w="10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~8.5%</w:t>
            </w:r>
          </w:p>
        </w:tc>
        <w:tc>
          <w:tcPr>
            <w:tcW w:type="dxa" w:w="10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18.42%</w:t>
            </w:r>
          </w:p>
        </w:tc>
        <w:tc>
          <w:tcPr>
            <w:tcW w:type="dxa" w:w="10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22.01%</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5 Star</w:t>
            </w:r>
          </w:p>
        </w:tc>
        <w:tc>
          <w:tcPr>
            <w:tcW w:type="dxa" w:w="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0.41%</w:t>
            </w:r>
          </w:p>
        </w:tc>
        <w:tc>
          <w:tcPr>
            <w:tcW w:type="dxa" w:w="112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center"/>
            </w:pPr>
            <w:r>
              <w:rPr>
                <w:rFonts w:ascii="Arial" w:cs="Arial" w:eastAsia="Arial" w:hAnsi="Arial"/>
                <w:b w:val="false"/>
                <w:bCs w:val="false"/>
                <w:color w:val="27500A"/>
                <w:sz w:val="17"/>
                <w:szCs w:val="17"/>
              </w:rPr>
              <w:t xml:space="preserve">1Y, 3Y, 5Y</w:t>
            </w:r>
          </w:p>
        </w:tc>
      </w:tr>
      <w:tr>
        <w:tc>
          <w:tcPr>
            <w:tcW w:type="dxa" w:w="23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HDFC Midcap Opp.</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#4 / 25 MC</w:t>
            </w:r>
          </w:p>
        </w:tc>
        <w:tc>
          <w:tcPr>
            <w:tcW w:type="dxa" w:w="10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~6.5%</w:t>
            </w:r>
          </w:p>
        </w:tc>
        <w:tc>
          <w:tcPr>
            <w:tcW w:type="dxa" w:w="10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22.30%</w:t>
            </w:r>
          </w:p>
        </w:tc>
        <w:tc>
          <w:tcPr>
            <w:tcW w:type="dxa" w:w="10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22.30%</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5 Star</w:t>
            </w:r>
          </w:p>
        </w:tc>
        <w:tc>
          <w:tcPr>
            <w:tcW w:type="dxa" w:w="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0.72%</w:t>
            </w:r>
          </w:p>
        </w:tc>
        <w:tc>
          <w:tcPr>
            <w:tcW w:type="dxa" w:w="112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center"/>
            </w:pPr>
            <w:r>
              <w:rPr>
                <w:rFonts w:ascii="Arial" w:cs="Arial" w:eastAsia="Arial" w:hAnsi="Arial"/>
                <w:b w:val="false"/>
                <w:bCs w:val="false"/>
                <w:color w:val="27500A"/>
                <w:sz w:val="17"/>
                <w:szCs w:val="17"/>
              </w:rPr>
              <w:t xml:space="preserve">1Y, 3Y, 5Y</w:t>
            </w:r>
          </w:p>
        </w:tc>
      </w:tr>
      <w:tr>
        <w:tc>
          <w:tcPr>
            <w:tcW w:type="dxa" w:w="23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Edelweiss Midcap</w:t>
            </w:r>
          </w:p>
        </w:tc>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#2 / 25 MC</w:t>
            </w:r>
          </w:p>
        </w:tc>
        <w:tc>
          <w:tcPr>
            <w:tcW w:type="dxa" w:w="10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5.84%</w:t>
            </w:r>
          </w:p>
        </w:tc>
        <w:tc>
          <w:tcPr>
            <w:tcW w:type="dxa" w:w="10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24.40%</w:t>
            </w:r>
          </w:p>
        </w:tc>
        <w:tc>
          <w:tcPr>
            <w:tcW w:type="dxa" w:w="10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21.50%</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5 Star</w:t>
            </w:r>
          </w:p>
        </w:tc>
        <w:tc>
          <w:tcPr>
            <w:tcW w:type="dxa" w:w="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0.48%</w:t>
            </w:r>
          </w:p>
        </w:tc>
        <w:tc>
          <w:tcPr>
            <w:tcW w:type="dxa" w:w="112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center"/>
            </w:pPr>
            <w:r>
              <w:rPr>
                <w:rFonts w:ascii="Arial" w:cs="Arial" w:eastAsia="Arial" w:hAnsi="Arial"/>
                <w:b w:val="false"/>
                <w:bCs w:val="false"/>
                <w:color w:val="27500A"/>
                <w:sz w:val="17"/>
                <w:szCs w:val="17"/>
              </w:rPr>
              <w:t xml:space="preserve">1Y, 3Y, 5Y</w:t>
            </w:r>
          </w:p>
        </w:tc>
      </w:tr>
      <w:tr>
        <w:tc>
          <w:tcPr>
            <w:tcW w:type="dxa" w:w="23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Nippon India Large Cap</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#1 / 26 LC (CRISP 95%)</w:t>
            </w:r>
          </w:p>
        </w:tc>
        <w:tc>
          <w:tcPr>
            <w:tcW w:type="dxa" w:w="10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0.57%</w:t>
            </w:r>
          </w:p>
        </w:tc>
        <w:tc>
          <w:tcPr>
            <w:tcW w:type="dxa" w:w="10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15.81%</w:t>
            </w:r>
          </w:p>
        </w:tc>
        <w:tc>
          <w:tcPr>
            <w:tcW w:type="dxa" w:w="10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16.61%</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5 Star</w:t>
            </w:r>
          </w:p>
        </w:tc>
        <w:tc>
          <w:tcPr>
            <w:tcW w:type="dxa" w:w="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0.65%</w:t>
            </w:r>
          </w:p>
        </w:tc>
        <w:tc>
          <w:tcPr>
            <w:tcW w:type="dxa" w:w="112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center"/>
            </w:pPr>
            <w:r>
              <w:rPr>
                <w:rFonts w:ascii="Arial" w:cs="Arial" w:eastAsia="Arial" w:hAnsi="Arial"/>
                <w:b w:val="false"/>
                <w:bCs w:val="false"/>
                <w:color w:val="27500A"/>
                <w:sz w:val="17"/>
                <w:szCs w:val="17"/>
              </w:rPr>
              <w:t xml:space="preserve">1Y, 3Y, 5Y</w:t>
            </w:r>
          </w:p>
        </w:tc>
      </w:tr>
      <w:tr>
        <w:tc>
          <w:tcPr>
            <w:tcW w:type="dxa" w:w="23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Parag Parikh Flexi Cap</w:t>
            </w:r>
          </w:p>
        </w:tc>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#3 / 24 FC</w:t>
            </w:r>
          </w:p>
        </w:tc>
        <w:tc>
          <w:tcPr>
            <w:tcW w:type="dxa" w:w="10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0.16%</w:t>
            </w:r>
          </w:p>
        </w:tc>
        <w:tc>
          <w:tcPr>
            <w:tcW w:type="dxa" w:w="10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15.59%</w:t>
            </w:r>
          </w:p>
        </w:tc>
        <w:tc>
          <w:tcPr>
            <w:tcW w:type="dxa" w:w="10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15.77%</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5 Star</w:t>
            </w:r>
          </w:p>
        </w:tc>
        <w:tc>
          <w:tcPr>
            <w:tcW w:type="dxa" w:w="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0.53%</w:t>
            </w:r>
          </w:p>
        </w:tc>
        <w:tc>
          <w:tcPr>
            <w:tcW w:type="dxa" w:w="112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center"/>
            </w:pPr>
            <w:r>
              <w:rPr>
                <w:rFonts w:ascii="Arial" w:cs="Arial" w:eastAsia="Arial" w:hAnsi="Arial"/>
                <w:b w:val="false"/>
                <w:bCs w:val="false"/>
                <w:color w:val="27500A"/>
                <w:sz w:val="17"/>
                <w:szCs w:val="17"/>
              </w:rPr>
              <w:t xml:space="preserve">1Y, 3Y, 5Y</w:t>
            </w:r>
          </w:p>
        </w:tc>
      </w:tr>
      <w:tr>
        <w:tc>
          <w:tcPr>
            <w:tcW w:type="dxa" w:w="23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ICICI Pru Infrastructure</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#1 / 14 Infra</w:t>
            </w:r>
          </w:p>
        </w:tc>
        <w:tc>
          <w:tcPr>
            <w:tcW w:type="dxa" w:w="10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2.92%</w:t>
            </w:r>
          </w:p>
        </w:tc>
        <w:tc>
          <w:tcPr>
            <w:tcW w:type="dxa" w:w="10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24.85%</w:t>
            </w:r>
          </w:p>
        </w:tc>
        <w:tc>
          <w:tcPr>
            <w:tcW w:type="dxa" w:w="10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23-25%</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5 Star</w:t>
            </w:r>
          </w:p>
        </w:tc>
        <w:tc>
          <w:tcPr>
            <w:tcW w:type="dxa" w:w="800"/>
            <w:tcBorders>
              <w:top w:val="single" w:color="AAAAAA" w:sz="4"/>
              <w:left w:val="single" w:color="AAAAAA" w:sz="4"/>
              <w:bottom w:val="single" w:color="AAAAAA" w:sz="4"/>
              <w:right w:val="single" w:color="AAAAAA" w:sz="4"/>
            </w:tcBorders>
            <w:shd w:fill="FAEEDA" w:val="clear"/>
            <w:tcMar>
              <w:top w:type="dxa" w:w="60"/>
              <w:left w:type="dxa" w:w="120"/>
              <w:bottom w:type="dxa" w:w="60"/>
              <w:right w:type="dxa" w:w="120"/>
            </w:tcMar>
            <w:vAlign w:val="center"/>
          </w:tcPr>
          <w:p>
            <w:pPr>
              <w:jc w:val="center"/>
            </w:pPr>
            <w:r>
              <w:rPr>
                <w:rFonts w:ascii="Arial" w:cs="Arial" w:eastAsia="Arial" w:hAnsi="Arial"/>
                <w:b/>
                <w:bCs/>
                <w:color w:val="BA7517"/>
                <w:sz w:val="17"/>
                <w:szCs w:val="17"/>
              </w:rPr>
              <w:t xml:space="preserve">1.15%</w:t>
            </w:r>
          </w:p>
        </w:tc>
        <w:tc>
          <w:tcPr>
            <w:tcW w:type="dxa" w:w="112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center"/>
            </w:pPr>
            <w:r>
              <w:rPr>
                <w:rFonts w:ascii="Arial" w:cs="Arial" w:eastAsia="Arial" w:hAnsi="Arial"/>
                <w:b w:val="false"/>
                <w:bCs w:val="false"/>
                <w:color w:val="27500A"/>
                <w:sz w:val="17"/>
                <w:szCs w:val="17"/>
              </w:rPr>
              <w:t xml:space="preserve">1Y, 3Y, 5Y</w:t>
            </w:r>
          </w:p>
        </w:tc>
      </w:tr>
      <w:tr>
        <w:tc>
          <w:tcPr>
            <w:tcW w:type="dxa" w:w="23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Kotak Nasdaq 100 FoF</w:t>
            </w:r>
          </w:p>
        </w:tc>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Top 3 / ~15 Intl</w:t>
            </w:r>
          </w:p>
        </w:tc>
        <w:tc>
          <w:tcPr>
            <w:tcW w:type="dxa" w:w="10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~58%</w:t>
            </w:r>
          </w:p>
        </w:tc>
        <w:tc>
          <w:tcPr>
            <w:tcW w:type="dxa" w:w="10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35.25%</w:t>
            </w:r>
          </w:p>
        </w:tc>
        <w:tc>
          <w:tcPr>
            <w:tcW w:type="dxa" w:w="10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23.02%</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4 Star</w:t>
            </w:r>
          </w:p>
        </w:tc>
        <w:tc>
          <w:tcPr>
            <w:tcW w:type="dxa" w:w="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0.24%</w:t>
            </w:r>
          </w:p>
        </w:tc>
        <w:tc>
          <w:tcPr>
            <w:tcW w:type="dxa" w:w="112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center"/>
            </w:pPr>
            <w:r>
              <w:rPr>
                <w:rFonts w:ascii="Arial" w:cs="Arial" w:eastAsia="Arial" w:hAnsi="Arial"/>
                <w:b w:val="false"/>
                <w:bCs w:val="false"/>
                <w:color w:val="27500A"/>
                <w:sz w:val="17"/>
                <w:szCs w:val="17"/>
              </w:rPr>
              <w:t xml:space="preserve">3Y, 5Y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8"/>
              <w:left w:val="single" w:color="185FA5" w:sz="24"/>
              <w:bottom w:val="single" w:color="185FA5" w:sz="8"/>
              <w:right w:val="single" w:color="185FA5" w:sz="8"/>
            </w:tcBorders>
            <w:shd w:fill="E6F1FB" w:val="clear"/>
            <w:tcMar>
              <w:top w:type="dxa" w:w="100"/>
              <w:left w:type="dxa" w:w="180"/>
              <w:bottom w:type="dxa" w:w="100"/>
              <w:right w:type="dxa" w:w="180"/>
            </w:tcMar>
          </w:tcPr>
          <w:p>
            <w:pPr>
              <w:spacing w:after="40" w:before="40"/>
            </w:pPr>
            <w:r>
              <w:rPr>
                <w:rFonts w:ascii="Arial" w:cs="Arial" w:eastAsia="Arial" w:hAnsi="Arial"/>
                <w:b/>
                <w:bCs/>
                <w:color w:val="0C447C"/>
                <w:sz w:val="18"/>
                <w:szCs w:val="18"/>
              </w:rPr>
              <w:t xml:space="preserve">NOTE: 1Y returns appear low for Indian funds due to flat/volatile market conditions in 2025-26.</w:t>
            </w:r>
          </w:p>
          <w:p>
            <w:pPr>
              <w:spacing w:after="40" w:before="40"/>
            </w:pPr>
            <w:r>
              <w:rPr>
                <w:rFonts w:ascii="Arial" w:cs="Arial" w:eastAsia="Arial" w:hAnsi="Arial"/>
                <w:b w:val="false"/>
                <w:bCs w:val="false"/>
                <w:color w:val="0C447C"/>
                <w:sz w:val="18"/>
                <w:szCs w:val="18"/>
              </w:rPr>
              <w:t xml:space="preserve">This is a market-cycle effect, NOT a fund failure. 3Y and 5Y figures are the meaningful indicators.</w:t>
            </w:r>
          </w:p>
          <w:p>
            <w:pPr>
              <w:spacing w:after="40" w:before="40"/>
            </w:pPr>
            <w:r>
              <w:rPr>
                <w:rFonts w:ascii="Arial" w:cs="Arial" w:eastAsia="Arial" w:hAnsi="Arial"/>
                <w:b w:val="false"/>
                <w:bCs w:val="false"/>
                <w:color w:val="0C447C"/>
                <w:sz w:val="18"/>
                <w:szCs w:val="18"/>
              </w:rPr>
              <w:t xml:space="preserve">CRISP = Consistency in Performance, Relative Risk, Investment Style (BusinessToday scorecard).</w:t>
            </w:r>
          </w:p>
          <w:p>
            <w:pPr>
              <w:spacing w:after="40" w:before="40"/>
            </w:pPr>
            <w:r>
              <w:rPr>
                <w:rFonts w:ascii="Arial" w:cs="Arial" w:eastAsia="Arial" w:hAnsi="Arial"/>
                <w:b w:val="false"/>
                <w:bCs w:val="false"/>
                <w:color w:val="0C447C"/>
                <w:sz w:val="18"/>
                <w:szCs w:val="18"/>
              </w:rPr>
              <w:t xml:space="preserve">Kotak Nasdaq 100 FoF has Nil exit load and Sharpe Ratio of 2.00 — strongest risk-adjusted score in portfolio.</w:t>
            </w:r>
          </w:p>
        </w:tc>
      </w:tr>
    </w:tbl>
    <w:p>
      <w:r>
        <w:t xml:space="preserve"/>
      </w:r>
    </w:p>
    <w:p>
      <w:r>
        <w:t xml:space="preserve"/>
      </w:r>
    </w:p>
    <w:p>
      <w:r>
        <w:br w:type="page"/>
      </w:r>
    </w:p>
    <w:p>
      <w:pPr>
        <w:pStyle w:val="Heading1"/>
        <w:pBdr>
          <w:bottom w:val="single" w:color="1A5C3A" w:sz="8" w:space="4"/>
        </w:pBdr>
        <w:spacing w:after="160" w:before="320"/>
      </w:pPr>
      <w:r>
        <w:rPr>
          <w:rFonts w:ascii="Arial" w:cs="Arial" w:eastAsia="Arial" w:hAnsi="Arial"/>
          <w:b/>
          <w:bCs/>
          <w:color w:val="1A5C3A"/>
          <w:sz w:val="32"/>
          <w:szCs w:val="32"/>
        </w:rPr>
        <w:t xml:space="preserve">5. Portfolio Review Methodology</w:t>
      </w:r>
    </w:p>
    <w:p>
      <w:pPr>
        <w:pStyle w:val="Heading2"/>
        <w:spacing w:after="120" w:before="240"/>
      </w:pPr>
      <w:r>
        <w:rPr>
          <w:rFonts w:ascii="Arial" w:cs="Arial" w:eastAsia="Arial" w:hAnsi="Arial"/>
          <w:b/>
          <w:bCs/>
          <w:color w:val="4A8C5C"/>
          <w:sz w:val="26"/>
          <w:szCs w:val="26"/>
        </w:rPr>
        <w:t xml:space="preserve">5.1 Fund Screening Metrics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358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Definition</w:t>
            </w:r>
          </w:p>
        </w:tc>
        <w:tc>
          <w:tcPr>
            <w:tcW w:type="dxa" w:w="358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Ideal Range / Threshold</w:t>
            </w:r>
          </w:p>
        </w:tc>
      </w:tr>
      <w:tr>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Alpha</w:t>
            </w:r>
          </w:p>
        </w:tc>
        <w:tc>
          <w:tcPr>
            <w:tcW w:type="dxa" w:w="35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Excess return of fund vs benchmark</w:t>
            </w:r>
          </w:p>
        </w:tc>
        <w:tc>
          <w:tcPr>
            <w:tcW w:type="dxa" w:w="35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Between 6-15, consistent across 1Y, 3Y, 5Y</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Sharpe Ratio</w:t>
            </w:r>
          </w:p>
        </w:tc>
        <w:tc>
          <w:tcPr>
            <w:tcW w:type="dxa" w:w="35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Risk-adjusted return (total risk)</w:t>
            </w:r>
          </w:p>
        </w:tc>
        <w:tc>
          <w:tcPr>
            <w:tcW w:type="dxa" w:w="35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Greater than 1.0 (use 3Y annualised)</w:t>
            </w:r>
          </w:p>
        </w:tc>
      </w:tr>
      <w:tr>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Sortino Ratio</w:t>
            </w:r>
          </w:p>
        </w:tc>
        <w:tc>
          <w:tcPr>
            <w:tcW w:type="dxa" w:w="35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Risk-adjusted return (downside risk only)</w:t>
            </w:r>
          </w:p>
        </w:tc>
        <w:tc>
          <w:tcPr>
            <w:tcW w:type="dxa" w:w="35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Greater than 1.2 (preferred over Sharpe)</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Beta</w:t>
            </w:r>
          </w:p>
        </w:tc>
        <w:tc>
          <w:tcPr>
            <w:tcW w:type="dxa" w:w="35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Fund volatility vs benchmark</w:t>
            </w:r>
          </w:p>
        </w:tc>
        <w:tc>
          <w:tcPr>
            <w:tcW w:type="dxa" w:w="35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Between 0.9 and 1.2</w:t>
            </w:r>
          </w:p>
        </w:tc>
      </w:tr>
      <w:tr>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Information Ratio</w:t>
            </w:r>
          </w:p>
        </w:tc>
        <w:tc>
          <w:tcPr>
            <w:tcW w:type="dxa" w:w="35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Consistency of excess returns over benchmark</w:t>
            </w:r>
          </w:p>
        </w:tc>
        <w:tc>
          <w:tcPr>
            <w:tcW w:type="dxa" w:w="35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Greater than 0.5 (prefer &gt; 0.75 for 3Y, 5Y)</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Down-Market Alpha</w:t>
            </w:r>
          </w:p>
        </w:tc>
        <w:tc>
          <w:tcPr>
            <w:tcW w:type="dxa" w:w="35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Performance resilience in market corrections</w:t>
            </w:r>
          </w:p>
        </w:tc>
        <w:tc>
          <w:tcPr>
            <w:tcW w:type="dxa" w:w="35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Must be positive</w:t>
            </w:r>
          </w:p>
        </w:tc>
      </w:tr>
      <w:tr>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Benchmark Outperformance</w:t>
            </w:r>
          </w:p>
        </w:tc>
        <w:tc>
          <w:tcPr>
            <w:tcW w:type="dxa" w:w="35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Return vs TRI benchmark</w:t>
            </w:r>
          </w:p>
        </w:tc>
        <w:tc>
          <w:tcPr>
            <w:tcW w:type="dxa" w:w="35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Must beat consistently 1Y, 3Y, 5Y</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Rolling Return Consistency</w:t>
            </w:r>
          </w:p>
        </w:tc>
        <w:tc>
          <w:tcPr>
            <w:tcW w:type="dxa" w:w="35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 of periods fund beats benchmark</w:t>
            </w:r>
          </w:p>
        </w:tc>
        <w:tc>
          <w:tcPr>
            <w:tcW w:type="dxa" w:w="35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Minimum 70% of rolling periods</w:t>
            </w:r>
          </w:p>
        </w:tc>
      </w:tr>
    </w:tbl>
    <w:p>
      <w:r>
        <w:t xml:space="preserve"/>
      </w:r>
    </w:p>
    <w:p>
      <w:pPr>
        <w:pStyle w:val="Heading2"/>
        <w:spacing w:after="120" w:before="240"/>
      </w:pPr>
      <w:r>
        <w:rPr>
          <w:rFonts w:ascii="Arial" w:cs="Arial" w:eastAsia="Arial" w:hAnsi="Arial"/>
          <w:b/>
          <w:bCs/>
          <w:color w:val="4A8C5C"/>
          <w:sz w:val="26"/>
          <w:szCs w:val="26"/>
        </w:rPr>
        <w:t xml:space="preserve">5.2 Mandatory Rejection Rules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8"/>
              <w:left w:val="single" w:color="A32D2D" w:sz="24"/>
              <w:bottom w:val="single" w:color="A32D2D" w:sz="8"/>
              <w:right w:val="single" w:color="A32D2D" w:sz="8"/>
            </w:tcBorders>
            <w:shd w:fill="FCEBEB" w:val="clear"/>
            <w:tcMar>
              <w:top w:type="dxa" w:w="100"/>
              <w:left w:type="dxa" w:w="180"/>
              <w:bottom w:type="dxa" w:w="100"/>
              <w:right w:type="dxa" w:w="180"/>
            </w:tcMar>
          </w:tcPr>
          <w:p>
            <w:pPr>
              <w:spacing w:after="40" w:before="40"/>
            </w:pPr>
            <w:r>
              <w:rPr>
                <w:rFonts w:ascii="Arial" w:cs="Arial" w:eastAsia="Arial" w:hAnsi="Arial"/>
                <w:color w:val="A32D2D"/>
                <w:sz w:val="18"/>
                <w:szCs w:val="18"/>
              </w:rPr>
              <w:t xml:space="preserve">REJECT any fund that meets ANY of the following criteria:</w:t>
            </w:r>
          </w:p>
          <w:p>
            <w:pPr>
              <w:spacing w:after="40" w:before="40"/>
            </w:pPr>
            <w:r>
              <w:rPr>
                <w:rFonts w:ascii="Arial" w:cs="Arial" w:eastAsia="Arial" w:hAnsi="Arial"/>
                <w:color w:val="A32D2D"/>
                <w:sz w:val="18"/>
                <w:szCs w:val="18"/>
              </w:rPr>
              <w:t xml:space="preserve"/>
            </w:r>
          </w:p>
          <w:p>
            <w:pPr>
              <w:spacing w:after="40" w:before="40"/>
            </w:pPr>
            <w:r>
              <w:rPr>
                <w:rFonts w:ascii="Arial" w:cs="Arial" w:eastAsia="Arial" w:hAnsi="Arial"/>
                <w:color w:val="A32D2D"/>
                <w:sz w:val="18"/>
                <w:szCs w:val="18"/>
              </w:rPr>
              <w:t xml:space="preserve">  Sharpe Ratio &lt; 1.0  |  Sortino Ratio &lt; 1.2  |  Information Ratio &lt; 0.5</w:t>
            </w:r>
          </w:p>
          <w:p>
            <w:pPr>
              <w:spacing w:after="40" w:before="40"/>
            </w:pPr>
            <w:r>
              <w:rPr>
                <w:rFonts w:ascii="Arial" w:cs="Arial" w:eastAsia="Arial" w:hAnsi="Arial"/>
                <w:color w:val="A32D2D"/>
                <w:sz w:val="18"/>
                <w:szCs w:val="18"/>
              </w:rPr>
              <w:t xml:space="preserve">  Beta &gt; 1.3  |  Negative Down-Market Alpha  |  Overlap &gt; 20% with another fund</w:t>
            </w:r>
          </w:p>
          <w:p>
            <w:pPr>
              <w:spacing w:after="40" w:before="40"/>
            </w:pPr>
            <w:r>
              <w:rPr>
                <w:rFonts w:ascii="Arial" w:cs="Arial" w:eastAsia="Arial" w:hAnsi="Arial"/>
                <w:color w:val="A32D2D"/>
                <w:sz w:val="18"/>
                <w:szCs w:val="18"/>
              </w:rPr>
              <w:t xml:space="preserve">  3 consecutive years of benchmark underperformance  |  Persistent negative Alpha</w:t>
            </w:r>
          </w:p>
          <w:p>
            <w:pPr>
              <w:spacing w:after="40" w:before="40"/>
            </w:pPr>
            <w:r>
              <w:rPr>
                <w:rFonts w:ascii="Arial" w:cs="Arial" w:eastAsia="Arial" w:hAnsi="Arial"/>
                <w:color w:val="A32D2D"/>
                <w:sz w:val="18"/>
                <w:szCs w:val="18"/>
              </w:rPr>
              <w:t xml:space="preserve"/>
            </w:r>
          </w:p>
          <w:p>
            <w:pPr>
              <w:spacing w:after="40" w:before="40"/>
            </w:pPr>
            <w:r>
              <w:rPr>
                <w:rFonts w:ascii="Arial" w:cs="Arial" w:eastAsia="Arial" w:hAnsi="Arial"/>
                <w:color w:val="A32D2D"/>
                <w:sz w:val="18"/>
                <w:szCs w:val="18"/>
              </w:rPr>
              <w:t xml:space="preserve">EXCEPTION: In flat/volatile market cycles, apply judgment using 3Y/5Y ratios.</w:t>
            </w:r>
          </w:p>
          <w:p>
            <w:pPr>
              <w:spacing w:after="40" w:before="40"/>
            </w:pPr>
            <w:r>
              <w:rPr>
                <w:rFonts w:ascii="Arial" w:cs="Arial" w:eastAsia="Arial" w:hAnsi="Arial"/>
                <w:color w:val="A32D2D"/>
                <w:sz w:val="18"/>
                <w:szCs w:val="18"/>
              </w:rPr>
              <w:t xml:space="preserve">Do not reject a #1-ranked fund solely on weak trailing 1Y Sharpe/Sortino.</w:t>
            </w:r>
          </w:p>
        </w:tc>
      </w:tr>
    </w:tbl>
    <w:p>
      <w:r>
        <w:t xml:space="preserve"/>
      </w:r>
    </w:p>
    <w:p>
      <w:pPr>
        <w:pStyle w:val="Heading2"/>
        <w:spacing w:after="120" w:before="240"/>
      </w:pPr>
      <w:r>
        <w:rPr>
          <w:rFonts w:ascii="Arial" w:cs="Arial" w:eastAsia="Arial" w:hAnsi="Arial"/>
          <w:b/>
          <w:bCs/>
          <w:color w:val="4A8C5C"/>
          <w:sz w:val="26"/>
          <w:szCs w:val="26"/>
        </w:rPr>
        <w:t xml:space="preserve">5.3 Benchmark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348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Benchmark Index</w:t>
            </w:r>
          </w:p>
        </w:tc>
        <w:tc>
          <w:tcPr>
            <w:tcW w:type="dxa" w:w="348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This Benchmark</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Small Cap</w:t>
            </w:r>
          </w:p>
        </w:tc>
        <w:tc>
          <w:tcPr>
            <w:tcW w:type="dxa" w:w="34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Nifty Smallcap 250 TRI</w:t>
            </w:r>
          </w:p>
        </w:tc>
        <w:tc>
          <w:tcPr>
            <w:tcW w:type="dxa" w:w="34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Covers all SEBI-defined small cap companies</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Mid Cap</w:t>
            </w:r>
          </w:p>
        </w:tc>
        <w:tc>
          <w:tcPr>
            <w:tcW w:type="dxa" w:w="3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Nifty Midcap 150 TRI</w:t>
            </w:r>
          </w:p>
        </w:tc>
        <w:tc>
          <w:tcPr>
            <w:tcW w:type="dxa" w:w="3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Covers 101st-250th ranked companies by market cap</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Large Cap</w:t>
            </w:r>
          </w:p>
        </w:tc>
        <w:tc>
          <w:tcPr>
            <w:tcW w:type="dxa" w:w="34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Nifty 100 TRI</w:t>
            </w:r>
          </w:p>
        </w:tc>
        <w:tc>
          <w:tcPr>
            <w:tcW w:type="dxa" w:w="34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Covers top 100 companies by market cap</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Flexi Cap</w:t>
            </w:r>
          </w:p>
        </w:tc>
        <w:tc>
          <w:tcPr>
            <w:tcW w:type="dxa" w:w="3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Nifty 500 TRI</w:t>
            </w:r>
          </w:p>
        </w:tc>
        <w:tc>
          <w:tcPr>
            <w:tcW w:type="dxa" w:w="3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Broad market — flexi caps invest across all sizes</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Thematic/Infra</w:t>
            </w:r>
          </w:p>
        </w:tc>
        <w:tc>
          <w:tcPr>
            <w:tcW w:type="dxa" w:w="34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BSE India Infrastructure TRI</w:t>
            </w:r>
          </w:p>
        </w:tc>
        <w:tc>
          <w:tcPr>
            <w:tcW w:type="dxa" w:w="34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Sector-specific benchmark</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International/Global</w:t>
            </w:r>
          </w:p>
        </w:tc>
        <w:tc>
          <w:tcPr>
            <w:tcW w:type="dxa" w:w="3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Nasdaq-100 TRI (USD)</w:t>
            </w:r>
          </w:p>
        </w:tc>
        <w:tc>
          <w:tcPr>
            <w:tcW w:type="dxa" w:w="3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US tech index — relevant for Nasdaq FoF</w:t>
            </w:r>
          </w:p>
        </w:tc>
      </w:tr>
    </w:tbl>
    <w:p>
      <w:r>
        <w:t xml:space="preserve"/>
      </w:r>
    </w:p>
    <w:p>
      <w:r>
        <w:t xml:space="preserve"/>
      </w:r>
    </w:p>
    <w:p>
      <w:r>
        <w:br w:type="page"/>
      </w:r>
    </w:p>
    <w:p>
      <w:pPr>
        <w:pStyle w:val="Heading1"/>
        <w:pBdr>
          <w:bottom w:val="single" w:color="1A5C3A" w:sz="8" w:space="4"/>
        </w:pBdr>
        <w:spacing w:after="160" w:before="320"/>
      </w:pPr>
      <w:r>
        <w:rPr>
          <w:rFonts w:ascii="Arial" w:cs="Arial" w:eastAsia="Arial" w:hAnsi="Arial"/>
          <w:b/>
          <w:bCs/>
          <w:color w:val="1A5C3A"/>
          <w:sz w:val="32"/>
          <w:szCs w:val="32"/>
        </w:rPr>
        <w:t xml:space="preserve">6. Category-wise Top Fund Evaluation</w:t>
      </w:r>
    </w:p>
    <w:p>
      <w:pPr>
        <w:pStyle w:val="Heading2"/>
        <w:spacing w:after="120" w:before="240"/>
      </w:pPr>
      <w:r>
        <w:rPr>
          <w:rFonts w:ascii="Arial" w:cs="Arial" w:eastAsia="Arial" w:hAnsi="Arial"/>
          <w:b/>
          <w:bCs/>
          <w:color w:val="4A8C5C"/>
          <w:sz w:val="26"/>
          <w:szCs w:val="26"/>
        </w:rPr>
        <w:t xml:space="preserve">6.1 Small Cap Category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60"/>
        <w:gridCol w:w="760"/>
        <w:gridCol w:w="760"/>
        <w:gridCol w:w="820"/>
        <w:gridCol w:w="640"/>
        <w:gridCol w:w="860"/>
        <w:gridCol w:w="860"/>
        <w:gridCol w:w="860"/>
        <w:gridCol w:w="820"/>
      </w:tblGrid>
      <w:tr>
        <w:tc>
          <w:tcPr>
            <w:tcW w:type="dxa" w:w="21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Fund Name</w:t>
            </w:r>
          </w:p>
        </w:tc>
        <w:tc>
          <w:tcPr>
            <w:tcW w:type="dxa" w:w="7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Alpha 1Y</w:t>
            </w:r>
          </w:p>
        </w:tc>
        <w:tc>
          <w:tcPr>
            <w:tcW w:type="dxa" w:w="7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Alpha 3Y</w:t>
            </w:r>
          </w:p>
        </w:tc>
        <w:tc>
          <w:tcPr>
            <w:tcW w:type="dxa" w:w="7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Alpha 5Y</w:t>
            </w:r>
          </w:p>
        </w:tc>
        <w:tc>
          <w:tcPr>
            <w:tcW w:type="dxa" w:w="82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Sharpe</w:t>
            </w:r>
          </w:p>
        </w:tc>
        <w:tc>
          <w:tcPr>
            <w:tcW w:type="dxa" w:w="64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Beta</w:t>
            </w:r>
          </w:p>
        </w:tc>
        <w:tc>
          <w:tcPr>
            <w:tcW w:type="dxa" w:w="8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1Y Ret</w:t>
            </w:r>
          </w:p>
        </w:tc>
        <w:tc>
          <w:tcPr>
            <w:tcW w:type="dxa" w:w="8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3Y Ret</w:t>
            </w:r>
          </w:p>
        </w:tc>
        <w:tc>
          <w:tcPr>
            <w:tcW w:type="dxa" w:w="8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5Y Ret</w:t>
            </w:r>
          </w:p>
        </w:tc>
        <w:tc>
          <w:tcPr>
            <w:tcW w:type="dxa" w:w="82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Remarks</w:t>
            </w:r>
          </w:p>
        </w:tc>
      </w:tr>
      <w:tr>
        <w:tc>
          <w:tcPr>
            <w:tcW w:type="dxa" w:w="2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Bandhan Small Cap</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3.58</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~6.5</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~8.2</w:t>
            </w:r>
          </w:p>
        </w:tc>
        <w:tc>
          <w:tcPr>
            <w:tcW w:type="dxa" w:w="8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~0.85</w:t>
            </w:r>
          </w:p>
        </w:tc>
        <w:tc>
          <w:tcPr>
            <w:tcW w:type="dxa" w:w="6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~0.92</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5.22%</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29.55%</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22.17%</w:t>
            </w:r>
          </w:p>
        </w:tc>
        <w:tc>
          <w:tcPr>
            <w:tcW w:type="dxa" w:w="8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#1/22 KEEP</w:t>
            </w:r>
          </w:p>
        </w:tc>
      </w:tr>
      <w:tr>
        <w:tc>
          <w:tcPr>
            <w:tcW w:type="dxa" w:w="2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Nippon India Small Cap</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~2.1</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~5.8</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~7.9</w:t>
            </w:r>
          </w:p>
        </w:tc>
        <w:tc>
          <w:tcPr>
            <w:tcW w:type="dxa" w:w="8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~0.91</w:t>
            </w:r>
          </w:p>
        </w:tc>
        <w:tc>
          <w:tcPr>
            <w:tcW w:type="dxa" w:w="6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~0.95</w:t>
            </w:r>
          </w:p>
        </w:tc>
        <w:tc>
          <w:tcPr>
            <w:tcW w:type="dxa" w:w="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~8.5%</w:t>
            </w:r>
          </w:p>
        </w:tc>
        <w:tc>
          <w:tcPr>
            <w:tcW w:type="dxa" w:w="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18.42%</w:t>
            </w:r>
          </w:p>
        </w:tc>
        <w:tc>
          <w:tcPr>
            <w:tcW w:type="dxa" w:w="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22.01%</w:t>
            </w:r>
          </w:p>
        </w:tc>
        <w:tc>
          <w:tcPr>
            <w:tcW w:type="dxa" w:w="8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#3/22 KEEP</w:t>
            </w:r>
          </w:p>
        </w:tc>
      </w:tr>
      <w:tr>
        <w:tc>
          <w:tcPr>
            <w:tcW w:type="dxa" w:w="2160"/>
            <w:tcBorders>
              <w:top w:val="single" w:color="AAAAAA" w:sz="4"/>
              <w:left w:val="single" w:color="AAAAAA" w:sz="4"/>
              <w:bottom w:val="single" w:color="AAAAAA" w:sz="4"/>
              <w:right w:val="single" w:color="AAAAAA" w:sz="4"/>
            </w:tcBorders>
            <w:shd w:fill="FFF0F0" w:val="clear"/>
            <w:tcMar>
              <w:top w:type="dxa" w:w="60"/>
              <w:left w:type="dxa" w:w="120"/>
              <w:bottom w:type="dxa" w:w="60"/>
              <w:right w:type="dxa" w:w="120"/>
            </w:tcMar>
            <w:vAlign w:val="center"/>
          </w:tcPr>
          <w:p>
            <w:pPr>
              <w:jc w:val="left"/>
            </w:pPr>
            <w:r>
              <w:rPr>
                <w:rFonts w:ascii="Arial" w:cs="Arial" w:eastAsia="Arial" w:hAnsi="Arial"/>
                <w:b/>
                <w:bCs/>
                <w:color w:val="A32D2D"/>
                <w:sz w:val="17"/>
                <w:szCs w:val="17"/>
              </w:rPr>
              <w:t xml:space="preserve">Quant Small Cap (STOPPED)</w:t>
            </w:r>
          </w:p>
        </w:tc>
        <w:tc>
          <w:tcPr>
            <w:tcW w:type="dxa" w:w="760"/>
            <w:tcBorders>
              <w:top w:val="single" w:color="AAAAAA" w:sz="4"/>
              <w:left w:val="single" w:color="AAAAAA" w:sz="4"/>
              <w:bottom w:val="single" w:color="AAAAAA" w:sz="4"/>
              <w:right w:val="single" w:color="AAAAAA" w:sz="4"/>
            </w:tcBorders>
            <w:shd w:fill="FFF0F0" w:val="clear"/>
            <w:tcMar>
              <w:top w:type="dxa" w:w="60"/>
              <w:left w:type="dxa" w:w="120"/>
              <w:bottom w:type="dxa" w:w="60"/>
              <w:right w:type="dxa" w:w="120"/>
            </w:tcMar>
            <w:vAlign w:val="center"/>
          </w:tcPr>
          <w:p>
            <w:pPr>
              <w:jc w:val="center"/>
            </w:pPr>
            <w:r>
              <w:rPr>
                <w:rFonts w:ascii="Arial" w:cs="Arial" w:eastAsia="Arial" w:hAnsi="Arial"/>
                <w:b w:val="false"/>
                <w:bCs w:val="false"/>
                <w:color w:val="A32D2D"/>
                <w:sz w:val="17"/>
                <w:szCs w:val="17"/>
              </w:rPr>
              <w:t xml:space="preserve">~1.2</w:t>
            </w:r>
          </w:p>
        </w:tc>
        <w:tc>
          <w:tcPr>
            <w:tcW w:type="dxa" w:w="760"/>
            <w:tcBorders>
              <w:top w:val="single" w:color="AAAAAA" w:sz="4"/>
              <w:left w:val="single" w:color="AAAAAA" w:sz="4"/>
              <w:bottom w:val="single" w:color="AAAAAA" w:sz="4"/>
              <w:right w:val="single" w:color="AAAAAA" w:sz="4"/>
            </w:tcBorders>
            <w:shd w:fill="FFF0F0" w:val="clear"/>
            <w:tcMar>
              <w:top w:type="dxa" w:w="60"/>
              <w:left w:type="dxa" w:w="120"/>
              <w:bottom w:type="dxa" w:w="60"/>
              <w:right w:type="dxa" w:w="120"/>
            </w:tcMar>
            <w:vAlign w:val="center"/>
          </w:tcPr>
          <w:p>
            <w:pPr>
              <w:jc w:val="center"/>
            </w:pPr>
            <w:r>
              <w:rPr>
                <w:rFonts w:ascii="Arial" w:cs="Arial" w:eastAsia="Arial" w:hAnsi="Arial"/>
                <w:b w:val="false"/>
                <w:bCs w:val="false"/>
                <w:color w:val="A32D2D"/>
                <w:sz w:val="17"/>
                <w:szCs w:val="17"/>
              </w:rPr>
              <w:t xml:space="preserve">~4.1</w:t>
            </w:r>
          </w:p>
        </w:tc>
        <w:tc>
          <w:tcPr>
            <w:tcW w:type="dxa" w:w="760"/>
            <w:tcBorders>
              <w:top w:val="single" w:color="AAAAAA" w:sz="4"/>
              <w:left w:val="single" w:color="AAAAAA" w:sz="4"/>
              <w:bottom w:val="single" w:color="AAAAAA" w:sz="4"/>
              <w:right w:val="single" w:color="AAAAAA" w:sz="4"/>
            </w:tcBorders>
            <w:shd w:fill="FFF0F0" w:val="clear"/>
            <w:tcMar>
              <w:top w:type="dxa" w:w="60"/>
              <w:left w:type="dxa" w:w="120"/>
              <w:bottom w:type="dxa" w:w="60"/>
              <w:right w:type="dxa" w:w="120"/>
            </w:tcMar>
            <w:vAlign w:val="center"/>
          </w:tcPr>
          <w:p>
            <w:pPr>
              <w:jc w:val="center"/>
            </w:pPr>
            <w:r>
              <w:rPr>
                <w:rFonts w:ascii="Arial" w:cs="Arial" w:eastAsia="Arial" w:hAnsi="Arial"/>
                <w:b w:val="false"/>
                <w:bCs w:val="false"/>
                <w:color w:val="A32D2D"/>
                <w:sz w:val="17"/>
                <w:szCs w:val="17"/>
              </w:rPr>
              <w:t xml:space="preserve">~9.3</w:t>
            </w:r>
          </w:p>
        </w:tc>
        <w:tc>
          <w:tcPr>
            <w:tcW w:type="dxa" w:w="820"/>
            <w:tcBorders>
              <w:top w:val="single" w:color="AAAAAA" w:sz="4"/>
              <w:left w:val="single" w:color="AAAAAA" w:sz="4"/>
              <w:bottom w:val="single" w:color="AAAAAA" w:sz="4"/>
              <w:right w:val="single" w:color="AAAAAA" w:sz="4"/>
            </w:tcBorders>
            <w:shd w:fill="FFF0F0" w:val="clear"/>
            <w:tcMar>
              <w:top w:type="dxa" w:w="60"/>
              <w:left w:type="dxa" w:w="120"/>
              <w:bottom w:type="dxa" w:w="60"/>
              <w:right w:type="dxa" w:w="120"/>
            </w:tcMar>
            <w:vAlign w:val="center"/>
          </w:tcPr>
          <w:p>
            <w:pPr>
              <w:jc w:val="center"/>
            </w:pPr>
            <w:r>
              <w:rPr>
                <w:rFonts w:ascii="Arial" w:cs="Arial" w:eastAsia="Arial" w:hAnsi="Arial"/>
                <w:b w:val="false"/>
                <w:bCs w:val="false"/>
                <w:color w:val="A32D2D"/>
                <w:sz w:val="17"/>
                <w:szCs w:val="17"/>
              </w:rPr>
              <w:t xml:space="preserve">~0.72</w:t>
            </w:r>
          </w:p>
        </w:tc>
        <w:tc>
          <w:tcPr>
            <w:tcW w:type="dxa" w:w="640"/>
            <w:tcBorders>
              <w:top w:val="single" w:color="AAAAAA" w:sz="4"/>
              <w:left w:val="single" w:color="AAAAAA" w:sz="4"/>
              <w:bottom w:val="single" w:color="AAAAAA" w:sz="4"/>
              <w:right w:val="single" w:color="AAAAAA" w:sz="4"/>
            </w:tcBorders>
            <w:shd w:fill="FFF0F0" w:val="clear"/>
            <w:tcMar>
              <w:top w:type="dxa" w:w="60"/>
              <w:left w:type="dxa" w:w="120"/>
              <w:bottom w:type="dxa" w:w="60"/>
              <w:right w:type="dxa" w:w="120"/>
            </w:tcMar>
            <w:vAlign w:val="center"/>
          </w:tcPr>
          <w:p>
            <w:pPr>
              <w:jc w:val="center"/>
            </w:pPr>
            <w:r>
              <w:rPr>
                <w:rFonts w:ascii="Arial" w:cs="Arial" w:eastAsia="Arial" w:hAnsi="Arial"/>
                <w:b w:val="false"/>
                <w:bCs w:val="false"/>
                <w:color w:val="A32D2D"/>
                <w:sz w:val="17"/>
                <w:szCs w:val="17"/>
              </w:rPr>
              <w:t xml:space="preserve">~1.18</w:t>
            </w:r>
          </w:p>
        </w:tc>
        <w:tc>
          <w:tcPr>
            <w:tcW w:type="dxa" w:w="860"/>
            <w:tcBorders>
              <w:top w:val="single" w:color="AAAAAA" w:sz="4"/>
              <w:left w:val="single" w:color="AAAAAA" w:sz="4"/>
              <w:bottom w:val="single" w:color="AAAAAA" w:sz="4"/>
              <w:right w:val="single" w:color="AAAAAA" w:sz="4"/>
            </w:tcBorders>
            <w:shd w:fill="FFF0F0" w:val="clear"/>
            <w:tcMar>
              <w:top w:type="dxa" w:w="60"/>
              <w:left w:type="dxa" w:w="120"/>
              <w:bottom w:type="dxa" w:w="60"/>
              <w:right w:type="dxa" w:w="120"/>
            </w:tcMar>
            <w:vAlign w:val="center"/>
          </w:tcPr>
          <w:p>
            <w:pPr>
              <w:jc w:val="center"/>
            </w:pPr>
            <w:r>
              <w:rPr>
                <w:rFonts w:ascii="Arial" w:cs="Arial" w:eastAsia="Arial" w:hAnsi="Arial"/>
                <w:b w:val="false"/>
                <w:bCs w:val="false"/>
                <w:color w:val="A32D2D"/>
                <w:sz w:val="17"/>
                <w:szCs w:val="17"/>
              </w:rPr>
              <w:t xml:space="preserve">-3.2%</w:t>
            </w:r>
          </w:p>
        </w:tc>
        <w:tc>
          <w:tcPr>
            <w:tcW w:type="dxa" w:w="860"/>
            <w:tcBorders>
              <w:top w:val="single" w:color="AAAAAA" w:sz="4"/>
              <w:left w:val="single" w:color="AAAAAA" w:sz="4"/>
              <w:bottom w:val="single" w:color="AAAAAA" w:sz="4"/>
              <w:right w:val="single" w:color="AAAAAA" w:sz="4"/>
            </w:tcBorders>
            <w:shd w:fill="FFF0F0" w:val="clear"/>
            <w:tcMar>
              <w:top w:type="dxa" w:w="60"/>
              <w:left w:type="dxa" w:w="120"/>
              <w:bottom w:type="dxa" w:w="60"/>
              <w:right w:type="dxa" w:w="120"/>
            </w:tcMar>
            <w:vAlign w:val="center"/>
          </w:tcPr>
          <w:p>
            <w:pPr>
              <w:jc w:val="center"/>
            </w:pPr>
            <w:r>
              <w:rPr>
                <w:rFonts w:ascii="Arial" w:cs="Arial" w:eastAsia="Arial" w:hAnsi="Arial"/>
                <w:b w:val="false"/>
                <w:bCs w:val="false"/>
                <w:color w:val="A32D2D"/>
                <w:sz w:val="17"/>
                <w:szCs w:val="17"/>
              </w:rPr>
              <w:t xml:space="preserve">20.21%</w:t>
            </w:r>
          </w:p>
        </w:tc>
        <w:tc>
          <w:tcPr>
            <w:tcW w:type="dxa" w:w="860"/>
            <w:tcBorders>
              <w:top w:val="single" w:color="AAAAAA" w:sz="4"/>
              <w:left w:val="single" w:color="AAAAAA" w:sz="4"/>
              <w:bottom w:val="single" w:color="AAAAAA" w:sz="4"/>
              <w:right w:val="single" w:color="AAAAAA" w:sz="4"/>
            </w:tcBorders>
            <w:shd w:fill="FFF0F0" w:val="clear"/>
            <w:tcMar>
              <w:top w:type="dxa" w:w="60"/>
              <w:left w:type="dxa" w:w="120"/>
              <w:bottom w:type="dxa" w:w="60"/>
              <w:right w:type="dxa" w:w="120"/>
            </w:tcMar>
            <w:vAlign w:val="center"/>
          </w:tcPr>
          <w:p>
            <w:pPr>
              <w:jc w:val="center"/>
            </w:pPr>
            <w:r>
              <w:rPr>
                <w:rFonts w:ascii="Arial" w:cs="Arial" w:eastAsia="Arial" w:hAnsi="Arial"/>
                <w:b w:val="false"/>
                <w:bCs w:val="false"/>
                <w:color w:val="A32D2D"/>
                <w:sz w:val="17"/>
                <w:szCs w:val="17"/>
              </w:rPr>
              <w:t xml:space="preserve">20.87%</w:t>
            </w:r>
          </w:p>
        </w:tc>
        <w:tc>
          <w:tcPr>
            <w:tcW w:type="dxa" w:w="820"/>
            <w:tcBorders>
              <w:top w:val="single" w:color="AAAAAA" w:sz="4"/>
              <w:left w:val="single" w:color="AAAAAA" w:sz="4"/>
              <w:bottom w:val="single" w:color="AAAAAA" w:sz="4"/>
              <w:right w:val="single" w:color="AAAAAA" w:sz="4"/>
            </w:tcBorders>
            <w:shd w:fill="FFF0F0" w:val="clear"/>
            <w:tcMar>
              <w:top w:type="dxa" w:w="60"/>
              <w:left w:type="dxa" w:w="120"/>
              <w:bottom w:type="dxa" w:w="60"/>
              <w:right w:type="dxa" w:w="120"/>
            </w:tcMar>
            <w:vAlign w:val="center"/>
          </w:tcPr>
          <w:p>
            <w:pPr>
              <w:jc w:val="center"/>
            </w:pPr>
            <w:r>
              <w:rPr>
                <w:rFonts w:ascii="Arial" w:cs="Arial" w:eastAsia="Arial" w:hAnsi="Arial"/>
                <w:b w:val="false"/>
                <w:bCs w:val="false"/>
                <w:color w:val="A32D2D"/>
                <w:sz w:val="17"/>
                <w:szCs w:val="17"/>
              </w:rPr>
              <w:t xml:space="preserve">Stopped - volatile</w:t>
            </w:r>
          </w:p>
        </w:tc>
      </w:tr>
      <w:tr>
        <w:tc>
          <w:tcPr>
            <w:tcW w:type="dxa" w:w="2160"/>
            <w:tcBorders>
              <w:top w:val="single" w:color="AAAAAA" w:sz="4"/>
              <w:left w:val="single" w:color="AAAAAA" w:sz="4"/>
              <w:bottom w:val="single" w:color="AAAAAA" w:sz="4"/>
              <w:right w:val="single" w:color="AAAAAA" w:sz="4"/>
            </w:tcBorders>
            <w:shd w:fill="FFFBE6" w:val="clear"/>
            <w:tcMar>
              <w:top w:type="dxa" w:w="60"/>
              <w:left w:type="dxa" w:w="120"/>
              <w:bottom w:type="dxa" w:w="60"/>
              <w:right w:type="dxa" w:w="120"/>
            </w:tcMar>
            <w:vAlign w:val="center"/>
          </w:tcPr>
          <w:p>
            <w:pPr>
              <w:jc w:val="left"/>
            </w:pPr>
            <w:r>
              <w:rPr>
                <w:rFonts w:ascii="Arial" w:cs="Arial" w:eastAsia="Arial" w:hAnsi="Arial"/>
                <w:b/>
                <w:bCs/>
                <w:color w:val="BA7517"/>
                <w:sz w:val="17"/>
                <w:szCs w:val="17"/>
              </w:rPr>
              <w:t xml:space="preserve">Tata Small Cap (Watch)</w:t>
            </w:r>
          </w:p>
        </w:tc>
        <w:tc>
          <w:tcPr>
            <w:tcW w:type="dxa" w:w="760"/>
            <w:tcBorders>
              <w:top w:val="single" w:color="AAAAAA" w:sz="4"/>
              <w:left w:val="single" w:color="AAAAAA" w:sz="4"/>
              <w:bottom w:val="single" w:color="AAAAAA" w:sz="4"/>
              <w:right w:val="single" w:color="AAAAAA" w:sz="4"/>
            </w:tcBorders>
            <w:shd w:fill="FFFBE6" w:val="clear"/>
            <w:tcMar>
              <w:top w:type="dxa" w:w="60"/>
              <w:left w:type="dxa" w:w="120"/>
              <w:bottom w:type="dxa" w:w="60"/>
              <w:right w:type="dxa" w:w="120"/>
            </w:tcMar>
            <w:vAlign w:val="center"/>
          </w:tcPr>
          <w:p>
            <w:pPr>
              <w:jc w:val="center"/>
            </w:pPr>
            <w:r>
              <w:rPr>
                <w:rFonts w:ascii="Arial" w:cs="Arial" w:eastAsia="Arial" w:hAnsi="Arial"/>
                <w:b w:val="false"/>
                <w:bCs w:val="false"/>
                <w:color w:val="BA7517"/>
                <w:sz w:val="17"/>
                <w:szCs w:val="17"/>
              </w:rPr>
              <w:t xml:space="preserve">~2.8</w:t>
            </w:r>
          </w:p>
        </w:tc>
        <w:tc>
          <w:tcPr>
            <w:tcW w:type="dxa" w:w="760"/>
            <w:tcBorders>
              <w:top w:val="single" w:color="AAAAAA" w:sz="4"/>
              <w:left w:val="single" w:color="AAAAAA" w:sz="4"/>
              <w:bottom w:val="single" w:color="AAAAAA" w:sz="4"/>
              <w:right w:val="single" w:color="AAAAAA" w:sz="4"/>
            </w:tcBorders>
            <w:shd w:fill="FFFBE6" w:val="clear"/>
            <w:tcMar>
              <w:top w:type="dxa" w:w="60"/>
              <w:left w:type="dxa" w:w="120"/>
              <w:bottom w:type="dxa" w:w="60"/>
              <w:right w:type="dxa" w:w="120"/>
            </w:tcMar>
            <w:vAlign w:val="center"/>
          </w:tcPr>
          <w:p>
            <w:pPr>
              <w:jc w:val="center"/>
            </w:pPr>
            <w:r>
              <w:rPr>
                <w:rFonts w:ascii="Arial" w:cs="Arial" w:eastAsia="Arial" w:hAnsi="Arial"/>
                <w:b w:val="false"/>
                <w:bCs w:val="false"/>
                <w:color w:val="BA7517"/>
                <w:sz w:val="17"/>
                <w:szCs w:val="17"/>
              </w:rPr>
              <w:t xml:space="preserve">~6.1</w:t>
            </w:r>
          </w:p>
        </w:tc>
        <w:tc>
          <w:tcPr>
            <w:tcW w:type="dxa" w:w="760"/>
            <w:tcBorders>
              <w:top w:val="single" w:color="AAAAAA" w:sz="4"/>
              <w:left w:val="single" w:color="AAAAAA" w:sz="4"/>
              <w:bottom w:val="single" w:color="AAAAAA" w:sz="4"/>
              <w:right w:val="single" w:color="AAAAAA" w:sz="4"/>
            </w:tcBorders>
            <w:shd w:fill="FFFBE6" w:val="clear"/>
            <w:tcMar>
              <w:top w:type="dxa" w:w="60"/>
              <w:left w:type="dxa" w:w="120"/>
              <w:bottom w:type="dxa" w:w="60"/>
              <w:right w:type="dxa" w:w="120"/>
            </w:tcMar>
            <w:vAlign w:val="center"/>
          </w:tcPr>
          <w:p>
            <w:pPr>
              <w:jc w:val="center"/>
            </w:pPr>
            <w:r>
              <w:rPr>
                <w:rFonts w:ascii="Arial" w:cs="Arial" w:eastAsia="Arial" w:hAnsi="Arial"/>
                <w:b w:val="false"/>
                <w:bCs w:val="false"/>
                <w:color w:val="BA7517"/>
                <w:sz w:val="17"/>
                <w:szCs w:val="17"/>
              </w:rPr>
              <w:t xml:space="preserve">~7.4</w:t>
            </w:r>
          </w:p>
        </w:tc>
        <w:tc>
          <w:tcPr>
            <w:tcW w:type="dxa" w:w="820"/>
            <w:tcBorders>
              <w:top w:val="single" w:color="AAAAAA" w:sz="4"/>
              <w:left w:val="single" w:color="AAAAAA" w:sz="4"/>
              <w:bottom w:val="single" w:color="AAAAAA" w:sz="4"/>
              <w:right w:val="single" w:color="AAAAAA" w:sz="4"/>
            </w:tcBorders>
            <w:shd w:fill="FFFBE6" w:val="clear"/>
            <w:tcMar>
              <w:top w:type="dxa" w:w="60"/>
              <w:left w:type="dxa" w:w="120"/>
              <w:bottom w:type="dxa" w:w="60"/>
              <w:right w:type="dxa" w:w="120"/>
            </w:tcMar>
            <w:vAlign w:val="center"/>
          </w:tcPr>
          <w:p>
            <w:pPr>
              <w:jc w:val="center"/>
            </w:pPr>
            <w:r>
              <w:rPr>
                <w:rFonts w:ascii="Arial" w:cs="Arial" w:eastAsia="Arial" w:hAnsi="Arial"/>
                <w:b w:val="false"/>
                <w:bCs w:val="false"/>
                <w:color w:val="BA7517"/>
                <w:sz w:val="17"/>
                <w:szCs w:val="17"/>
              </w:rPr>
              <w:t xml:space="preserve">~0.88</w:t>
            </w:r>
          </w:p>
        </w:tc>
        <w:tc>
          <w:tcPr>
            <w:tcW w:type="dxa" w:w="640"/>
            <w:tcBorders>
              <w:top w:val="single" w:color="AAAAAA" w:sz="4"/>
              <w:left w:val="single" w:color="AAAAAA" w:sz="4"/>
              <w:bottom w:val="single" w:color="AAAAAA" w:sz="4"/>
              <w:right w:val="single" w:color="AAAAAA" w:sz="4"/>
            </w:tcBorders>
            <w:shd w:fill="FFFBE6" w:val="clear"/>
            <w:tcMar>
              <w:top w:type="dxa" w:w="60"/>
              <w:left w:type="dxa" w:w="120"/>
              <w:bottom w:type="dxa" w:w="60"/>
              <w:right w:type="dxa" w:w="120"/>
            </w:tcMar>
            <w:vAlign w:val="center"/>
          </w:tcPr>
          <w:p>
            <w:pPr>
              <w:jc w:val="center"/>
            </w:pPr>
            <w:r>
              <w:rPr>
                <w:rFonts w:ascii="Arial" w:cs="Arial" w:eastAsia="Arial" w:hAnsi="Arial"/>
                <w:b w:val="false"/>
                <w:bCs w:val="false"/>
                <w:color w:val="BA7517"/>
                <w:sz w:val="17"/>
                <w:szCs w:val="17"/>
              </w:rPr>
              <w:t xml:space="preserve">~0.94</w:t>
            </w:r>
          </w:p>
        </w:tc>
        <w:tc>
          <w:tcPr>
            <w:tcW w:type="dxa" w:w="860"/>
            <w:tcBorders>
              <w:top w:val="single" w:color="AAAAAA" w:sz="4"/>
              <w:left w:val="single" w:color="AAAAAA" w:sz="4"/>
              <w:bottom w:val="single" w:color="AAAAAA" w:sz="4"/>
              <w:right w:val="single" w:color="AAAAAA" w:sz="4"/>
            </w:tcBorders>
            <w:shd w:fill="FFFBE6" w:val="clear"/>
            <w:tcMar>
              <w:top w:type="dxa" w:w="60"/>
              <w:left w:type="dxa" w:w="120"/>
              <w:bottom w:type="dxa" w:w="60"/>
              <w:right w:type="dxa" w:w="120"/>
            </w:tcMar>
            <w:vAlign w:val="center"/>
          </w:tcPr>
          <w:p>
            <w:pPr>
              <w:jc w:val="center"/>
            </w:pPr>
            <w:r>
              <w:rPr>
                <w:rFonts w:ascii="Arial" w:cs="Arial" w:eastAsia="Arial" w:hAnsi="Arial"/>
                <w:b w:val="false"/>
                <w:bCs w:val="false"/>
                <w:color w:val="BA7517"/>
                <w:sz w:val="17"/>
                <w:szCs w:val="17"/>
              </w:rPr>
              <w:t xml:space="preserve">~9%</w:t>
            </w:r>
          </w:p>
        </w:tc>
        <w:tc>
          <w:tcPr>
            <w:tcW w:type="dxa" w:w="860"/>
            <w:tcBorders>
              <w:top w:val="single" w:color="AAAAAA" w:sz="4"/>
              <w:left w:val="single" w:color="AAAAAA" w:sz="4"/>
              <w:bottom w:val="single" w:color="AAAAAA" w:sz="4"/>
              <w:right w:val="single" w:color="AAAAAA" w:sz="4"/>
            </w:tcBorders>
            <w:shd w:fill="FFFBE6" w:val="clear"/>
            <w:tcMar>
              <w:top w:type="dxa" w:w="60"/>
              <w:left w:type="dxa" w:w="120"/>
              <w:bottom w:type="dxa" w:w="60"/>
              <w:right w:type="dxa" w:w="120"/>
            </w:tcMar>
            <w:vAlign w:val="center"/>
          </w:tcPr>
          <w:p>
            <w:pPr>
              <w:jc w:val="center"/>
            </w:pPr>
            <w:r>
              <w:rPr>
                <w:rFonts w:ascii="Arial" w:cs="Arial" w:eastAsia="Arial" w:hAnsi="Arial"/>
                <w:b w:val="false"/>
                <w:bCs w:val="false"/>
                <w:color w:val="BA7517"/>
                <w:sz w:val="17"/>
                <w:szCs w:val="17"/>
              </w:rPr>
              <w:t xml:space="preserve">32.7%</w:t>
            </w:r>
          </w:p>
        </w:tc>
        <w:tc>
          <w:tcPr>
            <w:tcW w:type="dxa" w:w="860"/>
            <w:tcBorders>
              <w:top w:val="single" w:color="AAAAAA" w:sz="4"/>
              <w:left w:val="single" w:color="AAAAAA" w:sz="4"/>
              <w:bottom w:val="single" w:color="AAAAAA" w:sz="4"/>
              <w:right w:val="single" w:color="AAAAAA" w:sz="4"/>
            </w:tcBorders>
            <w:shd w:fill="FFFBE6" w:val="clear"/>
            <w:tcMar>
              <w:top w:type="dxa" w:w="60"/>
              <w:left w:type="dxa" w:w="120"/>
              <w:bottom w:type="dxa" w:w="60"/>
              <w:right w:type="dxa" w:w="120"/>
            </w:tcMar>
            <w:vAlign w:val="center"/>
          </w:tcPr>
          <w:p>
            <w:pPr>
              <w:jc w:val="center"/>
            </w:pPr>
            <w:r>
              <w:rPr>
                <w:rFonts w:ascii="Arial" w:cs="Arial" w:eastAsia="Arial" w:hAnsi="Arial"/>
                <w:b w:val="false"/>
                <w:bCs w:val="false"/>
                <w:color w:val="BA7517"/>
                <w:sz w:val="17"/>
                <w:szCs w:val="17"/>
              </w:rPr>
              <w:t xml:space="preserve">25.8%</w:t>
            </w:r>
          </w:p>
        </w:tc>
        <w:tc>
          <w:tcPr>
            <w:tcW w:type="dxa" w:w="820"/>
            <w:tcBorders>
              <w:top w:val="single" w:color="AAAAAA" w:sz="4"/>
              <w:left w:val="single" w:color="AAAAAA" w:sz="4"/>
              <w:bottom w:val="single" w:color="AAAAAA" w:sz="4"/>
              <w:right w:val="single" w:color="AAAAAA" w:sz="4"/>
            </w:tcBorders>
            <w:shd w:fill="FFFBE6" w:val="clear"/>
            <w:tcMar>
              <w:top w:type="dxa" w:w="60"/>
              <w:left w:type="dxa" w:w="120"/>
              <w:bottom w:type="dxa" w:w="60"/>
              <w:right w:type="dxa" w:w="120"/>
            </w:tcMar>
            <w:vAlign w:val="center"/>
          </w:tcPr>
          <w:p>
            <w:pPr>
              <w:jc w:val="center"/>
            </w:pPr>
            <w:r>
              <w:rPr>
                <w:rFonts w:ascii="Arial" w:cs="Arial" w:eastAsia="Arial" w:hAnsi="Arial"/>
                <w:b w:val="false"/>
                <w:bCs w:val="false"/>
                <w:color w:val="BA7517"/>
                <w:sz w:val="17"/>
                <w:szCs w:val="17"/>
              </w:rPr>
              <w:t xml:space="preserve">Strong alt.</w:t>
            </w:r>
          </w:p>
        </w:tc>
      </w:tr>
      <w:tr>
        <w:tc>
          <w:tcPr>
            <w:tcW w:type="dxa" w:w="2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SBI Small Cap</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~1.5</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~4.8</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~6.9</w:t>
            </w:r>
          </w:p>
        </w:tc>
        <w:tc>
          <w:tcPr>
            <w:tcW w:type="dxa" w:w="8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~0.79</w:t>
            </w:r>
          </w:p>
        </w:tc>
        <w:tc>
          <w:tcPr>
            <w:tcW w:type="dxa" w:w="6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~0.89</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~6%</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16%</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19%</w:t>
            </w:r>
          </w:p>
        </w:tc>
        <w:tc>
          <w:tcPr>
            <w:tcW w:type="dxa" w:w="8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Solid but pricier</w:t>
            </w:r>
          </w:p>
        </w:tc>
      </w:tr>
    </w:tbl>
    <w:p>
      <w:r>
        <w:t xml:space="preserve"/>
      </w:r>
    </w:p>
    <w:p>
      <w:pPr>
        <w:pStyle w:val="Heading2"/>
        <w:spacing w:after="120" w:before="240"/>
      </w:pPr>
      <w:r>
        <w:rPr>
          <w:rFonts w:ascii="Arial" w:cs="Arial" w:eastAsia="Arial" w:hAnsi="Arial"/>
          <w:b/>
          <w:bCs/>
          <w:color w:val="4A8C5C"/>
          <w:sz w:val="26"/>
          <w:szCs w:val="26"/>
        </w:rPr>
        <w:t xml:space="preserve">6.2 Mid Cap Category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60"/>
        <w:gridCol w:w="760"/>
        <w:gridCol w:w="760"/>
        <w:gridCol w:w="820"/>
        <w:gridCol w:w="640"/>
        <w:gridCol w:w="860"/>
        <w:gridCol w:w="860"/>
        <w:gridCol w:w="860"/>
        <w:gridCol w:w="820"/>
      </w:tblGrid>
      <w:tr>
        <w:tc>
          <w:tcPr>
            <w:tcW w:type="dxa" w:w="21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Fund Name</w:t>
            </w:r>
          </w:p>
        </w:tc>
        <w:tc>
          <w:tcPr>
            <w:tcW w:type="dxa" w:w="7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Alpha 1Y</w:t>
            </w:r>
          </w:p>
        </w:tc>
        <w:tc>
          <w:tcPr>
            <w:tcW w:type="dxa" w:w="7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Alpha 3Y</w:t>
            </w:r>
          </w:p>
        </w:tc>
        <w:tc>
          <w:tcPr>
            <w:tcW w:type="dxa" w:w="7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Alpha 5Y</w:t>
            </w:r>
          </w:p>
        </w:tc>
        <w:tc>
          <w:tcPr>
            <w:tcW w:type="dxa" w:w="82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Sharpe</w:t>
            </w:r>
          </w:p>
        </w:tc>
        <w:tc>
          <w:tcPr>
            <w:tcW w:type="dxa" w:w="64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Beta</w:t>
            </w:r>
          </w:p>
        </w:tc>
        <w:tc>
          <w:tcPr>
            <w:tcW w:type="dxa" w:w="8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1Y Ret</w:t>
            </w:r>
          </w:p>
        </w:tc>
        <w:tc>
          <w:tcPr>
            <w:tcW w:type="dxa" w:w="8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3Y Ret</w:t>
            </w:r>
          </w:p>
        </w:tc>
        <w:tc>
          <w:tcPr>
            <w:tcW w:type="dxa" w:w="8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5Y Ret</w:t>
            </w:r>
          </w:p>
        </w:tc>
        <w:tc>
          <w:tcPr>
            <w:tcW w:type="dxa" w:w="82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Remarks</w:t>
            </w:r>
          </w:p>
        </w:tc>
      </w:tr>
      <w:tr>
        <w:tc>
          <w:tcPr>
            <w:tcW w:type="dxa" w:w="2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HDFC Midcap Opp.</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~1.8</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~5.2</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~7.6</w:t>
            </w:r>
          </w:p>
        </w:tc>
        <w:tc>
          <w:tcPr>
            <w:tcW w:type="dxa" w:w="8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~0.90</w:t>
            </w:r>
          </w:p>
        </w:tc>
        <w:tc>
          <w:tcPr>
            <w:tcW w:type="dxa" w:w="6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~0.97</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~6.5%</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22.3%</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22.3%</w:t>
            </w:r>
          </w:p>
        </w:tc>
        <w:tc>
          <w:tcPr>
            <w:tcW w:type="dxa" w:w="8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#4/25 KEEP</w:t>
            </w:r>
          </w:p>
        </w:tc>
      </w:tr>
      <w:tr>
        <w:tc>
          <w:tcPr>
            <w:tcW w:type="dxa" w:w="2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Edelweiss Midcap</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3.88</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~5.9</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~8.1</w:t>
            </w:r>
          </w:p>
        </w:tc>
        <w:tc>
          <w:tcPr>
            <w:tcW w:type="dxa" w:w="8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0.98</w:t>
            </w:r>
          </w:p>
        </w:tc>
        <w:tc>
          <w:tcPr>
            <w:tcW w:type="dxa" w:w="6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~0.94</w:t>
            </w:r>
          </w:p>
        </w:tc>
        <w:tc>
          <w:tcPr>
            <w:tcW w:type="dxa" w:w="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5.84%</w:t>
            </w:r>
          </w:p>
        </w:tc>
        <w:tc>
          <w:tcPr>
            <w:tcW w:type="dxa" w:w="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24.4%</w:t>
            </w:r>
          </w:p>
        </w:tc>
        <w:tc>
          <w:tcPr>
            <w:tcW w:type="dxa" w:w="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21.5%</w:t>
            </w:r>
          </w:p>
        </w:tc>
        <w:tc>
          <w:tcPr>
            <w:tcW w:type="dxa" w:w="8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#2/25 KEEP</w:t>
            </w:r>
          </w:p>
        </w:tc>
      </w:tr>
      <w:tr>
        <w:tc>
          <w:tcPr>
            <w:tcW w:type="dxa" w:w="2160"/>
            <w:tcBorders>
              <w:top w:val="single" w:color="AAAAAA" w:sz="4"/>
              <w:left w:val="single" w:color="AAAAAA" w:sz="4"/>
              <w:bottom w:val="single" w:color="AAAAAA" w:sz="4"/>
              <w:right w:val="single" w:color="AAAAAA" w:sz="4"/>
            </w:tcBorders>
            <w:shd w:fill="FFF0F0" w:val="clear"/>
            <w:tcMar>
              <w:top w:type="dxa" w:w="60"/>
              <w:left w:type="dxa" w:w="120"/>
              <w:bottom w:type="dxa" w:w="60"/>
              <w:right w:type="dxa" w:w="120"/>
            </w:tcMar>
            <w:vAlign w:val="center"/>
          </w:tcPr>
          <w:p>
            <w:pPr>
              <w:jc w:val="left"/>
            </w:pPr>
            <w:r>
              <w:rPr>
                <w:rFonts w:ascii="Arial" w:cs="Arial" w:eastAsia="Arial" w:hAnsi="Arial"/>
                <w:b/>
                <w:bCs/>
                <w:color w:val="A32D2D"/>
                <w:sz w:val="17"/>
                <w:szCs w:val="17"/>
              </w:rPr>
              <w:t xml:space="preserve">MO Midcap (STOPPED)</w:t>
            </w:r>
          </w:p>
        </w:tc>
        <w:tc>
          <w:tcPr>
            <w:tcW w:type="dxa" w:w="760"/>
            <w:tcBorders>
              <w:top w:val="single" w:color="AAAAAA" w:sz="4"/>
              <w:left w:val="single" w:color="AAAAAA" w:sz="4"/>
              <w:bottom w:val="single" w:color="AAAAAA" w:sz="4"/>
              <w:right w:val="single" w:color="AAAAAA" w:sz="4"/>
            </w:tcBorders>
            <w:shd w:fill="FFF0F0" w:val="clear"/>
            <w:tcMar>
              <w:top w:type="dxa" w:w="60"/>
              <w:left w:type="dxa" w:w="120"/>
              <w:bottom w:type="dxa" w:w="60"/>
              <w:right w:type="dxa" w:w="120"/>
            </w:tcMar>
            <w:vAlign w:val="center"/>
          </w:tcPr>
          <w:p>
            <w:pPr>
              <w:jc w:val="center"/>
            </w:pPr>
            <w:r>
              <w:rPr>
                <w:rFonts w:ascii="Arial" w:cs="Arial" w:eastAsia="Arial" w:hAnsi="Arial"/>
                <w:b w:val="false"/>
                <w:bCs w:val="false"/>
                <w:color w:val="A32D2D"/>
                <w:sz w:val="17"/>
                <w:szCs w:val="17"/>
              </w:rPr>
              <w:t xml:space="preserve">~-0.8</w:t>
            </w:r>
          </w:p>
        </w:tc>
        <w:tc>
          <w:tcPr>
            <w:tcW w:type="dxa" w:w="760"/>
            <w:tcBorders>
              <w:top w:val="single" w:color="AAAAAA" w:sz="4"/>
              <w:left w:val="single" w:color="AAAAAA" w:sz="4"/>
              <w:bottom w:val="single" w:color="AAAAAA" w:sz="4"/>
              <w:right w:val="single" w:color="AAAAAA" w:sz="4"/>
            </w:tcBorders>
            <w:shd w:fill="FFF0F0" w:val="clear"/>
            <w:tcMar>
              <w:top w:type="dxa" w:w="60"/>
              <w:left w:type="dxa" w:w="120"/>
              <w:bottom w:type="dxa" w:w="60"/>
              <w:right w:type="dxa" w:w="120"/>
            </w:tcMar>
            <w:vAlign w:val="center"/>
          </w:tcPr>
          <w:p>
            <w:pPr>
              <w:jc w:val="center"/>
            </w:pPr>
            <w:r>
              <w:rPr>
                <w:rFonts w:ascii="Arial" w:cs="Arial" w:eastAsia="Arial" w:hAnsi="Arial"/>
                <w:b w:val="false"/>
                <w:bCs w:val="false"/>
                <w:color w:val="A32D2D"/>
                <w:sz w:val="17"/>
                <w:szCs w:val="17"/>
              </w:rPr>
              <w:t xml:space="preserve">~3.4</w:t>
            </w:r>
          </w:p>
        </w:tc>
        <w:tc>
          <w:tcPr>
            <w:tcW w:type="dxa" w:w="760"/>
            <w:tcBorders>
              <w:top w:val="single" w:color="AAAAAA" w:sz="4"/>
              <w:left w:val="single" w:color="AAAAAA" w:sz="4"/>
              <w:bottom w:val="single" w:color="AAAAAA" w:sz="4"/>
              <w:right w:val="single" w:color="AAAAAA" w:sz="4"/>
            </w:tcBorders>
            <w:shd w:fill="FFF0F0" w:val="clear"/>
            <w:tcMar>
              <w:top w:type="dxa" w:w="60"/>
              <w:left w:type="dxa" w:w="120"/>
              <w:bottom w:type="dxa" w:w="60"/>
              <w:right w:type="dxa" w:w="120"/>
            </w:tcMar>
            <w:vAlign w:val="center"/>
          </w:tcPr>
          <w:p>
            <w:pPr>
              <w:jc w:val="center"/>
            </w:pPr>
            <w:r>
              <w:rPr>
                <w:rFonts w:ascii="Arial" w:cs="Arial" w:eastAsia="Arial" w:hAnsi="Arial"/>
                <w:b w:val="false"/>
                <w:bCs w:val="false"/>
                <w:color w:val="A32D2D"/>
                <w:sz w:val="17"/>
                <w:szCs w:val="17"/>
              </w:rPr>
              <w:t xml:space="preserve">~6.8</w:t>
            </w:r>
          </w:p>
        </w:tc>
        <w:tc>
          <w:tcPr>
            <w:tcW w:type="dxa" w:w="820"/>
            <w:tcBorders>
              <w:top w:val="single" w:color="AAAAAA" w:sz="4"/>
              <w:left w:val="single" w:color="AAAAAA" w:sz="4"/>
              <w:bottom w:val="single" w:color="AAAAAA" w:sz="4"/>
              <w:right w:val="single" w:color="AAAAAA" w:sz="4"/>
            </w:tcBorders>
            <w:shd w:fill="FFF0F0" w:val="clear"/>
            <w:tcMar>
              <w:top w:type="dxa" w:w="60"/>
              <w:left w:type="dxa" w:w="120"/>
              <w:bottom w:type="dxa" w:w="60"/>
              <w:right w:type="dxa" w:w="120"/>
            </w:tcMar>
            <w:vAlign w:val="center"/>
          </w:tcPr>
          <w:p>
            <w:pPr>
              <w:jc w:val="center"/>
            </w:pPr>
            <w:r>
              <w:rPr>
                <w:rFonts w:ascii="Arial" w:cs="Arial" w:eastAsia="Arial" w:hAnsi="Arial"/>
                <w:b w:val="false"/>
                <w:bCs w:val="false"/>
                <w:color w:val="A32D2D"/>
                <w:sz w:val="17"/>
                <w:szCs w:val="17"/>
              </w:rPr>
              <w:t xml:space="preserve">~0.65</w:t>
            </w:r>
          </w:p>
        </w:tc>
        <w:tc>
          <w:tcPr>
            <w:tcW w:type="dxa" w:w="640"/>
            <w:tcBorders>
              <w:top w:val="single" w:color="AAAAAA" w:sz="4"/>
              <w:left w:val="single" w:color="AAAAAA" w:sz="4"/>
              <w:bottom w:val="single" w:color="AAAAAA" w:sz="4"/>
              <w:right w:val="single" w:color="AAAAAA" w:sz="4"/>
            </w:tcBorders>
            <w:shd w:fill="FFF0F0" w:val="clear"/>
            <w:tcMar>
              <w:top w:type="dxa" w:w="60"/>
              <w:left w:type="dxa" w:w="120"/>
              <w:bottom w:type="dxa" w:w="60"/>
              <w:right w:type="dxa" w:w="120"/>
            </w:tcMar>
            <w:vAlign w:val="center"/>
          </w:tcPr>
          <w:p>
            <w:pPr>
              <w:jc w:val="center"/>
            </w:pPr>
            <w:r>
              <w:rPr>
                <w:rFonts w:ascii="Arial" w:cs="Arial" w:eastAsia="Arial" w:hAnsi="Arial"/>
                <w:b w:val="false"/>
                <w:bCs w:val="false"/>
                <w:color w:val="A32D2D"/>
                <w:sz w:val="17"/>
                <w:szCs w:val="17"/>
              </w:rPr>
              <w:t xml:space="preserve">~1.05</w:t>
            </w:r>
          </w:p>
        </w:tc>
        <w:tc>
          <w:tcPr>
            <w:tcW w:type="dxa" w:w="860"/>
            <w:tcBorders>
              <w:top w:val="single" w:color="AAAAAA" w:sz="4"/>
              <w:left w:val="single" w:color="AAAAAA" w:sz="4"/>
              <w:bottom w:val="single" w:color="AAAAAA" w:sz="4"/>
              <w:right w:val="single" w:color="AAAAAA" w:sz="4"/>
            </w:tcBorders>
            <w:shd w:fill="FFF0F0" w:val="clear"/>
            <w:tcMar>
              <w:top w:type="dxa" w:w="60"/>
              <w:left w:type="dxa" w:w="120"/>
              <w:bottom w:type="dxa" w:w="60"/>
              <w:right w:type="dxa" w:w="120"/>
            </w:tcMar>
            <w:vAlign w:val="center"/>
          </w:tcPr>
          <w:p>
            <w:pPr>
              <w:jc w:val="center"/>
            </w:pPr>
            <w:r>
              <w:rPr>
                <w:rFonts w:ascii="Arial" w:cs="Arial" w:eastAsia="Arial" w:hAnsi="Arial"/>
                <w:b w:val="false"/>
                <w:bCs w:val="false"/>
                <w:color w:val="A32D2D"/>
                <w:sz w:val="17"/>
                <w:szCs w:val="17"/>
              </w:rPr>
              <w:t xml:space="preserve">-8.53%</w:t>
            </w:r>
          </w:p>
        </w:tc>
        <w:tc>
          <w:tcPr>
            <w:tcW w:type="dxa" w:w="860"/>
            <w:tcBorders>
              <w:top w:val="single" w:color="AAAAAA" w:sz="4"/>
              <w:left w:val="single" w:color="AAAAAA" w:sz="4"/>
              <w:bottom w:val="single" w:color="AAAAAA" w:sz="4"/>
              <w:right w:val="single" w:color="AAAAAA" w:sz="4"/>
            </w:tcBorders>
            <w:shd w:fill="FFF0F0" w:val="clear"/>
            <w:tcMar>
              <w:top w:type="dxa" w:w="60"/>
              <w:left w:type="dxa" w:w="120"/>
              <w:bottom w:type="dxa" w:w="60"/>
              <w:right w:type="dxa" w:w="120"/>
            </w:tcMar>
            <w:vAlign w:val="center"/>
          </w:tcPr>
          <w:p>
            <w:pPr>
              <w:jc w:val="center"/>
            </w:pPr>
            <w:r>
              <w:rPr>
                <w:rFonts w:ascii="Arial" w:cs="Arial" w:eastAsia="Arial" w:hAnsi="Arial"/>
                <w:b w:val="false"/>
                <w:bCs w:val="false"/>
                <w:color w:val="A32D2D"/>
                <w:sz w:val="17"/>
                <w:szCs w:val="17"/>
              </w:rPr>
              <w:t xml:space="preserve">17.58%</w:t>
            </w:r>
          </w:p>
        </w:tc>
        <w:tc>
          <w:tcPr>
            <w:tcW w:type="dxa" w:w="860"/>
            <w:tcBorders>
              <w:top w:val="single" w:color="AAAAAA" w:sz="4"/>
              <w:left w:val="single" w:color="AAAAAA" w:sz="4"/>
              <w:bottom w:val="single" w:color="AAAAAA" w:sz="4"/>
              <w:right w:val="single" w:color="AAAAAA" w:sz="4"/>
            </w:tcBorders>
            <w:shd w:fill="FFF0F0" w:val="clear"/>
            <w:tcMar>
              <w:top w:type="dxa" w:w="60"/>
              <w:left w:type="dxa" w:w="120"/>
              <w:bottom w:type="dxa" w:w="60"/>
              <w:right w:type="dxa" w:w="120"/>
            </w:tcMar>
            <w:vAlign w:val="center"/>
          </w:tcPr>
          <w:p>
            <w:pPr>
              <w:jc w:val="center"/>
            </w:pPr>
            <w:r>
              <w:rPr>
                <w:rFonts w:ascii="Arial" w:cs="Arial" w:eastAsia="Arial" w:hAnsi="Arial"/>
                <w:b w:val="false"/>
                <w:bCs w:val="false"/>
                <w:color w:val="A32D2D"/>
                <w:sz w:val="17"/>
                <w:szCs w:val="17"/>
              </w:rPr>
              <w:t xml:space="preserve">21.48%</w:t>
            </w:r>
          </w:p>
        </w:tc>
        <w:tc>
          <w:tcPr>
            <w:tcW w:type="dxa" w:w="820"/>
            <w:tcBorders>
              <w:top w:val="single" w:color="AAAAAA" w:sz="4"/>
              <w:left w:val="single" w:color="AAAAAA" w:sz="4"/>
              <w:bottom w:val="single" w:color="AAAAAA" w:sz="4"/>
              <w:right w:val="single" w:color="AAAAAA" w:sz="4"/>
            </w:tcBorders>
            <w:shd w:fill="FFF0F0" w:val="clear"/>
            <w:tcMar>
              <w:top w:type="dxa" w:w="60"/>
              <w:left w:type="dxa" w:w="120"/>
              <w:bottom w:type="dxa" w:w="60"/>
              <w:right w:type="dxa" w:w="120"/>
            </w:tcMar>
            <w:vAlign w:val="center"/>
          </w:tcPr>
          <w:p>
            <w:pPr>
              <w:jc w:val="center"/>
            </w:pPr>
            <w:r>
              <w:rPr>
                <w:rFonts w:ascii="Arial" w:cs="Arial" w:eastAsia="Arial" w:hAnsi="Arial"/>
                <w:b w:val="false"/>
                <w:bCs w:val="false"/>
                <w:color w:val="A32D2D"/>
                <w:sz w:val="17"/>
                <w:szCs w:val="17"/>
              </w:rPr>
              <w:t xml:space="preserve">Stopped - 1Y poor</w:t>
            </w:r>
          </w:p>
        </w:tc>
      </w:tr>
      <w:tr>
        <w:tc>
          <w:tcPr>
            <w:tcW w:type="dxa" w:w="2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Nippon Growth Mid Cap</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3.51</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~5.7</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~7.8</w:t>
            </w:r>
          </w:p>
        </w:tc>
        <w:tc>
          <w:tcPr>
            <w:tcW w:type="dxa" w:w="8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~0.96</w:t>
            </w:r>
          </w:p>
        </w:tc>
        <w:tc>
          <w:tcPr>
            <w:tcW w:type="dxa" w:w="6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~0.96</w:t>
            </w:r>
          </w:p>
        </w:tc>
        <w:tc>
          <w:tcPr>
            <w:tcW w:type="dxa" w:w="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~5.5%</w:t>
            </w:r>
          </w:p>
        </w:tc>
        <w:tc>
          <w:tcPr>
            <w:tcW w:type="dxa" w:w="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23.02%</w:t>
            </w:r>
          </w:p>
        </w:tc>
        <w:tc>
          <w:tcPr>
            <w:tcW w:type="dxa" w:w="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20.51%</w:t>
            </w:r>
          </w:p>
        </w:tc>
        <w:tc>
          <w:tcPr>
            <w:tcW w:type="dxa" w:w="8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CRISP #1 MC</w:t>
            </w:r>
          </w:p>
        </w:tc>
      </w:tr>
      <w:tr>
        <w:tc>
          <w:tcPr>
            <w:tcW w:type="dxa" w:w="2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Kotak Emerging Equity</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~2.2</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~4.9</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~7.1</w:t>
            </w:r>
          </w:p>
        </w:tc>
        <w:tc>
          <w:tcPr>
            <w:tcW w:type="dxa" w:w="8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~0.88</w:t>
            </w:r>
          </w:p>
        </w:tc>
        <w:tc>
          <w:tcPr>
            <w:tcW w:type="dxa" w:w="6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~0.93</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~7%</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20.31%</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17.98%</w:t>
            </w:r>
          </w:p>
        </w:tc>
        <w:tc>
          <w:tcPr>
            <w:tcW w:type="dxa" w:w="8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10Y consistency</w:t>
            </w:r>
          </w:p>
        </w:tc>
      </w:tr>
    </w:tbl>
    <w:p>
      <w:r>
        <w:t xml:space="preserve"/>
      </w:r>
    </w:p>
    <w:p>
      <w:pPr>
        <w:pStyle w:val="Heading2"/>
        <w:spacing w:after="120" w:before="240"/>
      </w:pPr>
      <w:r>
        <w:rPr>
          <w:rFonts w:ascii="Arial" w:cs="Arial" w:eastAsia="Arial" w:hAnsi="Arial"/>
          <w:b/>
          <w:bCs/>
          <w:color w:val="4A8C5C"/>
          <w:sz w:val="26"/>
          <w:szCs w:val="26"/>
        </w:rPr>
        <w:t xml:space="preserve">6.3 Large Cap Category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60"/>
        <w:gridCol w:w="760"/>
        <w:gridCol w:w="760"/>
        <w:gridCol w:w="820"/>
        <w:gridCol w:w="640"/>
        <w:gridCol w:w="860"/>
        <w:gridCol w:w="860"/>
        <w:gridCol w:w="860"/>
        <w:gridCol w:w="820"/>
      </w:tblGrid>
      <w:tr>
        <w:tc>
          <w:tcPr>
            <w:tcW w:type="dxa" w:w="21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Fund Name</w:t>
            </w:r>
          </w:p>
        </w:tc>
        <w:tc>
          <w:tcPr>
            <w:tcW w:type="dxa" w:w="7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Alpha 1Y</w:t>
            </w:r>
          </w:p>
        </w:tc>
        <w:tc>
          <w:tcPr>
            <w:tcW w:type="dxa" w:w="7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Alpha 3Y</w:t>
            </w:r>
          </w:p>
        </w:tc>
        <w:tc>
          <w:tcPr>
            <w:tcW w:type="dxa" w:w="7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Alpha 5Y</w:t>
            </w:r>
          </w:p>
        </w:tc>
        <w:tc>
          <w:tcPr>
            <w:tcW w:type="dxa" w:w="82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Sharpe</w:t>
            </w:r>
          </w:p>
        </w:tc>
        <w:tc>
          <w:tcPr>
            <w:tcW w:type="dxa" w:w="64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Beta</w:t>
            </w:r>
          </w:p>
        </w:tc>
        <w:tc>
          <w:tcPr>
            <w:tcW w:type="dxa" w:w="8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1Y Ret</w:t>
            </w:r>
          </w:p>
        </w:tc>
        <w:tc>
          <w:tcPr>
            <w:tcW w:type="dxa" w:w="8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3Y Ret</w:t>
            </w:r>
          </w:p>
        </w:tc>
        <w:tc>
          <w:tcPr>
            <w:tcW w:type="dxa" w:w="8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5Y Ret</w:t>
            </w:r>
          </w:p>
        </w:tc>
        <w:tc>
          <w:tcPr>
            <w:tcW w:type="dxa" w:w="82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Remarks</w:t>
            </w:r>
          </w:p>
        </w:tc>
      </w:tr>
      <w:tr>
        <w:tc>
          <w:tcPr>
            <w:tcW w:type="dxa" w:w="2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Nippon India Large Cap</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2.49</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~4.8</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~6.9</w:t>
            </w:r>
          </w:p>
        </w:tc>
        <w:tc>
          <w:tcPr>
            <w:tcW w:type="dxa" w:w="8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~0.82</w:t>
            </w:r>
          </w:p>
        </w:tc>
        <w:tc>
          <w:tcPr>
            <w:tcW w:type="dxa" w:w="6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~0.96</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0.57%</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15.81%</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16.61%</w:t>
            </w:r>
          </w:p>
        </w:tc>
        <w:tc>
          <w:tcPr>
            <w:tcW w:type="dxa" w:w="8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#1/26 KEEP</w:t>
            </w:r>
          </w:p>
        </w:tc>
      </w:tr>
      <w:tr>
        <w:tc>
          <w:tcPr>
            <w:tcW w:type="dxa" w:w="2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ICICI Pru Bluechip</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~3.1</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~5.2</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~7.2</w:t>
            </w:r>
          </w:p>
        </w:tc>
        <w:tc>
          <w:tcPr>
            <w:tcW w:type="dxa" w:w="8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~0.88</w:t>
            </w:r>
          </w:p>
        </w:tc>
        <w:tc>
          <w:tcPr>
            <w:tcW w:type="dxa" w:w="6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~0.97</w:t>
            </w:r>
          </w:p>
        </w:tc>
        <w:tc>
          <w:tcPr>
            <w:tcW w:type="dxa" w:w="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~1.2%</w:t>
            </w:r>
          </w:p>
        </w:tc>
        <w:tc>
          <w:tcPr>
            <w:tcW w:type="dxa" w:w="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16.4%</w:t>
            </w:r>
          </w:p>
        </w:tc>
        <w:tc>
          <w:tcPr>
            <w:tcW w:type="dxa" w:w="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17.1%</w:t>
            </w:r>
          </w:p>
        </w:tc>
        <w:tc>
          <w:tcPr>
            <w:tcW w:type="dxa" w:w="8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CRISP #1 (97%)</w:t>
            </w:r>
          </w:p>
        </w:tc>
      </w:tr>
      <w:tr>
        <w:tc>
          <w:tcPr>
            <w:tcW w:type="dxa" w:w="2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Canara Robeco Bluechip</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~2.4</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~4.6</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~6.5</w:t>
            </w:r>
          </w:p>
        </w:tc>
        <w:tc>
          <w:tcPr>
            <w:tcW w:type="dxa" w:w="8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~0.84</w:t>
            </w:r>
          </w:p>
        </w:tc>
        <w:tc>
          <w:tcPr>
            <w:tcW w:type="dxa" w:w="6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~0.93</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~0.8%</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15.2%</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16.3%</w:t>
            </w:r>
          </w:p>
        </w:tc>
        <w:tc>
          <w:tcPr>
            <w:tcW w:type="dxa" w:w="8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Lowest ER ~0.51%</w:t>
            </w:r>
          </w:p>
        </w:tc>
      </w:tr>
      <w:tr>
        <w:tc>
          <w:tcPr>
            <w:tcW w:type="dxa" w:w="2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Mirae Asset Large Cap</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~1.8</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~3.9</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~5.8</w:t>
            </w:r>
          </w:p>
        </w:tc>
        <w:tc>
          <w:tcPr>
            <w:tcW w:type="dxa" w:w="8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~0.76</w:t>
            </w:r>
          </w:p>
        </w:tc>
        <w:tc>
          <w:tcPr>
            <w:tcW w:type="dxa" w:w="6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~0.95</w:t>
            </w:r>
          </w:p>
        </w:tc>
        <w:tc>
          <w:tcPr>
            <w:tcW w:type="dxa" w:w="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~0.5%</w:t>
            </w:r>
          </w:p>
        </w:tc>
        <w:tc>
          <w:tcPr>
            <w:tcW w:type="dxa" w:w="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13.7%</w:t>
            </w:r>
          </w:p>
        </w:tc>
        <w:tc>
          <w:tcPr>
            <w:tcW w:type="dxa" w:w="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15.9%</w:t>
            </w:r>
          </w:p>
        </w:tc>
        <w:tc>
          <w:tcPr>
            <w:tcW w:type="dxa" w:w="8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Watch list only</w:t>
            </w:r>
          </w:p>
        </w:tc>
      </w:tr>
      <w:tr>
        <w:tc>
          <w:tcPr>
            <w:tcW w:type="dxa" w:w="2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Axis Bluechip</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~1.2</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~3.1</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~4.9</w:t>
            </w:r>
          </w:p>
        </w:tc>
        <w:tc>
          <w:tcPr>
            <w:tcW w:type="dxa" w:w="8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~0.71</w:t>
            </w:r>
          </w:p>
        </w:tc>
        <w:tc>
          <w:tcPr>
            <w:tcW w:type="dxa" w:w="6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~0.91</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~0.3%</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12.1%</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14.8%</w:t>
            </w:r>
          </w:p>
        </w:tc>
        <w:tc>
          <w:tcPr>
            <w:tcW w:type="dxa" w:w="8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Below peers</w:t>
            </w:r>
          </w:p>
        </w:tc>
      </w:tr>
    </w:tbl>
    <w:p>
      <w:r>
        <w:t xml:space="preserve"/>
      </w:r>
    </w:p>
    <w:p>
      <w:pPr>
        <w:pStyle w:val="Heading2"/>
        <w:spacing w:after="120" w:before="240"/>
      </w:pPr>
      <w:r>
        <w:rPr>
          <w:rFonts w:ascii="Arial" w:cs="Arial" w:eastAsia="Arial" w:hAnsi="Arial"/>
          <w:b/>
          <w:bCs/>
          <w:color w:val="4A8C5C"/>
          <w:sz w:val="26"/>
          <w:szCs w:val="26"/>
        </w:rPr>
        <w:t xml:space="preserve">6.4 Flexi Cap Category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60"/>
        <w:gridCol w:w="760"/>
        <w:gridCol w:w="760"/>
        <w:gridCol w:w="820"/>
        <w:gridCol w:w="640"/>
        <w:gridCol w:w="860"/>
        <w:gridCol w:w="860"/>
        <w:gridCol w:w="860"/>
        <w:gridCol w:w="820"/>
      </w:tblGrid>
      <w:tr>
        <w:tc>
          <w:tcPr>
            <w:tcW w:type="dxa" w:w="21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Fund Name</w:t>
            </w:r>
          </w:p>
        </w:tc>
        <w:tc>
          <w:tcPr>
            <w:tcW w:type="dxa" w:w="7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Alpha 1Y</w:t>
            </w:r>
          </w:p>
        </w:tc>
        <w:tc>
          <w:tcPr>
            <w:tcW w:type="dxa" w:w="7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Alpha 3Y</w:t>
            </w:r>
          </w:p>
        </w:tc>
        <w:tc>
          <w:tcPr>
            <w:tcW w:type="dxa" w:w="7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Alpha 5Y</w:t>
            </w:r>
          </w:p>
        </w:tc>
        <w:tc>
          <w:tcPr>
            <w:tcW w:type="dxa" w:w="82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Sharpe</w:t>
            </w:r>
          </w:p>
        </w:tc>
        <w:tc>
          <w:tcPr>
            <w:tcW w:type="dxa" w:w="64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Beta</w:t>
            </w:r>
          </w:p>
        </w:tc>
        <w:tc>
          <w:tcPr>
            <w:tcW w:type="dxa" w:w="8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1Y Ret</w:t>
            </w:r>
          </w:p>
        </w:tc>
        <w:tc>
          <w:tcPr>
            <w:tcW w:type="dxa" w:w="8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3Y Ret</w:t>
            </w:r>
          </w:p>
        </w:tc>
        <w:tc>
          <w:tcPr>
            <w:tcW w:type="dxa" w:w="8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5Y Ret</w:t>
            </w:r>
          </w:p>
        </w:tc>
        <w:tc>
          <w:tcPr>
            <w:tcW w:type="dxa" w:w="82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Remarks</w:t>
            </w:r>
          </w:p>
        </w:tc>
      </w:tr>
      <w:tr>
        <w:tc>
          <w:tcPr>
            <w:tcW w:type="dxa" w:w="2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Parag Parikh Flexi Cap</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-0.96</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~3.8</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~6.1</w:t>
            </w:r>
          </w:p>
        </w:tc>
        <w:tc>
          <w:tcPr>
            <w:tcW w:type="dxa" w:w="8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-0.08</w:t>
            </w:r>
          </w:p>
        </w:tc>
        <w:tc>
          <w:tcPr>
            <w:tcW w:type="dxa" w:w="6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~0.72</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0.16%</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15.59%</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15.77%</w:t>
            </w:r>
          </w:p>
        </w:tc>
        <w:tc>
          <w:tcPr>
            <w:tcW w:type="dxa" w:w="8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#3/24 KEEP</w:t>
            </w:r>
          </w:p>
        </w:tc>
      </w:tr>
      <w:tr>
        <w:tc>
          <w:tcPr>
            <w:tcW w:type="dxa" w:w="2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HDFC Flexi Cap</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~2.1</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~5.1</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~7.4</w:t>
            </w:r>
          </w:p>
        </w:tc>
        <w:tc>
          <w:tcPr>
            <w:tcW w:type="dxa" w:w="8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~0.92</w:t>
            </w:r>
          </w:p>
        </w:tc>
        <w:tc>
          <w:tcPr>
            <w:tcW w:type="dxa" w:w="6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~0.97</w:t>
            </w:r>
          </w:p>
        </w:tc>
        <w:tc>
          <w:tcPr>
            <w:tcW w:type="dxa" w:w="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~5.2%</w:t>
            </w:r>
          </w:p>
        </w:tc>
        <w:tc>
          <w:tcPr>
            <w:tcW w:type="dxa" w:w="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20.1%</w:t>
            </w:r>
          </w:p>
        </w:tc>
        <w:tc>
          <w:tcPr>
            <w:tcW w:type="dxa" w:w="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22.0%</w:t>
            </w:r>
          </w:p>
        </w:tc>
        <w:tc>
          <w:tcPr>
            <w:tcW w:type="dxa" w:w="8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CRISP #1 FC (93%)</w:t>
            </w:r>
          </w:p>
        </w:tc>
      </w:tr>
      <w:tr>
        <w:tc>
          <w:tcPr>
            <w:tcW w:type="dxa" w:w="2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JM Flexicap</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~2.8</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~5.6</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~7.9</w:t>
            </w:r>
          </w:p>
        </w:tc>
        <w:tc>
          <w:tcPr>
            <w:tcW w:type="dxa" w:w="8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1.18</w:t>
            </w:r>
          </w:p>
        </w:tc>
        <w:tc>
          <w:tcPr>
            <w:tcW w:type="dxa" w:w="6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~0.99</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~6.1%</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24.5%</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21.3%</w:t>
            </w:r>
          </w:p>
        </w:tc>
        <w:tc>
          <w:tcPr>
            <w:tcW w:type="dxa" w:w="8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Best Sharpe in cat.</w:t>
            </w:r>
          </w:p>
        </w:tc>
      </w:tr>
      <w:tr>
        <w:tc>
          <w:tcPr>
            <w:tcW w:type="dxa" w:w="2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Quant Flexi Cap</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~3.1</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~6.2</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~9.1</w:t>
            </w:r>
          </w:p>
        </w:tc>
        <w:tc>
          <w:tcPr>
            <w:tcW w:type="dxa" w:w="8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~0.88</w:t>
            </w:r>
          </w:p>
        </w:tc>
        <w:tc>
          <w:tcPr>
            <w:tcW w:type="dxa" w:w="6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~1.08</w:t>
            </w:r>
          </w:p>
        </w:tc>
        <w:tc>
          <w:tcPr>
            <w:tcW w:type="dxa" w:w="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-8.1%</w:t>
            </w:r>
          </w:p>
        </w:tc>
        <w:tc>
          <w:tcPr>
            <w:tcW w:type="dxa" w:w="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19.2%</w:t>
            </w:r>
          </w:p>
        </w:tc>
        <w:tc>
          <w:tcPr>
            <w:tcW w:type="dxa" w:w="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31.9%</w:t>
            </w:r>
          </w:p>
        </w:tc>
        <w:tc>
          <w:tcPr>
            <w:tcW w:type="dxa" w:w="8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Highest 5Y, volatile</w:t>
            </w:r>
          </w:p>
        </w:tc>
      </w:tr>
      <w:tr>
        <w:tc>
          <w:tcPr>
            <w:tcW w:type="dxa" w:w="2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Kotak Flexi Cap</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~1.4</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~3.7</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~5.9</w:t>
            </w:r>
          </w:p>
        </w:tc>
        <w:tc>
          <w:tcPr>
            <w:tcW w:type="dxa" w:w="8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~0.79</w:t>
            </w:r>
          </w:p>
        </w:tc>
        <w:tc>
          <w:tcPr>
            <w:tcW w:type="dxa" w:w="6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~0.93</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~2.1%</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13.5%</w:t>
            </w:r>
          </w:p>
        </w:tc>
        <w:tc>
          <w:tcPr>
            <w:tcW w:type="dxa" w:w="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17.7%</w:t>
            </w:r>
          </w:p>
        </w:tc>
        <w:tc>
          <w:tcPr>
            <w:tcW w:type="dxa" w:w="8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Stable, moderate</w:t>
            </w:r>
          </w:p>
        </w:tc>
      </w:tr>
    </w:tbl>
    <w:p>
      <w:r>
        <w:t xml:space="preserve"/>
      </w:r>
    </w:p>
    <w:p>
      <w:r>
        <w:t xml:space="preserve"/>
      </w:r>
    </w:p>
    <w:p>
      <w:r>
        <w:br w:type="page"/>
      </w:r>
    </w:p>
    <w:p>
      <w:pPr>
        <w:pStyle w:val="Heading1"/>
        <w:pBdr>
          <w:bottom w:val="single" w:color="1A5C3A" w:sz="8" w:space="4"/>
        </w:pBdr>
        <w:spacing w:after="160" w:before="320"/>
      </w:pPr>
      <w:r>
        <w:rPr>
          <w:rFonts w:ascii="Arial" w:cs="Arial" w:eastAsia="Arial" w:hAnsi="Arial"/>
          <w:b/>
          <w:bCs/>
          <w:color w:val="1A5C3A"/>
          <w:sz w:val="32"/>
          <w:szCs w:val="32"/>
        </w:rPr>
        <w:t xml:space="preserve">7. Stopped SIPs — Fund Transition Log (June 2026)</w:t>
      </w:r>
    </w:p>
    <w:p>
      <w:pPr>
        <w:spacing w:after="60" w:before="60"/>
      </w:pPr>
      <w:r>
        <w:rPr>
          <w:rFonts w:ascii="Arial" w:cs="Arial" w:eastAsia="Arial" w:hAnsi="Arial"/>
          <w:b w:val="false"/>
          <w:bCs w:val="false"/>
          <w:i w:val="false"/>
          <w:iCs w:val="false"/>
          <w:color w:val="000000"/>
          <w:sz w:val="18"/>
          <w:szCs w:val="18"/>
        </w:rPr>
        <w:t xml:space="preserve">SIPs for the following funds were stopped in June 2026. Existing units are HELD and must NOT be redeemed until each unit completes 1 year to avoid 20% Short Term Capital Gains (STCG) tax.</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8"/>
              <w:left w:val="single" w:color="A32D2D" w:sz="24"/>
              <w:bottom w:val="single" w:color="A32D2D" w:sz="8"/>
              <w:right w:val="single" w:color="A32D2D" w:sz="8"/>
            </w:tcBorders>
            <w:shd w:fill="FCEBEB" w:val="clear"/>
            <w:tcMar>
              <w:top w:type="dxa" w:w="100"/>
              <w:left w:type="dxa" w:w="180"/>
              <w:bottom w:type="dxa" w:w="100"/>
              <w:right w:type="dxa" w:w="180"/>
            </w:tcMar>
          </w:tcPr>
          <w:p>
            <w:pPr>
              <w:spacing w:after="40" w:before="40"/>
            </w:pPr>
            <w:r>
              <w:rPr>
                <w:rFonts w:ascii="Arial" w:cs="Arial" w:eastAsia="Arial" w:hAnsi="Arial"/>
                <w:color w:val="A32D2D"/>
                <w:sz w:val="18"/>
                <w:szCs w:val="18"/>
              </w:rPr>
              <w:t xml:space="preserve">WARNING: Do NOT redeem any existing units of stopped funds immediately.</w:t>
            </w:r>
          </w:p>
          <w:p>
            <w:pPr>
              <w:spacing w:after="40" w:before="40"/>
            </w:pPr>
            <w:r>
              <w:rPr>
                <w:rFonts w:ascii="Arial" w:cs="Arial" w:eastAsia="Arial" w:hAnsi="Arial"/>
                <w:color w:val="A32D2D"/>
                <w:sz w:val="18"/>
                <w:szCs w:val="18"/>
              </w:rPr>
              <w:t xml:space="preserve">Units held &lt; 1 year attract STCG tax at 20%. Units held &gt; 1 year attract LTCG at 12.5% (Rs 1.25L annual exemption).</w:t>
            </w:r>
          </w:p>
          <w:p>
            <w:pPr>
              <w:spacing w:after="40" w:before="40"/>
            </w:pPr>
            <w:r>
              <w:rPr>
                <w:rFonts w:ascii="Arial" w:cs="Arial" w:eastAsia="Arial" w:hAnsi="Arial"/>
                <w:color w:val="A32D2D"/>
                <w:sz w:val="18"/>
                <w:szCs w:val="18"/>
              </w:rPr>
              <w:t xml:space="preserve">Redeem in batches — oldest units first — after each batch completes 1 year from purchase date.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520"/>
        <w:gridCol w:w="2520"/>
      </w:tblGrid>
      <w:tr>
        <w:tc>
          <w:tcPr>
            <w:tcW w:type="dxa" w:w="21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Fund Stopped</w:t>
            </w:r>
          </w:p>
        </w:tc>
        <w:tc>
          <w:tcPr>
            <w:tcW w:type="dxa" w:w="21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Replaced By</w:t>
            </w:r>
          </w:p>
        </w:tc>
        <w:tc>
          <w:tcPr>
            <w:tcW w:type="dxa" w:w="252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Reason</w:t>
            </w:r>
          </w:p>
        </w:tc>
        <w:tc>
          <w:tcPr>
            <w:tcW w:type="dxa" w:w="252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 on Existing Units</w:t>
            </w:r>
          </w:p>
        </w:tc>
      </w:tr>
      <w:tr>
        <w:tc>
          <w:tcPr>
            <w:tcW w:type="dxa" w:w="216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left"/>
            </w:pPr>
            <w:r>
              <w:rPr>
                <w:rFonts w:ascii="Arial" w:cs="Arial" w:eastAsia="Arial" w:hAnsi="Arial"/>
                <w:b/>
                <w:bCs/>
                <w:color w:val="A32D2D"/>
                <w:sz w:val="17"/>
                <w:szCs w:val="17"/>
              </w:rPr>
              <w:t xml:space="preserve">Quant Small Cap Fund</w:t>
            </w:r>
          </w:p>
        </w:tc>
        <w:tc>
          <w:tcPr>
            <w:tcW w:type="dxa" w:w="216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left"/>
            </w:pPr>
            <w:r>
              <w:rPr>
                <w:rFonts w:ascii="Arial" w:cs="Arial" w:eastAsia="Arial" w:hAnsi="Arial"/>
                <w:b/>
                <w:bCs/>
                <w:color w:val="A32D2D"/>
                <w:sz w:val="17"/>
                <w:szCs w:val="17"/>
              </w:rPr>
              <w:t xml:space="preserve">Nippon India Small Cap</w:t>
            </w:r>
          </w:p>
        </w:tc>
        <w:tc>
          <w:tcPr>
            <w:tcW w:type="dxa" w:w="252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High ER (0.71%), concentrated portfolio, recent volatile performance</w:t>
            </w:r>
          </w:p>
        </w:tc>
        <w:tc>
          <w:tcPr>
            <w:tcW w:type="dxa" w:w="252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Hold — redeem batch-by-batch after 1 year per lot</w:t>
            </w:r>
          </w:p>
        </w:tc>
      </w:tr>
      <w:tr>
        <w:tc>
          <w:tcPr>
            <w:tcW w:type="dxa" w:w="2160"/>
            <w:tcBorders>
              <w:top w:val="single" w:color="AAAAAA" w:sz="4"/>
              <w:left w:val="single" w:color="AAAAAA" w:sz="4"/>
              <w:bottom w:val="single" w:color="AAAAAA" w:sz="4"/>
              <w:right w:val="single" w:color="AAAAAA" w:sz="4"/>
            </w:tcBorders>
            <w:shd w:fill="FFF5F5" w:val="clear"/>
            <w:tcMar>
              <w:top w:type="dxa" w:w="60"/>
              <w:left w:type="dxa" w:w="120"/>
              <w:bottom w:type="dxa" w:w="60"/>
              <w:right w:type="dxa" w:w="120"/>
            </w:tcMar>
            <w:vAlign w:val="center"/>
          </w:tcPr>
          <w:p>
            <w:pPr>
              <w:jc w:val="left"/>
            </w:pPr>
            <w:r>
              <w:rPr>
                <w:rFonts w:ascii="Arial" w:cs="Arial" w:eastAsia="Arial" w:hAnsi="Arial"/>
                <w:b/>
                <w:bCs/>
                <w:color w:val="A32D2D"/>
                <w:sz w:val="17"/>
                <w:szCs w:val="17"/>
              </w:rPr>
              <w:t xml:space="preserve">Motilal Oswal Midcap Fund</w:t>
            </w:r>
          </w:p>
        </w:tc>
        <w:tc>
          <w:tcPr>
            <w:tcW w:type="dxa" w:w="2160"/>
            <w:tcBorders>
              <w:top w:val="single" w:color="AAAAAA" w:sz="4"/>
              <w:left w:val="single" w:color="AAAAAA" w:sz="4"/>
              <w:bottom w:val="single" w:color="AAAAAA" w:sz="4"/>
              <w:right w:val="single" w:color="AAAAAA" w:sz="4"/>
            </w:tcBorders>
            <w:shd w:fill="FFF5F5" w:val="clear"/>
            <w:tcMar>
              <w:top w:type="dxa" w:w="60"/>
              <w:left w:type="dxa" w:w="120"/>
              <w:bottom w:type="dxa" w:w="60"/>
              <w:right w:type="dxa" w:w="120"/>
            </w:tcMar>
            <w:vAlign w:val="center"/>
          </w:tcPr>
          <w:p>
            <w:pPr>
              <w:jc w:val="left"/>
            </w:pPr>
            <w:r>
              <w:rPr>
                <w:rFonts w:ascii="Arial" w:cs="Arial" w:eastAsia="Arial" w:hAnsi="Arial"/>
                <w:b/>
                <w:bCs/>
                <w:color w:val="A32D2D"/>
                <w:sz w:val="17"/>
                <w:szCs w:val="17"/>
              </w:rPr>
              <w:t xml:space="preserve">Edelweiss Midcap Fund</w:t>
            </w:r>
          </w:p>
        </w:tc>
        <w:tc>
          <w:tcPr>
            <w:tcW w:type="dxa" w:w="2520"/>
            <w:tcBorders>
              <w:top w:val="single" w:color="AAAAAA" w:sz="4"/>
              <w:left w:val="single" w:color="AAAAAA" w:sz="4"/>
              <w:bottom w:val="single" w:color="AAAAAA" w:sz="4"/>
              <w:right w:val="single" w:color="AAAAAA" w:sz="4"/>
            </w:tcBorders>
            <w:shd w:fill="FF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Poor 1Y return (-8.53%), 27-stock concentration, #6 ranked</w:t>
            </w:r>
          </w:p>
        </w:tc>
        <w:tc>
          <w:tcPr>
            <w:tcW w:type="dxa" w:w="2520"/>
            <w:tcBorders>
              <w:top w:val="single" w:color="AAAAAA" w:sz="4"/>
              <w:left w:val="single" w:color="AAAAAA" w:sz="4"/>
              <w:bottom w:val="single" w:color="AAAAAA" w:sz="4"/>
              <w:right w:val="single" w:color="AAAAAA" w:sz="4"/>
            </w:tcBorders>
            <w:shd w:fill="FF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Hold — redeem after 1 year per unit purchase date</w:t>
            </w:r>
          </w:p>
        </w:tc>
      </w:tr>
      <w:tr>
        <w:tc>
          <w:tcPr>
            <w:tcW w:type="dxa" w:w="216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left"/>
            </w:pPr>
            <w:r>
              <w:rPr>
                <w:rFonts w:ascii="Arial" w:cs="Arial" w:eastAsia="Arial" w:hAnsi="Arial"/>
                <w:b/>
                <w:bCs/>
                <w:color w:val="A32D2D"/>
                <w:sz w:val="17"/>
                <w:szCs w:val="17"/>
              </w:rPr>
              <w:t xml:space="preserve">Motilal Oswal Large &amp; Mid Cap</w:t>
            </w:r>
          </w:p>
        </w:tc>
        <w:tc>
          <w:tcPr>
            <w:tcW w:type="dxa" w:w="216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left"/>
            </w:pPr>
            <w:r>
              <w:rPr>
                <w:rFonts w:ascii="Arial" w:cs="Arial" w:eastAsia="Arial" w:hAnsi="Arial"/>
                <w:b/>
                <w:bCs/>
                <w:color w:val="A32D2D"/>
                <w:sz w:val="17"/>
                <w:szCs w:val="17"/>
              </w:rPr>
              <w:t xml:space="preserve">ICICI Pru Infrastructure Fund</w:t>
            </w:r>
          </w:p>
        </w:tc>
        <w:tc>
          <w:tcPr>
            <w:tcW w:type="dxa" w:w="252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Redundant overlap with existing funds, highest SD (19.10) in portfolio</w:t>
            </w:r>
          </w:p>
        </w:tc>
        <w:tc>
          <w:tcPr>
            <w:tcW w:type="dxa" w:w="252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Hold — redeem after 1 year per unit purchase date</w:t>
            </w:r>
          </w:p>
        </w:tc>
      </w:tr>
      <w:tr>
        <w:tc>
          <w:tcPr>
            <w:tcW w:type="dxa" w:w="2160"/>
            <w:tcBorders>
              <w:top w:val="single" w:color="AAAAAA" w:sz="4"/>
              <w:left w:val="single" w:color="AAAAAA" w:sz="4"/>
              <w:bottom w:val="single" w:color="AAAAAA" w:sz="4"/>
              <w:right w:val="single" w:color="AAAAAA" w:sz="4"/>
            </w:tcBorders>
            <w:shd w:fill="FFF5F5" w:val="clear"/>
            <w:tcMar>
              <w:top w:type="dxa" w:w="60"/>
              <w:left w:type="dxa" w:w="120"/>
              <w:bottom w:type="dxa" w:w="60"/>
              <w:right w:type="dxa" w:w="120"/>
            </w:tcMar>
            <w:vAlign w:val="center"/>
          </w:tcPr>
          <w:p>
            <w:pPr>
              <w:jc w:val="left"/>
            </w:pPr>
            <w:r>
              <w:rPr>
                <w:rFonts w:ascii="Arial" w:cs="Arial" w:eastAsia="Arial" w:hAnsi="Arial"/>
                <w:b/>
                <w:bCs/>
                <w:color w:val="A32D2D"/>
                <w:sz w:val="17"/>
                <w:szCs w:val="17"/>
              </w:rPr>
              <w:t xml:space="preserve">Franklin U.S. Opportunities FoF</w:t>
            </w:r>
          </w:p>
        </w:tc>
        <w:tc>
          <w:tcPr>
            <w:tcW w:type="dxa" w:w="2160"/>
            <w:tcBorders>
              <w:top w:val="single" w:color="AAAAAA" w:sz="4"/>
              <w:left w:val="single" w:color="AAAAAA" w:sz="4"/>
              <w:bottom w:val="single" w:color="AAAAAA" w:sz="4"/>
              <w:right w:val="single" w:color="AAAAAA" w:sz="4"/>
            </w:tcBorders>
            <w:shd w:fill="FFF5F5" w:val="clear"/>
            <w:tcMar>
              <w:top w:type="dxa" w:w="60"/>
              <w:left w:type="dxa" w:w="120"/>
              <w:bottom w:type="dxa" w:w="60"/>
              <w:right w:type="dxa" w:w="120"/>
            </w:tcMar>
            <w:vAlign w:val="center"/>
          </w:tcPr>
          <w:p>
            <w:pPr>
              <w:jc w:val="left"/>
            </w:pPr>
            <w:r>
              <w:rPr>
                <w:rFonts w:ascii="Arial" w:cs="Arial" w:eastAsia="Arial" w:hAnsi="Arial"/>
                <w:b/>
                <w:bCs/>
                <w:color w:val="A32D2D"/>
                <w:sz w:val="17"/>
                <w:szCs w:val="17"/>
              </w:rPr>
              <w:t xml:space="preserve">Kotak Nasdaq 100 FoF</w:t>
            </w:r>
          </w:p>
        </w:tc>
        <w:tc>
          <w:tcPr>
            <w:tcW w:type="dxa" w:w="2520"/>
            <w:tcBorders>
              <w:top w:val="single" w:color="AAAAAA" w:sz="4"/>
              <w:left w:val="single" w:color="AAAAAA" w:sz="4"/>
              <w:bottom w:val="single" w:color="AAAAAA" w:sz="4"/>
              <w:right w:val="single" w:color="AAAAAA" w:sz="4"/>
            </w:tcBorders>
            <w:shd w:fill="FF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Weakest 5Y CAGR (13.9%), Kotak offers 23% 5Y and open SIP</w:t>
            </w:r>
          </w:p>
        </w:tc>
        <w:tc>
          <w:tcPr>
            <w:tcW w:type="dxa" w:w="2520"/>
            <w:tcBorders>
              <w:top w:val="single" w:color="AAAAAA" w:sz="4"/>
              <w:left w:val="single" w:color="AAAAAA" w:sz="4"/>
              <w:bottom w:val="single" w:color="AAAAAA" w:sz="4"/>
              <w:right w:val="single" w:color="AAAAAA" w:sz="4"/>
            </w:tcBorders>
            <w:shd w:fill="FF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Hold — redeem after 1 year per unit purchase date</w:t>
            </w:r>
          </w:p>
        </w:tc>
      </w:tr>
    </w:tbl>
    <w:p>
      <w:r>
        <w:t xml:space="preserve"/>
      </w:r>
    </w:p>
    <w:p>
      <w:pPr>
        <w:pStyle w:val="Heading2"/>
        <w:spacing w:after="120" w:before="240"/>
      </w:pPr>
      <w:r>
        <w:rPr>
          <w:rFonts w:ascii="Arial" w:cs="Arial" w:eastAsia="Arial" w:hAnsi="Arial"/>
          <w:b/>
          <w:bCs/>
          <w:color w:val="4A8C5C"/>
          <w:sz w:val="26"/>
          <w:szCs w:val="26"/>
        </w:rPr>
        <w:t xml:space="preserve">7.1 MO Nasdaq 100 FoF — Special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8"/>
              <w:left w:val="single" w:color="185FA5" w:sz="24"/>
              <w:bottom w:val="single" w:color="185FA5" w:sz="8"/>
              <w:right w:val="single" w:color="185FA5" w:sz="8"/>
            </w:tcBorders>
            <w:shd w:fill="E6F1FB" w:val="clear"/>
            <w:tcMar>
              <w:top w:type="dxa" w:w="100"/>
              <w:left w:type="dxa" w:w="180"/>
              <w:bottom w:type="dxa" w:w="100"/>
              <w:right w:type="dxa" w:w="180"/>
            </w:tcMar>
          </w:tcPr>
          <w:p>
            <w:pPr>
              <w:spacing w:after="40" w:before="40"/>
            </w:pPr>
            <w:r>
              <w:rPr>
                <w:rFonts w:ascii="Arial" w:cs="Arial" w:eastAsia="Arial" w:hAnsi="Arial"/>
                <w:b/>
                <w:bCs/>
                <w:color w:val="0C447C"/>
                <w:sz w:val="18"/>
                <w:szCs w:val="18"/>
              </w:rPr>
              <w:t xml:space="preserve">IMPORTANT: Motilal Oswal Nasdaq 100 FoF suspended ALL new SIP registrations from January 5, 2025.</w:t>
            </w:r>
          </w:p>
          <w:p>
            <w:pPr>
              <w:spacing w:after="40" w:before="40"/>
            </w:pPr>
            <w:r>
              <w:rPr>
                <w:rFonts w:ascii="Arial" w:cs="Arial" w:eastAsia="Arial" w:hAnsi="Arial"/>
                <w:b w:val="false"/>
                <w:bCs w:val="false"/>
                <w:color w:val="0C447C"/>
                <w:sz w:val="18"/>
                <w:szCs w:val="18"/>
              </w:rPr>
              <w:t xml:space="preserve">Reason: SEBI overseas investment industry-wide limit of USD 7 billion is fully exhausted.</w:t>
            </w:r>
          </w:p>
          <w:p>
            <w:pPr>
              <w:spacing w:after="40" w:before="40"/>
            </w:pPr>
            <w:r>
              <w:rPr>
                <w:rFonts w:ascii="Arial" w:cs="Arial" w:eastAsia="Arial" w:hAnsi="Arial"/>
                <w:b w:val="false"/>
                <w:bCs w:val="false"/>
                <w:color w:val="0C447C"/>
                <w:sz w:val="18"/>
                <w:szCs w:val="18"/>
              </w:rPr>
              <w:t xml:space="preserve">The USD 1 billion ETF-specific limit was also exhausted in April 2024.</w:t>
            </w:r>
          </w:p>
          <w:p>
            <w:pPr>
              <w:spacing w:after="40" w:before="40"/>
            </w:pPr>
            <w:r>
              <w:rPr>
                <w:rFonts w:ascii="Arial" w:cs="Arial" w:eastAsia="Arial" w:hAnsi="Arial"/>
                <w:b w:val="false"/>
                <w:bCs w:val="false"/>
                <w:color w:val="0C447C"/>
                <w:sz w:val="18"/>
                <w:szCs w:val="18"/>
              </w:rPr>
              <w:t xml:space="preserve">Kotak Nasdaq 100 FoF was selected as replacement — tracks same Nasdaq-100 index via iShares UCITS ETF.</w:t>
            </w:r>
          </w:p>
          <w:p>
            <w:pPr>
              <w:spacing w:after="40" w:before="40"/>
            </w:pPr>
            <w:r>
              <w:rPr>
                <w:rFonts w:ascii="Arial" w:cs="Arial" w:eastAsia="Arial" w:hAnsi="Arial"/>
                <w:b w:val="false"/>
                <w:bCs w:val="false"/>
                <w:color w:val="0C447C"/>
                <w:sz w:val="18"/>
                <w:szCs w:val="18"/>
              </w:rPr>
              <w:t xml:space="preserve">Kotak Nasdaq 100 FoF: SIP open, min Rs 100, ER 0.24%, Nil exit load, Sharpe 2.00, 3Y CAGR 35.25%.</w:t>
            </w:r>
          </w:p>
          <w:p>
            <w:pPr>
              <w:spacing w:after="40" w:before="40"/>
            </w:pPr>
            <w:r>
              <w:rPr>
                <w:rFonts w:ascii="Arial" w:cs="Arial" w:eastAsia="Arial" w:hAnsi="Arial"/>
                <w:b w:val="false"/>
                <w:bCs w:val="false"/>
                <w:color w:val="0C447C"/>
                <w:sz w:val="18"/>
                <w:szCs w:val="18"/>
              </w:rPr>
              <w:t xml:space="preserve">Monitor at December 2026 review: If SEBI raises overseas limit, re-evaluate MO Nasdaq 100 FoF.</w:t>
            </w:r>
          </w:p>
        </w:tc>
      </w:tr>
    </w:tbl>
    <w:p>
      <w:r>
        <w:t xml:space="preserve"/>
      </w:r>
    </w:p>
    <w:p>
      <w:r>
        <w:t xml:space="preserve"/>
      </w:r>
    </w:p>
    <w:p>
      <w:r>
        <w:br w:type="page"/>
      </w:r>
    </w:p>
    <w:p>
      <w:pPr>
        <w:pStyle w:val="Heading1"/>
        <w:pBdr>
          <w:bottom w:val="single" w:color="1A5C3A" w:sz="8" w:space="4"/>
        </w:pBdr>
        <w:spacing w:after="160" w:before="320"/>
      </w:pPr>
      <w:r>
        <w:rPr>
          <w:rFonts w:ascii="Arial" w:cs="Arial" w:eastAsia="Arial" w:hAnsi="Arial"/>
          <w:b/>
          <w:bCs/>
          <w:color w:val="1A5C3A"/>
          <w:sz w:val="32"/>
          <w:szCs w:val="32"/>
        </w:rPr>
        <w:t xml:space="preserve">8. Advanced Fund Selection Filters (Mandatory)</w:t>
      </w:r>
    </w:p>
    <w:p>
      <w:pPr>
        <w:pStyle w:val="Heading2"/>
        <w:spacing w:after="120" w:before="240"/>
      </w:pPr>
      <w:r>
        <w:rPr>
          <w:rFonts w:ascii="Arial" w:cs="Arial" w:eastAsia="Arial" w:hAnsi="Arial"/>
          <w:b/>
          <w:bCs/>
          <w:color w:val="4A8C5C"/>
          <w:sz w:val="26"/>
          <w:szCs w:val="26"/>
        </w:rPr>
        <w:t xml:space="preserve">8.1 AUM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228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Minimum AUM</w:t>
            </w:r>
          </w:p>
        </w:tc>
        <w:tc>
          <w:tcPr>
            <w:tcW w:type="dxa" w:w="228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Preferred AUM</w:t>
            </w:r>
          </w:p>
        </w:tc>
        <w:tc>
          <w:tcPr>
            <w:tcW w:type="dxa" w:w="20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Rationale</w:t>
            </w:r>
          </w:p>
        </w:tc>
      </w:tr>
      <w:tr>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Large Cap / Flexi Cap</w:t>
            </w:r>
          </w:p>
        </w:tc>
        <w:tc>
          <w:tcPr>
            <w:tcW w:type="dxa" w:w="22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Rs 3,000 Crore</w:t>
            </w:r>
          </w:p>
        </w:tc>
        <w:tc>
          <w:tcPr>
            <w:tcW w:type="dxa" w:w="22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Rs 5,000 Crore+</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Liquidity and stability</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Mid Cap</w:t>
            </w:r>
          </w:p>
        </w:tc>
        <w:tc>
          <w:tcPr>
            <w:tcW w:type="dxa" w:w="22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Rs 2,000 Crore</w:t>
            </w:r>
          </w:p>
        </w:tc>
        <w:tc>
          <w:tcPr>
            <w:tcW w:type="dxa" w:w="22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Rs 3,000 Crore+</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Adequate depth for exits</w:t>
            </w:r>
          </w:p>
        </w:tc>
      </w:tr>
      <w:tr>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Small Cap</w:t>
            </w:r>
          </w:p>
        </w:tc>
        <w:tc>
          <w:tcPr>
            <w:tcW w:type="dxa" w:w="22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Rs 1,500 Crore</w:t>
            </w:r>
          </w:p>
        </w:tc>
        <w:tc>
          <w:tcPr>
            <w:tcW w:type="dxa" w:w="22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Rs 2,000 Crore+</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Avoid illiquidity traps</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Thematic / Sector</w:t>
            </w:r>
          </w:p>
        </w:tc>
        <w:tc>
          <w:tcPr>
            <w:tcW w:type="dxa" w:w="22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Rs 500 Crore</w:t>
            </w:r>
          </w:p>
        </w:tc>
        <w:tc>
          <w:tcPr>
            <w:tcW w:type="dxa" w:w="22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Rs 1,000 Crore+</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Sector liquidity risk</w:t>
            </w:r>
          </w:p>
        </w:tc>
      </w:tr>
      <w:tr>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International FoF</w:t>
            </w:r>
          </w:p>
        </w:tc>
        <w:tc>
          <w:tcPr>
            <w:tcW w:type="dxa" w:w="22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Rs 500 Crore</w:t>
            </w:r>
          </w:p>
        </w:tc>
        <w:tc>
          <w:tcPr>
            <w:tcW w:type="dxa" w:w="22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Rs 1,000 Crore+</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Underlying ETF depth</w:t>
            </w:r>
          </w:p>
        </w:tc>
      </w:tr>
    </w:tbl>
    <w:p>
      <w:r>
        <w:t xml:space="preserve"/>
      </w:r>
    </w:p>
    <w:p>
      <w:pPr>
        <w:pStyle w:val="Heading2"/>
        <w:spacing w:after="120" w:before="240"/>
      </w:pPr>
      <w:r>
        <w:rPr>
          <w:rFonts w:ascii="Arial" w:cs="Arial" w:eastAsia="Arial" w:hAnsi="Arial"/>
          <w:b/>
          <w:bCs/>
          <w:color w:val="4A8C5C"/>
          <w:sz w:val="26"/>
          <w:szCs w:val="26"/>
        </w:rPr>
        <w:t xml:space="preserve">8.2 Expense Ratio Filters (Direct Plans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228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Preferred ER</w:t>
            </w:r>
          </w:p>
        </w:tc>
        <w:tc>
          <w:tcPr>
            <w:tcW w:type="dxa" w:w="228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Maximum Accept</w:t>
            </w:r>
          </w:p>
        </w:tc>
        <w:tc>
          <w:tcPr>
            <w:tcW w:type="dxa" w:w="20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w:t>
            </w:r>
          </w:p>
        </w:tc>
      </w:tr>
      <w:tr>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Large Cap / Flexi Cap</w:t>
            </w:r>
          </w:p>
        </w:tc>
        <w:tc>
          <w:tcPr>
            <w:tcW w:type="dxa" w:w="22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Below 0.80%</w:t>
            </w:r>
          </w:p>
        </w:tc>
        <w:tc>
          <w:tcPr>
            <w:tcW w:type="dxa" w:w="22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Below 1.0%</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Lower ER = higher compounded net return</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Mid Cap</w:t>
            </w:r>
          </w:p>
        </w:tc>
        <w:tc>
          <w:tcPr>
            <w:tcW w:type="dxa" w:w="22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Below 1.0%</w:t>
            </w:r>
          </w:p>
        </w:tc>
        <w:tc>
          <w:tcPr>
            <w:tcW w:type="dxa" w:w="22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Below 1.25%</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Accept up to 1.0% for top-5 ranked funds</w:t>
            </w:r>
          </w:p>
        </w:tc>
      </w:tr>
      <w:tr>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Small Cap</w:t>
            </w:r>
          </w:p>
        </w:tc>
        <w:tc>
          <w:tcPr>
            <w:tcW w:type="dxa" w:w="22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Below 0.80%</w:t>
            </w:r>
          </w:p>
        </w:tc>
        <w:tc>
          <w:tcPr>
            <w:tcW w:type="dxa" w:w="22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Below 1.25%</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High ER disproportionately erodes small cap alpha</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Thematic / Sector</w:t>
            </w:r>
          </w:p>
        </w:tc>
        <w:tc>
          <w:tcPr>
            <w:tcW w:type="dxa" w:w="22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Below 1.0%</w:t>
            </w:r>
          </w:p>
        </w:tc>
        <w:tc>
          <w:tcPr>
            <w:tcW w:type="dxa" w:w="22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Below 1.25%</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Accept up to 1.25% if #1 category ranked</w:t>
            </w:r>
          </w:p>
        </w:tc>
      </w:tr>
      <w:tr>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International FoF</w:t>
            </w:r>
          </w:p>
        </w:tc>
        <w:tc>
          <w:tcPr>
            <w:tcW w:type="dxa" w:w="22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Below 0.35%</w:t>
            </w:r>
          </w:p>
        </w:tc>
        <w:tc>
          <w:tcPr>
            <w:tcW w:type="dxa" w:w="22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Below 0.50%</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FoF has dual-layer cost (fund + underlying ETF)</w:t>
            </w:r>
          </w:p>
        </w:tc>
      </w:tr>
    </w:tbl>
    <w:p>
      <w:r>
        <w:t xml:space="preserve"/>
      </w:r>
    </w:p>
    <w:p>
      <w:pPr>
        <w:pStyle w:val="Heading2"/>
        <w:spacing w:after="120" w:before="240"/>
      </w:pPr>
      <w:r>
        <w:rPr>
          <w:rFonts w:ascii="Arial" w:cs="Arial" w:eastAsia="Arial" w:hAnsi="Arial"/>
          <w:b/>
          <w:bCs/>
          <w:color w:val="4A8C5C"/>
          <w:sz w:val="26"/>
          <w:szCs w:val="26"/>
        </w:rPr>
        <w:t xml:space="preserve">8.3 Portfolio Overlap Rules</w:t>
      </w:r>
    </w:p>
    <w:p>
      <w:pPr>
        <w:pStyle w:val="ListParagraph"/>
        <w:numPr>
          <w:ilvl w:val="0"/>
          <w:numId w:val="2"/>
        </w:numPr>
        <w:spacing w:after="40" w:before="40"/>
      </w:pPr>
      <w:r>
        <w:rPr>
          <w:rFonts w:ascii="Arial" w:cs="Arial" w:eastAsia="Arial" w:hAnsi="Arial"/>
          <w:sz w:val="18"/>
          <w:szCs w:val="18"/>
        </w:rPr>
        <w:t xml:space="preserve">Maximum overlap between any two recommended funds: 20%</w:t>
      </w:r>
    </w:p>
    <w:p>
      <w:pPr>
        <w:pStyle w:val="ListParagraph"/>
        <w:numPr>
          <w:ilvl w:val="0"/>
          <w:numId w:val="2"/>
        </w:numPr>
        <w:spacing w:after="40" w:before="40"/>
      </w:pPr>
      <w:r>
        <w:rPr>
          <w:rFonts w:ascii="Arial" w:cs="Arial" w:eastAsia="Arial" w:hAnsi="Arial"/>
          <w:sz w:val="18"/>
          <w:szCs w:val="18"/>
        </w:rPr>
        <w:t xml:space="preserve">If overlap &gt; 20%, retain only the stronger fund unless there is a compelling diversification reason</w:t>
      </w:r>
    </w:p>
    <w:p>
      <w:pPr>
        <w:pStyle w:val="ListParagraph"/>
        <w:numPr>
          <w:ilvl w:val="0"/>
          <w:numId w:val="2"/>
        </w:numPr>
        <w:spacing w:after="40" w:before="40"/>
      </w:pPr>
      <w:r>
        <w:rPr>
          <w:rFonts w:ascii="Arial" w:cs="Arial" w:eastAsia="Arial" w:hAnsi="Arial"/>
          <w:sz w:val="18"/>
          <w:szCs w:val="18"/>
        </w:rPr>
        <w:t xml:space="preserve">Explicitly report all pair-wise overlap percentages in every 6-month review</w:t>
      </w:r>
    </w:p>
    <w:p>
      <w:pPr>
        <w:pStyle w:val="ListParagraph"/>
        <w:numPr>
          <w:ilvl w:val="0"/>
          <w:numId w:val="2"/>
        </w:numPr>
        <w:spacing w:after="40" w:before="40"/>
      </w:pPr>
      <w:r>
        <w:rPr>
          <w:rFonts w:ascii="Arial" w:cs="Arial" w:eastAsia="Arial" w:hAnsi="Arial"/>
          <w:sz w:val="18"/>
          <w:szCs w:val="18"/>
        </w:rPr>
        <w:t xml:space="preserve">Source overlap data from: mfxray.in or Value Research Portfolio Overlap tool</w:t>
      </w:r>
    </w:p>
    <w:p>
      <w:r>
        <w:t xml:space="preserve"/>
      </w:r>
    </w:p>
    <w:p>
      <w:pPr>
        <w:spacing w:after="80" w:before="180"/>
      </w:pPr>
      <w:r>
        <w:rPr>
          <w:rFonts w:ascii="Arial" w:cs="Arial" w:eastAsia="Arial" w:hAnsi="Arial"/>
          <w:b/>
          <w:bCs/>
          <w:color w:val="C55A11"/>
          <w:sz w:val="22"/>
          <w:szCs w:val="22"/>
        </w:rPr>
        <w:t xml:space="preserve">Known Overlap Data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1800"/>
        <w:gridCol w:w="1800"/>
      </w:tblGrid>
      <w:tr>
        <w:tc>
          <w:tcPr>
            <w:tcW w:type="dxa" w:w="288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Fund A</w:t>
            </w:r>
          </w:p>
        </w:tc>
        <w:tc>
          <w:tcPr>
            <w:tcW w:type="dxa" w:w="288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Fund B</w:t>
            </w:r>
          </w:p>
        </w:tc>
        <w:tc>
          <w:tcPr>
            <w:tcW w:type="dxa" w:w="18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Overlap %</w:t>
            </w:r>
          </w:p>
        </w:tc>
        <w:tc>
          <w:tcPr>
            <w:tcW w:type="dxa" w:w="18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2880"/>
            <w:tcBorders>
              <w:top w:val="single" w:color="AAAAAA" w:sz="4"/>
              <w:left w:val="single" w:color="AAAAAA" w:sz="4"/>
              <w:bottom w:val="single" w:color="AAAAAA" w:sz="4"/>
              <w:right w:val="single" w:color="AAAAAA" w:sz="4"/>
            </w:tcBorders>
            <w:shd w:fill="FAEEDA"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HDFC Midcap Opp.</w:t>
            </w:r>
          </w:p>
        </w:tc>
        <w:tc>
          <w:tcPr>
            <w:tcW w:type="dxa" w:w="2880"/>
            <w:tcBorders>
              <w:top w:val="single" w:color="AAAAAA" w:sz="4"/>
              <w:left w:val="single" w:color="AAAAAA" w:sz="4"/>
              <w:bottom w:val="single" w:color="AAAAAA" w:sz="4"/>
              <w:right w:val="single" w:color="AAAAAA" w:sz="4"/>
            </w:tcBorders>
            <w:shd w:fill="FAEE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Edelweiss Midcap</w:t>
            </w:r>
          </w:p>
        </w:tc>
        <w:tc>
          <w:tcPr>
            <w:tcW w:type="dxa" w:w="1800"/>
            <w:tcBorders>
              <w:top w:val="single" w:color="AAAAAA" w:sz="4"/>
              <w:left w:val="single" w:color="AAAAAA" w:sz="4"/>
              <w:bottom w:val="single" w:color="AAAAAA" w:sz="4"/>
              <w:right w:val="single" w:color="AAAAAA" w:sz="4"/>
            </w:tcBorders>
            <w:shd w:fill="FAEEDA" w:val="clear"/>
            <w:tcMar>
              <w:top w:type="dxa" w:w="60"/>
              <w:left w:type="dxa" w:w="120"/>
              <w:bottom w:type="dxa" w:w="60"/>
              <w:right w:type="dxa" w:w="120"/>
            </w:tcMar>
            <w:vAlign w:val="center"/>
          </w:tcPr>
          <w:p>
            <w:pPr>
              <w:jc w:val="center"/>
            </w:pPr>
            <w:r>
              <w:rPr>
                <w:rFonts w:ascii="Arial" w:cs="Arial" w:eastAsia="Arial" w:hAnsi="Arial"/>
                <w:b w:val="false"/>
                <w:bCs w:val="false"/>
                <w:color w:val="BA7517"/>
                <w:sz w:val="17"/>
                <w:szCs w:val="17"/>
              </w:rPr>
              <w:t xml:space="preserve">~45% (mid cap style)</w:t>
            </w:r>
          </w:p>
        </w:tc>
        <w:tc>
          <w:tcPr>
            <w:tcW w:type="dxa" w:w="1800"/>
            <w:tcBorders>
              <w:top w:val="single" w:color="AAAAAA" w:sz="4"/>
              <w:left w:val="single" w:color="AAAAAA" w:sz="4"/>
              <w:bottom w:val="single" w:color="AAAAAA" w:sz="4"/>
              <w:right w:val="single" w:color="AAAAAA" w:sz="4"/>
            </w:tcBorders>
            <w:shd w:fill="FAEE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Acceptable — different styles</w:t>
            </w:r>
          </w:p>
        </w:tc>
      </w:tr>
      <w:tr>
        <w:tc>
          <w:tcPr>
            <w:tcW w:type="dxa" w:w="28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Bandhan Small Cap</w:t>
            </w:r>
          </w:p>
        </w:tc>
        <w:tc>
          <w:tcPr>
            <w:tcW w:type="dxa" w:w="28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Nippon India Small Cap</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Low — GARP vs diversified</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Safe — complementary</w:t>
            </w:r>
          </w:p>
        </w:tc>
      </w:tr>
      <w:tr>
        <w:tc>
          <w:tcPr>
            <w:tcW w:type="dxa" w:w="28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Nippon Large Cap</w:t>
            </w:r>
          </w:p>
        </w:tc>
        <w:tc>
          <w:tcPr>
            <w:tcW w:type="dxa" w:w="28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Parag Parikh Flexi Cap</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Some overlap (HDFC Bk, ICICI Bk)</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Below 20% threshold</w:t>
            </w:r>
          </w:p>
        </w:tc>
      </w:tr>
      <w:tr>
        <w:tc>
          <w:tcPr>
            <w:tcW w:type="dxa" w:w="28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ICICI Pru Infra</w:t>
            </w:r>
          </w:p>
        </w:tc>
        <w:tc>
          <w:tcPr>
            <w:tcW w:type="dxa" w:w="28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All domestic funds</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Low — thematic exposure</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No concern</w:t>
            </w:r>
          </w:p>
        </w:tc>
      </w:tr>
      <w:tr>
        <w:tc>
          <w:tcPr>
            <w:tcW w:type="dxa" w:w="28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Kotak Nasdaq 100 FoF</w:t>
            </w:r>
          </w:p>
        </w:tc>
        <w:tc>
          <w:tcPr>
            <w:tcW w:type="dxa" w:w="28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All domestic funds</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Zero — US market only</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No concern</w:t>
            </w:r>
          </w:p>
        </w:tc>
      </w:tr>
    </w:tbl>
    <w:p>
      <w:r>
        <w:t xml:space="preserve"/>
      </w:r>
    </w:p>
    <w:p>
      <w:r>
        <w:t xml:space="preserve"/>
      </w:r>
    </w:p>
    <w:p>
      <w:r>
        <w:br w:type="page"/>
      </w:r>
    </w:p>
    <w:p>
      <w:pPr>
        <w:pStyle w:val="Heading1"/>
        <w:pBdr>
          <w:bottom w:val="single" w:color="1A5C3A" w:sz="8" w:space="4"/>
        </w:pBdr>
        <w:spacing w:after="160" w:before="320"/>
      </w:pPr>
      <w:r>
        <w:rPr>
          <w:rFonts w:ascii="Arial" w:cs="Arial" w:eastAsia="Arial" w:hAnsi="Arial"/>
          <w:b/>
          <w:bCs/>
          <w:color w:val="1A5C3A"/>
          <w:sz w:val="32"/>
          <w:szCs w:val="32"/>
        </w:rPr>
        <w:t xml:space="preserve">9. Decision Logic for Portfolio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c>
          <w:tcPr>
            <w:tcW w:type="dxa" w:w="39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Evaluation Outcome</w:t>
            </w:r>
          </w:p>
        </w:tc>
        <w:tc>
          <w:tcPr>
            <w:tcW w:type="dxa" w:w="27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Recommended Action</w:t>
            </w:r>
          </w:p>
        </w:tc>
        <w:tc>
          <w:tcPr>
            <w:tcW w:type="dxa" w:w="27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Example</w:t>
            </w:r>
          </w:p>
        </w:tc>
      </w:tr>
      <w:tr>
        <w:tc>
          <w:tcPr>
            <w:tcW w:type="dxa" w:w="3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Alpha consistently &lt; 5 or negative</w:t>
            </w:r>
          </w:p>
        </w:tc>
        <w:tc>
          <w:tcPr>
            <w:tcW w:type="dxa" w:w="2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Replace with better-performing peer in same category</w:t>
            </w:r>
          </w:p>
        </w:tc>
        <w:tc>
          <w:tcPr>
            <w:tcW w:type="dxa" w:w="2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MO Midcap alpha turned negative — replaced with Edelweiss</w:t>
            </w:r>
          </w:p>
        </w:tc>
      </w:tr>
      <w:tr>
        <w:tc>
          <w:tcPr>
            <w:tcW w:type="dxa" w:w="3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Sharpe Ratio &lt; 1.0 (3Y annualised)</w:t>
            </w:r>
          </w:p>
        </w:tc>
        <w:tc>
          <w:tcPr>
            <w:tcW w:type="dxa" w:w="2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Review risk-adjusted performance and volatility</w:t>
            </w:r>
          </w:p>
        </w:tc>
        <w:tc>
          <w:tcPr>
            <w:tcW w:type="dxa" w:w="2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Apply judgment — don't reject in flat market cycles</w:t>
            </w:r>
          </w:p>
        </w:tc>
      </w:tr>
      <w:tr>
        <w:tc>
          <w:tcPr>
            <w:tcW w:type="dxa" w:w="3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Beta &gt; 1.3</w:t>
            </w:r>
          </w:p>
        </w:tc>
        <w:tc>
          <w:tcPr>
            <w:tcW w:type="dxa" w:w="2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Reduce allocation or replace — excess volatility risk</w:t>
            </w:r>
          </w:p>
        </w:tc>
        <w:tc>
          <w:tcPr>
            <w:tcW w:type="dxa" w:w="2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Flag and review at next scheduled rebalance</w:t>
            </w:r>
          </w:p>
        </w:tc>
      </w:tr>
      <w:tr>
        <w:tc>
          <w:tcPr>
            <w:tcW w:type="dxa" w:w="3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Negative down-market alpha</w:t>
            </w:r>
          </w:p>
        </w:tc>
        <w:tc>
          <w:tcPr>
            <w:tcW w:type="dxa" w:w="2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Replace fund — fails resilience test in corrections</w:t>
            </w:r>
          </w:p>
        </w:tc>
        <w:tc>
          <w:tcPr>
            <w:tcW w:type="dxa" w:w="2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Priority trigger for immediate review</w:t>
            </w:r>
          </w:p>
        </w:tc>
      </w:tr>
      <w:tr>
        <w:tc>
          <w:tcPr>
            <w:tcW w:type="dxa" w:w="3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High overlap &gt; 20% between 2 funds</w:t>
            </w:r>
          </w:p>
        </w:tc>
        <w:tc>
          <w:tcPr>
            <w:tcW w:type="dxa" w:w="2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Replace overlapping fund with low-correlation alternative</w:t>
            </w:r>
          </w:p>
        </w:tc>
        <w:tc>
          <w:tcPr>
            <w:tcW w:type="dxa" w:w="2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Retain stronger fund; remove weaker one</w:t>
            </w:r>
          </w:p>
        </w:tc>
      </w:tr>
      <w:tr>
        <w:tc>
          <w:tcPr>
            <w:tcW w:type="dxa" w:w="3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Fund drops below #8 in category rank</w:t>
            </w:r>
          </w:p>
        </w:tc>
        <w:tc>
          <w:tcPr>
            <w:tcW w:type="dxa" w:w="2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Flag and monitor — replace if 2 consecutive reviews</w:t>
            </w:r>
          </w:p>
        </w:tc>
        <w:tc>
          <w:tcPr>
            <w:tcW w:type="dxa" w:w="2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Compare with best alternative in same category</w:t>
            </w:r>
          </w:p>
        </w:tc>
      </w:tr>
      <w:tr>
        <w:tc>
          <w:tcPr>
            <w:tcW w:type="dxa" w:w="3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Fund manager change</w:t>
            </w:r>
          </w:p>
        </w:tc>
        <w:tc>
          <w:tcPr>
            <w:tcW w:type="dxa" w:w="2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Reassess within 30 days of announcement</w:t>
            </w:r>
          </w:p>
        </w:tc>
        <w:tc>
          <w:tcPr>
            <w:tcW w:type="dxa" w:w="2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Check new manager track record before deciding</w:t>
            </w:r>
          </w:p>
        </w:tc>
      </w:tr>
      <w:tr>
        <w:tc>
          <w:tcPr>
            <w:tcW w:type="dxa" w:w="3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ER increases by &gt; 0.20%</w:t>
            </w:r>
          </w:p>
        </w:tc>
        <w:tc>
          <w:tcPr>
            <w:tcW w:type="dxa" w:w="2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Flag for review — compare with alternatives</w:t>
            </w:r>
          </w:p>
        </w:tc>
        <w:tc>
          <w:tcPr>
            <w:tcW w:type="dxa" w:w="2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Higher cost = lower net return over time</w:t>
            </w:r>
          </w:p>
        </w:tc>
      </w:tr>
      <w:tr>
        <w:tc>
          <w:tcPr>
            <w:tcW w:type="dxa" w:w="3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AUM drops below minimum threshold</w:t>
            </w:r>
          </w:p>
        </w:tc>
        <w:tc>
          <w:tcPr>
            <w:tcW w:type="dxa" w:w="2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Flag and monitor — assess exit liquidity</w:t>
            </w:r>
          </w:p>
        </w:tc>
        <w:tc>
          <w:tcPr>
            <w:tcW w:type="dxa" w:w="2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Especially critical for small cap funds</w:t>
            </w:r>
          </w:p>
        </w:tc>
      </w:tr>
      <w:tr>
        <w:tc>
          <w:tcPr>
            <w:tcW w:type="dxa" w:w="3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SIP suspended / investment restricted</w:t>
            </w:r>
          </w:p>
        </w:tc>
        <w:tc>
          <w:tcPr>
            <w:tcW w:type="dxa" w:w="2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Immediately identify open alternative</w:t>
            </w:r>
          </w:p>
        </w:tc>
        <w:tc>
          <w:tcPr>
            <w:tcW w:type="dxa" w:w="2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MO Nasdaq — replaced with Kotak Nasdaq 100 FoF</w:t>
            </w:r>
          </w:p>
        </w:tc>
      </w:tr>
    </w:tbl>
    <w:p>
      <w:r>
        <w:t xml:space="preserve"/>
      </w:r>
    </w:p>
    <w:p>
      <w:r>
        <w:t xml:space="preserve"/>
      </w:r>
    </w:p>
    <w:p>
      <w:r>
        <w:br w:type="page"/>
      </w:r>
    </w:p>
    <w:p>
      <w:pPr>
        <w:pStyle w:val="Heading1"/>
        <w:pBdr>
          <w:bottom w:val="single" w:color="1A5C3A" w:sz="8" w:space="4"/>
        </w:pBdr>
        <w:spacing w:after="160" w:before="320"/>
      </w:pPr>
      <w:r>
        <w:rPr>
          <w:rFonts w:ascii="Arial" w:cs="Arial" w:eastAsia="Arial" w:hAnsi="Arial"/>
          <w:b/>
          <w:bCs/>
          <w:color w:val="1A5C3A"/>
          <w:sz w:val="32"/>
          <w:szCs w:val="32"/>
        </w:rPr>
        <w:t xml:space="preserve">10. Corpus Projections &amp; Target Tracking</w:t>
      </w:r>
    </w:p>
    <w:p>
      <w:pPr>
        <w:spacing w:after="60" w:before="60"/>
      </w:pPr>
      <w:r>
        <w:rPr>
          <w:rFonts w:ascii="Arial" w:cs="Arial" w:eastAsia="Arial" w:hAnsi="Arial"/>
          <w:b w:val="false"/>
          <w:bCs w:val="false"/>
          <w:i w:val="false"/>
          <w:iCs w:val="false"/>
          <w:color w:val="000000"/>
          <w:sz w:val="18"/>
          <w:szCs w:val="18"/>
        </w:rPr>
        <w:t xml:space="preserve">Starting corpus: Rs 20,50,000 (existing). Monthly SIP: Rs 50,000. Projections use monthly compounding on blended XIRR scenarios.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800"/>
        <w:gridCol w:w="2100"/>
        <w:gridCol w:w="2100"/>
      </w:tblGrid>
      <w:tr>
        <w:tc>
          <w:tcPr>
            <w:tcW w:type="dxa" w:w="15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Period</w:t>
            </w:r>
          </w:p>
        </w:tc>
        <w:tc>
          <w:tcPr>
            <w:tcW w:type="dxa" w:w="18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 Invested</w:t>
            </w:r>
          </w:p>
        </w:tc>
        <w:tc>
          <w:tcPr>
            <w:tcW w:type="dxa" w:w="18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Conservative 12%</w:t>
            </w:r>
          </w:p>
        </w:tc>
        <w:tc>
          <w:tcPr>
            <w:tcW w:type="dxa" w:w="2100"/>
            <w:gridSpan w:val="1"/>
            <w:tcBorders>
              <w:top w:val="single" w:color="AAAAAA" w:sz="4"/>
              <w:left w:val="single" w:color="AAAAAA" w:sz="4"/>
              <w:bottom w:val="single" w:color="AAAAAA" w:sz="4"/>
              <w:right w:val="single" w:color="AAAAAA" w:sz="4"/>
            </w:tcBorders>
            <w:shd w:fill="1A5C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Base 15% (Target)</w:t>
            </w:r>
          </w:p>
        </w:tc>
        <w:tc>
          <w:tcPr>
            <w:tcW w:type="dxa" w:w="2100"/>
            <w:gridSpan w:val="1"/>
            <w:tcBorders>
              <w:top w:val="single" w:color="AAAAAA" w:sz="4"/>
              <w:left w:val="single" w:color="AAAAAA" w:sz="4"/>
              <w:bottom w:val="single" w:color="AAAAAA" w:sz="4"/>
              <w:right w:val="single" w:color="AAAAAA" w:sz="4"/>
            </w:tcBorders>
            <w:shd w:fill="0F6E5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Aggressive 18%</w:t>
            </w:r>
          </w:p>
        </w:tc>
      </w:tr>
      <w:tr>
        <w:tc>
          <w:tcPr>
            <w:tcW w:type="dxa" w:w="15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Year 1 (Jun 2027)</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~Rs 26.5L</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~Rs 30.8L</w:t>
            </w:r>
          </w:p>
        </w:tc>
        <w:tc>
          <w:tcPr>
            <w:tcW w:type="dxa" w:w="2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~Rs 33.6L</w:t>
            </w:r>
          </w:p>
        </w:tc>
        <w:tc>
          <w:tcPr>
            <w:tcW w:type="dxa" w:w="2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~Rs 36.5L</w:t>
            </w:r>
          </w:p>
        </w:tc>
      </w:tr>
      <w:tr>
        <w:tc>
          <w:tcPr>
            <w:tcW w:type="dxa" w:w="1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Year 2 (Jun 2028)</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~Rs 32.5L</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~Rs 41.8L</w:t>
            </w:r>
          </w:p>
        </w:tc>
        <w:tc>
          <w:tcPr>
            <w:tcW w:type="dxa" w:w="2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~Rs 47.5L</w:t>
            </w:r>
          </w:p>
        </w:tc>
        <w:tc>
          <w:tcPr>
            <w:tcW w:type="dxa" w:w="210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center"/>
            </w:pPr>
            <w:r>
              <w:rPr>
                <w:rFonts w:ascii="Arial" w:cs="Arial" w:eastAsia="Arial" w:hAnsi="Arial"/>
                <w:b/>
                <w:bCs/>
                <w:color w:val="27500A"/>
                <w:sz w:val="17"/>
                <w:szCs w:val="17"/>
              </w:rPr>
              <w:t xml:space="preserve">~Rs 54.1L (Target Met)</w:t>
            </w:r>
          </w:p>
        </w:tc>
      </w:tr>
      <w:tr>
        <w:tc>
          <w:tcPr>
            <w:tcW w:type="dxa" w:w="15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Year 3 (Jun 2029)</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~Rs 38.5L</w:t>
            </w:r>
          </w:p>
        </w:tc>
        <w:tc>
          <w:tcPr>
            <w:tcW w:type="dxa" w:w="180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center"/>
            </w:pPr>
            <w:r>
              <w:rPr>
                <w:rFonts w:ascii="Arial" w:cs="Arial" w:eastAsia="Arial" w:hAnsi="Arial"/>
                <w:b/>
                <w:bCs/>
                <w:color w:val="27500A"/>
                <w:sz w:val="17"/>
                <w:szCs w:val="17"/>
              </w:rPr>
              <w:t xml:space="preserve">~Rs 54.8L (Met)</w:t>
            </w:r>
          </w:p>
        </w:tc>
        <w:tc>
          <w:tcPr>
            <w:tcW w:type="dxa" w:w="210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center"/>
            </w:pPr>
            <w:r>
              <w:rPr>
                <w:rFonts w:ascii="Arial" w:cs="Arial" w:eastAsia="Arial" w:hAnsi="Arial"/>
                <w:b/>
                <w:bCs/>
                <w:color w:val="27500A"/>
                <w:sz w:val="17"/>
                <w:szCs w:val="17"/>
              </w:rPr>
              <w:t xml:space="preserve">~Rs 65.8L (Target Met)</w:t>
            </w:r>
          </w:p>
        </w:tc>
        <w:tc>
          <w:tcPr>
            <w:tcW w:type="dxa" w:w="2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~Rs 80.2L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8"/>
              <w:left w:val="single" w:color="185FA5" w:sz="24"/>
              <w:bottom w:val="single" w:color="185FA5" w:sz="8"/>
              <w:right w:val="single" w:color="185FA5" w:sz="8"/>
            </w:tcBorders>
            <w:shd w:fill="EAF3DE" w:val="clear"/>
            <w:tcMar>
              <w:top w:type="dxa" w:w="100"/>
              <w:left w:type="dxa" w:w="180"/>
              <w:bottom w:type="dxa" w:w="100"/>
              <w:right w:type="dxa" w:w="180"/>
            </w:tcMar>
          </w:tcPr>
          <w:p>
            <w:pPr>
              <w:spacing w:after="40" w:before="40"/>
            </w:pPr>
            <w:r>
              <w:rPr>
                <w:rFonts w:ascii="Arial" w:cs="Arial" w:eastAsia="Arial" w:hAnsi="Arial"/>
                <w:b w:val="false"/>
                <w:bCs w:val="false"/>
                <w:color w:val="0F6E56"/>
                <w:sz w:val="18"/>
                <w:szCs w:val="18"/>
              </w:rPr>
              <w:t xml:space="preserve">TARGET STATUS: Rs 50L corpus is exceeded in ALL scenarios by Year 3 (June 2029).</w:t>
            </w:r>
          </w:p>
          <w:p>
            <w:pPr>
              <w:spacing w:after="40" w:before="40"/>
            </w:pPr>
            <w:r>
              <w:rPr>
                <w:rFonts w:ascii="Arial" w:cs="Arial" w:eastAsia="Arial" w:hAnsi="Arial"/>
                <w:b w:val="false"/>
                <w:bCs w:val="false"/>
                <w:color w:val="0F6E56"/>
                <w:sz w:val="18"/>
                <w:szCs w:val="18"/>
              </w:rPr>
              <w:t xml:space="preserve">At base 15% XIRR: Rs 65.8L by June 2029 — 31.6% above the Rs 50L target.</w:t>
            </w:r>
          </w:p>
          <w:p>
            <w:pPr>
              <w:spacing w:after="40" w:before="40"/>
            </w:pPr>
            <w:r>
              <w:rPr>
                <w:rFonts w:ascii="Arial" w:cs="Arial" w:eastAsia="Arial" w:hAnsi="Arial"/>
                <w:b w:val="false"/>
                <w:bCs w:val="false"/>
                <w:color w:val="0F6E56"/>
                <w:sz w:val="18"/>
                <w:szCs w:val="18"/>
              </w:rPr>
              <w:t xml:space="preserve">At aggressive 18% XIRR: Rs 80.2L by June 2029 — 60.4% above the Rs 50L target.</w:t>
            </w:r>
          </w:p>
          <w:p>
            <w:pPr>
              <w:spacing w:after="40" w:before="40"/>
            </w:pPr>
            <w:r>
              <w:rPr>
                <w:rFonts w:ascii="Arial" w:cs="Arial" w:eastAsia="Arial" w:hAnsi="Arial"/>
                <w:b w:val="false"/>
                <w:bCs w:val="false"/>
                <w:color w:val="0F6E56"/>
                <w:sz w:val="18"/>
                <w:szCs w:val="18"/>
              </w:rPr>
              <w:t xml:space="preserve">Even the conservative 12% scenario delivers Rs 54.8L — above the Rs 50L target by Year 3.</w:t>
            </w:r>
          </w:p>
        </w:tc>
      </w:tr>
    </w:tbl>
    <w:p>
      <w:r>
        <w:t xml:space="preserve"/>
      </w:r>
    </w:p>
    <w:p>
      <w:r>
        <w:t xml:space="preserve"/>
      </w:r>
    </w:p>
    <w:p>
      <w:r>
        <w:br w:type="page"/>
      </w:r>
    </w:p>
    <w:p>
      <w:pPr>
        <w:pStyle w:val="Heading1"/>
        <w:pBdr>
          <w:bottom w:val="single" w:color="1A5C3A" w:sz="8" w:space="4"/>
        </w:pBdr>
        <w:spacing w:after="160" w:before="320"/>
      </w:pPr>
      <w:r>
        <w:rPr>
          <w:rFonts w:ascii="Arial" w:cs="Arial" w:eastAsia="Arial" w:hAnsi="Arial"/>
          <w:b/>
          <w:bCs/>
          <w:color w:val="1A5C3A"/>
          <w:sz w:val="32"/>
          <w:szCs w:val="32"/>
        </w:rPr>
        <w:t xml:space="preserve">11. 6-Month Portfolio Review Checklist</w:t>
      </w:r>
    </w:p>
    <w:p>
      <w:pPr>
        <w:spacing w:after="60" w:before="60"/>
      </w:pPr>
      <w:r>
        <w:rPr>
          <w:rFonts w:ascii="Arial" w:cs="Arial" w:eastAsia="Arial" w:hAnsi="Arial"/>
          <w:b w:val="false"/>
          <w:bCs w:val="false"/>
          <w:i w:val="false"/>
          <w:iCs w:val="false"/>
          <w:color w:val="000000"/>
          <w:sz w:val="18"/>
          <w:szCs w:val="18"/>
        </w:rPr>
        <w:t xml:space="preserve">Next Scheduled Review: December 2026. Use this checklist at every review cycle without exception.</w:t>
      </w:r>
    </w:p>
    <w:p>
      <w:r>
        <w:t xml:space="preserve"/>
      </w:r>
    </w:p>
    <w:p>
      <w:pPr>
        <w:pStyle w:val="Heading2"/>
        <w:spacing w:after="120" w:before="240"/>
      </w:pPr>
      <w:r>
        <w:rPr>
          <w:rFonts w:ascii="Arial" w:cs="Arial" w:eastAsia="Arial" w:hAnsi="Arial"/>
          <w:b/>
          <w:bCs/>
          <w:color w:val="4A8C5C"/>
          <w:sz w:val="26"/>
          <w:szCs w:val="26"/>
        </w:rPr>
        <w:t xml:space="preserve">11.1 Mandatory Review Items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000"/>
        <w:gridCol w:w="3000"/>
        <w:gridCol w:w="3000"/>
      </w:tblGrid>
      <w:tr>
        <w:tc>
          <w:tcPr>
            <w:tcW w:type="dxa" w:w="3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30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Review Item</w:t>
            </w:r>
          </w:p>
        </w:tc>
        <w:tc>
          <w:tcPr>
            <w:tcW w:type="dxa" w:w="30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Check Point</w:t>
            </w:r>
          </w:p>
        </w:tc>
        <w:tc>
          <w:tcPr>
            <w:tcW w:type="dxa" w:w="30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 if Triggered</w:t>
            </w:r>
          </w:p>
        </w:tc>
      </w:tr>
      <w:tr>
        <w:tc>
          <w:tcPr>
            <w:tcW w:type="dxa" w:w="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bCs/>
                <w:color w:val="000000"/>
                <w:sz w:val="17"/>
                <w:szCs w:val="17"/>
              </w:rPr>
              <w:t xml:space="preserve">1</w:t>
            </w:r>
          </w:p>
        </w:tc>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SEBI Overseas Limit Status</w:t>
            </w:r>
          </w:p>
        </w:tc>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Has RBI/SEBI raised USD 7B overseas cap?</w:t>
            </w:r>
          </w:p>
        </w:tc>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If yes: re-evaluate MO Nasdaq 100 FoF vs Kotak Nasdaq</w:t>
            </w:r>
          </w:p>
        </w:tc>
      </w:tr>
      <w:tr>
        <w:tc>
          <w:tcPr>
            <w:tcW w:type="dxa" w:w="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bCs/>
                <w:color w:val="000000"/>
                <w:sz w:val="17"/>
                <w:szCs w:val="17"/>
              </w:rPr>
              <w:t xml:space="preserve">2</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ICICI Pru Infrastructure</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Beat BSE Infra TRI last 6 months? Budget maintained capex?</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2 consecutive underperforms: replace with HDFC Flexi Cap</w:t>
            </w:r>
          </w:p>
        </w:tc>
      </w:tr>
      <w:tr>
        <w:tc>
          <w:tcPr>
            <w:tcW w:type="dxa" w:w="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bCs/>
                <w:color w:val="000000"/>
                <w:sz w:val="17"/>
                <w:szCs w:val="17"/>
              </w:rPr>
              <w:t xml:space="preserve">3</w:t>
            </w:r>
          </w:p>
        </w:tc>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Fund Category Rankings</w:t>
            </w:r>
          </w:p>
        </w:tc>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All 8 funds still in top 8 of their category?</w:t>
            </w:r>
          </w:p>
        </w:tc>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Any fund drops below #8: flag and compare alternatives</w:t>
            </w:r>
          </w:p>
        </w:tc>
      </w:tr>
      <w:tr>
        <w:tc>
          <w:tcPr>
            <w:tcW w:type="dxa" w:w="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bCs/>
                <w:color w:val="000000"/>
                <w:sz w:val="17"/>
                <w:szCs w:val="17"/>
              </w:rPr>
              <w:t xml:space="preserve">4</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Fund Manager Changes</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Any manager change in last 6 months?</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Immediate 30-day reassessment on change announcement</w:t>
            </w:r>
          </w:p>
        </w:tc>
      </w:tr>
      <w:tr>
        <w:tc>
          <w:tcPr>
            <w:tcW w:type="dxa" w:w="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bCs/>
                <w:color w:val="000000"/>
                <w:sz w:val="17"/>
                <w:szCs w:val="17"/>
              </w:rPr>
              <w:t xml:space="preserve">5</w:t>
            </w:r>
          </w:p>
        </w:tc>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Portfolio Overlap Check</w:t>
            </w:r>
          </w:p>
        </w:tc>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Recalculate all pair-wise overlaps via mfxray.in</w:t>
            </w:r>
          </w:p>
        </w:tc>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Any pair &gt; 20%: remove weaker fund immediately</w:t>
            </w:r>
          </w:p>
        </w:tc>
      </w:tr>
      <w:tr>
        <w:tc>
          <w:tcPr>
            <w:tcW w:type="dxa" w:w="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bCs/>
                <w:color w:val="000000"/>
                <w:sz w:val="17"/>
                <w:szCs w:val="17"/>
              </w:rPr>
              <w:t xml:space="preserve">6</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Expense Ratio Changes</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Any ER increased by &gt; 0.20%?</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Compare with category alternatives at same review</w:t>
            </w:r>
          </w:p>
        </w:tc>
      </w:tr>
      <w:tr>
        <w:tc>
          <w:tcPr>
            <w:tcW w:type="dxa" w:w="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bCs/>
                <w:color w:val="000000"/>
                <w:sz w:val="17"/>
                <w:szCs w:val="17"/>
              </w:rPr>
              <w:t xml:space="preserve">7</w:t>
            </w:r>
          </w:p>
        </w:tc>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Corpus vs Projection</w:t>
            </w:r>
          </w:p>
        </w:tc>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Is actual corpus within 10% of projection table?</w:t>
            </w:r>
          </w:p>
        </w:tc>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If &lt; 10% below: identify underperforming fund(s)</w:t>
            </w:r>
          </w:p>
        </w:tc>
      </w:tr>
      <w:tr>
        <w:tc>
          <w:tcPr>
            <w:tcW w:type="dxa" w:w="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bCs/>
                <w:color w:val="000000"/>
                <w:sz w:val="17"/>
                <w:szCs w:val="17"/>
              </w:rPr>
              <w:t xml:space="preserve">8</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Allocation Drift Check</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Has any category drifted &gt; 5% from target?</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Rebalance SIP amounts — do not redeem units</w:t>
            </w:r>
          </w:p>
        </w:tc>
      </w:tr>
      <w:tr>
        <w:tc>
          <w:tcPr>
            <w:tcW w:type="dxa" w:w="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bCs/>
                <w:color w:val="000000"/>
                <w:sz w:val="17"/>
                <w:szCs w:val="17"/>
              </w:rPr>
              <w:t xml:space="preserve">9</w:t>
            </w:r>
          </w:p>
        </w:tc>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Small Cap Valuation</w:t>
            </w:r>
          </w:p>
        </w:tc>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Is Nifty Smallcap 250 PE &gt; 35x?</w:t>
            </w:r>
          </w:p>
        </w:tc>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Reduce small cap SIP by 5%, shift to large cap</w:t>
            </w:r>
          </w:p>
        </w:tc>
      </w:tr>
      <w:tr>
        <w:tc>
          <w:tcPr>
            <w:tcW w:type="dxa" w:w="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bCs/>
                <w:color w:val="000000"/>
                <w:sz w:val="17"/>
                <w:szCs w:val="17"/>
              </w:rPr>
              <w:t xml:space="preserve">10</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New Fund Evaluation</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Any new top-performer emerged in each category?</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7"/>
                <w:szCs w:val="17"/>
              </w:rPr>
              <w:t xml:space="preserve">Apply full screening criteria before any addition</w:t>
            </w:r>
          </w:p>
        </w:tc>
      </w:tr>
    </w:tbl>
    <w:p>
      <w:r>
        <w:t xml:space="preserve"/>
      </w:r>
    </w:p>
    <w:p>
      <w:pPr>
        <w:pStyle w:val="Heading2"/>
        <w:spacing w:after="120" w:before="240"/>
      </w:pPr>
      <w:r>
        <w:rPr>
          <w:rFonts w:ascii="Arial" w:cs="Arial" w:eastAsia="Arial" w:hAnsi="Arial"/>
          <w:b/>
          <w:bCs/>
          <w:color w:val="4A8C5C"/>
          <w:sz w:val="26"/>
          <w:szCs w:val="26"/>
        </w:rPr>
        <w:t xml:space="preserve">11.2 Auto-Trigger Rules</w:t>
      </w:r>
    </w:p>
    <w:p>
      <w:pPr>
        <w:pStyle w:val="ListParagraph"/>
        <w:numPr>
          <w:ilvl w:val="0"/>
          <w:numId w:val="2"/>
        </w:numPr>
        <w:spacing w:after="40" w:before="40"/>
      </w:pPr>
      <w:r>
        <w:rPr>
          <w:rFonts w:ascii="Arial" w:cs="Arial" w:eastAsia="Arial" w:hAnsi="Arial"/>
          <w:sz w:val="18"/>
          <w:szCs w:val="18"/>
        </w:rPr>
        <w:t xml:space="preserve">IMMEDIATE action required (do not wait for 6-month review):</w:t>
      </w:r>
    </w:p>
    <w:p>
      <w:pPr>
        <w:pStyle w:val="ListParagraph"/>
        <w:numPr>
          <w:ilvl w:val="0"/>
          <w:numId w:val="2"/>
        </w:numPr>
        <w:spacing w:after="40" w:before="40"/>
      </w:pPr>
      <w:r>
        <w:rPr>
          <w:rFonts w:ascii="Arial" w:cs="Arial" w:eastAsia="Arial" w:hAnsi="Arial"/>
          <w:sz w:val="18"/>
          <w:szCs w:val="18"/>
        </w:rPr>
        <w:t xml:space="preserve">  - Fund manager change in any of the 8 active funds</w:t>
      </w:r>
    </w:p>
    <w:p>
      <w:pPr>
        <w:pStyle w:val="ListParagraph"/>
        <w:numPr>
          <w:ilvl w:val="0"/>
          <w:numId w:val="2"/>
        </w:numPr>
        <w:spacing w:after="40" w:before="40"/>
      </w:pPr>
      <w:r>
        <w:rPr>
          <w:rFonts w:ascii="Arial" w:cs="Arial" w:eastAsia="Arial" w:hAnsi="Arial"/>
          <w:sz w:val="18"/>
          <w:szCs w:val="18"/>
        </w:rPr>
        <w:t xml:space="preserve">  - Any active fund SIP suspended due to regulatory cap</w:t>
      </w:r>
    </w:p>
    <w:p>
      <w:pPr>
        <w:pStyle w:val="ListParagraph"/>
        <w:numPr>
          <w:ilvl w:val="0"/>
          <w:numId w:val="2"/>
        </w:numPr>
        <w:spacing w:after="40" w:before="40"/>
      </w:pPr>
      <w:r>
        <w:rPr>
          <w:rFonts w:ascii="Arial" w:cs="Arial" w:eastAsia="Arial" w:hAnsi="Arial"/>
          <w:sz w:val="18"/>
          <w:szCs w:val="18"/>
        </w:rPr>
        <w:t xml:space="preserve">  - Any active fund ER increases by more than 0.30% in a single revision</w:t>
      </w:r>
    </w:p>
    <w:p>
      <w:pPr>
        <w:pStyle w:val="ListParagraph"/>
        <w:numPr>
          <w:ilvl w:val="0"/>
          <w:numId w:val="2"/>
        </w:numPr>
        <w:spacing w:after="40" w:before="40"/>
      </w:pPr>
      <w:r>
        <w:rPr>
          <w:rFonts w:ascii="Arial" w:cs="Arial" w:eastAsia="Arial" w:hAnsi="Arial"/>
          <w:sz w:val="18"/>
          <w:szCs w:val="18"/>
        </w:rPr>
        <w:t xml:space="preserve">  - Any active fund drops to below #10 in category ranking</w:t>
      </w:r>
    </w:p>
    <w:p>
      <w:r>
        <w:t xml:space="preserve"/>
      </w:r>
    </w:p>
    <w:p>
      <w:r>
        <w:t xml:space="preserve"/>
      </w:r>
    </w:p>
    <w:p>
      <w:r>
        <w:br w:type="page"/>
      </w:r>
    </w:p>
    <w:p>
      <w:pPr>
        <w:pStyle w:val="Heading1"/>
        <w:pBdr>
          <w:bottom w:val="single" w:color="1A5C3A" w:sz="8" w:space="4"/>
        </w:pBdr>
        <w:spacing w:after="160" w:before="320"/>
      </w:pPr>
      <w:r>
        <w:rPr>
          <w:rFonts w:ascii="Arial" w:cs="Arial" w:eastAsia="Arial" w:hAnsi="Arial"/>
          <w:b/>
          <w:bCs/>
          <w:color w:val="1A5C3A"/>
          <w:sz w:val="32"/>
          <w:szCs w:val="32"/>
        </w:rPr>
        <w:t xml:space="preserve">12. Watch List — Alternative Funds for Future Rotation</w:t>
      </w:r>
    </w:p>
    <w:p>
      <w:pPr>
        <w:spacing w:after="60" w:before="60"/>
      </w:pPr>
      <w:r>
        <w:rPr>
          <w:rFonts w:ascii="Arial" w:cs="Arial" w:eastAsia="Arial" w:hAnsi="Arial"/>
          <w:b w:val="false"/>
          <w:bCs w:val="false"/>
          <w:i w:val="false"/>
          <w:iCs w:val="false"/>
          <w:color w:val="000000"/>
          <w:sz w:val="18"/>
          <w:szCs w:val="18"/>
        </w:rPr>
        <w:t xml:space="preserve">These funds were evaluated and found strong. Consider for future inclusion if a current fund underperforms. Apply all mandatory screening criteria before any swap.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2400"/>
        <w:gridCol w:w="1600"/>
        <w:gridCol w:w="1240"/>
        <w:gridCol w:w="1200"/>
        <w:gridCol w:w="1800"/>
      </w:tblGrid>
      <w:tr>
        <w:tc>
          <w:tcPr>
            <w:tcW w:type="dxa" w:w="112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24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Fund Name</w:t>
            </w:r>
          </w:p>
        </w:tc>
        <w:tc>
          <w:tcPr>
            <w:tcW w:type="dxa" w:w="16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3Y CAGR</w:t>
            </w:r>
          </w:p>
        </w:tc>
        <w:tc>
          <w:tcPr>
            <w:tcW w:type="dxa" w:w="124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5Y CAGR</w:t>
            </w:r>
          </w:p>
        </w:tc>
        <w:tc>
          <w:tcPr>
            <w:tcW w:type="dxa" w:w="12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ER</w:t>
            </w:r>
          </w:p>
        </w:tc>
        <w:tc>
          <w:tcPr>
            <w:tcW w:type="dxa" w:w="18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Watch</w:t>
            </w:r>
          </w:p>
        </w:tc>
      </w:tr>
      <w:tr>
        <w:tc>
          <w:tcPr>
            <w:tcW w:type="dxa" w:w="11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Small Cap</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Tata Small Cap Fund</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32.7%</w:t>
            </w:r>
          </w:p>
        </w:tc>
        <w:tc>
          <w:tcPr>
            <w:tcW w:type="dxa" w:w="12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25.8%</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0.42%</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Low ER, consistent quality</w:t>
            </w:r>
          </w:p>
        </w:tc>
      </w:tr>
      <w:tr>
        <w:tc>
          <w:tcPr>
            <w:tcW w:type="dxa" w:w="1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Small Cap</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Invesco India Small Cap</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~28%</w:t>
            </w:r>
          </w:p>
        </w:tc>
        <w:tc>
          <w:tcPr>
            <w:tcW w:type="dxa" w:w="1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~24%</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~0.55%</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Quality-growth, healthcare focus</w:t>
            </w:r>
          </w:p>
        </w:tc>
      </w:tr>
      <w:tr>
        <w:tc>
          <w:tcPr>
            <w:tcW w:type="dxa" w:w="11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Mid Cap</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Nippon India Growth Mid Cap</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23.02%</w:t>
            </w:r>
          </w:p>
        </w:tc>
        <w:tc>
          <w:tcPr>
            <w:tcW w:type="dxa" w:w="12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20.51%</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~0.65%</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CRISP #1 MC, 92% consistency</w:t>
            </w:r>
          </w:p>
        </w:tc>
      </w:tr>
      <w:tr>
        <w:tc>
          <w:tcPr>
            <w:tcW w:type="dxa" w:w="1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Mid Cap</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Kotak Emerging Equity</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20.31%</w:t>
            </w:r>
          </w:p>
        </w:tc>
        <w:tc>
          <w:tcPr>
            <w:tcW w:type="dxa" w:w="1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17.98%</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~0.43%</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10-year consistency leader</w:t>
            </w:r>
          </w:p>
        </w:tc>
      </w:tr>
      <w:tr>
        <w:tc>
          <w:tcPr>
            <w:tcW w:type="dxa" w:w="11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Large Cap</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ICICI Pru Bluechip</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16.4%</w:t>
            </w:r>
          </w:p>
        </w:tc>
        <w:tc>
          <w:tcPr>
            <w:tcW w:type="dxa" w:w="12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17.1%</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~0.87%</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CRISP #1 LC, 97% consistency</w:t>
            </w:r>
          </w:p>
        </w:tc>
      </w:tr>
      <w:tr>
        <w:tc>
          <w:tcPr>
            <w:tcW w:type="dxa" w:w="1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Large Cap</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Canara Robeco Bluechip</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15.2%</w:t>
            </w:r>
          </w:p>
        </w:tc>
        <w:tc>
          <w:tcPr>
            <w:tcW w:type="dxa" w:w="1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16.3%</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0.51%</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Lowest ER in large cap</w:t>
            </w:r>
          </w:p>
        </w:tc>
      </w:tr>
      <w:tr>
        <w:tc>
          <w:tcPr>
            <w:tcW w:type="dxa" w:w="11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Flexi Cap</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HDFC Flexi Cap Fund</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20.1%</w:t>
            </w:r>
          </w:p>
        </w:tc>
        <w:tc>
          <w:tcPr>
            <w:tcW w:type="dxa" w:w="12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22.0%</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0.67%</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CRISP #1 FC (93%), strong alpha</w:t>
            </w:r>
          </w:p>
        </w:tc>
      </w:tr>
      <w:tr>
        <w:tc>
          <w:tcPr>
            <w:tcW w:type="dxa" w:w="1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Flexi Cap</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JM Flexicap Fund</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24.5%</w:t>
            </w:r>
          </w:p>
        </w:tc>
        <w:tc>
          <w:tcPr>
            <w:tcW w:type="dxa" w:w="1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21.3%</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~0.58%</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Highest Sharpe 1.18 in category</w:t>
            </w:r>
          </w:p>
        </w:tc>
      </w:tr>
      <w:tr>
        <w:tc>
          <w:tcPr>
            <w:tcW w:type="dxa" w:w="11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Thematic</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Nippon India Power &amp; Infra</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28.08%</w:t>
            </w:r>
          </w:p>
        </w:tc>
        <w:tc>
          <w:tcPr>
            <w:tcW w:type="dxa" w:w="12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26.55%</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~0.88%</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Alt to ICICI Infra if needed</w:t>
            </w:r>
          </w:p>
        </w:tc>
      </w:tr>
      <w:tr>
        <w:tc>
          <w:tcPr>
            <w:tcW w:type="dxa" w:w="1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International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MO Nasdaq 100 FoF</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~32%</w:t>
            </w:r>
          </w:p>
        </w:tc>
        <w:tc>
          <w:tcPr>
            <w:tcW w:type="dxa" w:w="1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27.71%</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0.19%</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Best performer — monitor for reopen</w:t>
            </w:r>
          </w:p>
        </w:tc>
      </w:tr>
      <w:tr>
        <w:tc>
          <w:tcPr>
            <w:tcW w:type="dxa" w:w="11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International</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Navi Nasdaq 100 FoF</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~29%</w:t>
            </w:r>
          </w:p>
        </w:tc>
        <w:tc>
          <w:tcPr>
            <w:tcW w:type="dxa" w:w="12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~25%</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0.16%</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Lowest ER, open SIP</w:t>
            </w:r>
          </w:p>
        </w:tc>
      </w:tr>
    </w:tbl>
    <w:p>
      <w:r>
        <w:t xml:space="preserve"/>
      </w:r>
    </w:p>
    <w:p>
      <w:r>
        <w:t xml:space="preserve"/>
      </w:r>
    </w:p>
    <w:p>
      <w:r>
        <w:br w:type="page"/>
      </w:r>
    </w:p>
    <w:p>
      <w:pPr>
        <w:pStyle w:val="Heading1"/>
        <w:pBdr>
          <w:bottom w:val="single" w:color="1A5C3A" w:sz="8" w:space="4"/>
        </w:pBdr>
        <w:spacing w:after="160" w:before="320"/>
      </w:pPr>
      <w:r>
        <w:rPr>
          <w:rFonts w:ascii="Arial" w:cs="Arial" w:eastAsia="Arial" w:hAnsi="Arial"/>
          <w:b/>
          <w:bCs/>
          <w:color w:val="1A5C3A"/>
          <w:sz w:val="32"/>
          <w:szCs w:val="32"/>
        </w:rPr>
        <w:t xml:space="preserve">13. SEBI / Regulatory Awareness Rules</w:t>
      </w:r>
    </w:p>
    <w:p>
      <w:pPr>
        <w:pStyle w:val="Heading2"/>
        <w:spacing w:after="120" w:before="240"/>
      </w:pPr>
      <w:r>
        <w:rPr>
          <w:rFonts w:ascii="Arial" w:cs="Arial" w:eastAsia="Arial" w:hAnsi="Arial"/>
          <w:b/>
          <w:bCs/>
          <w:color w:val="4A8C5C"/>
          <w:sz w:val="26"/>
          <w:szCs w:val="26"/>
        </w:rPr>
        <w:t xml:space="preserve">13.1 Overseas Investment Limits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8"/>
              <w:left w:val="single" w:color="BA7517" w:sz="24"/>
              <w:bottom w:val="single" w:color="BA7517" w:sz="8"/>
              <w:right w:val="single" w:color="BA7517" w:sz="8"/>
            </w:tcBorders>
            <w:shd w:fill="FAEEDA" w:val="clear"/>
            <w:tcMar>
              <w:top w:type="dxa" w:w="100"/>
              <w:left w:type="dxa" w:w="180"/>
              <w:bottom w:type="dxa" w:w="100"/>
              <w:right w:type="dxa" w:w="180"/>
            </w:tcMar>
          </w:tcPr>
          <w:p>
            <w:pPr>
              <w:spacing w:after="40" w:before="40"/>
            </w:pPr>
            <w:r>
              <w:rPr>
                <w:rFonts w:ascii="Arial" w:cs="Arial" w:eastAsia="Arial" w:hAnsi="Arial"/>
                <w:color w:val="BA7517"/>
                <w:sz w:val="18"/>
                <w:szCs w:val="18"/>
              </w:rPr>
              <w:t xml:space="preserve">WARNING: SEBI industry-wide overseas investment limit (USD 7 billion) is FULLY EXHAUSTED as of 2026.</w:t>
            </w:r>
          </w:p>
          <w:p>
            <w:pPr>
              <w:spacing w:after="40" w:before="40"/>
            </w:pPr>
            <w:r>
              <w:rPr>
                <w:rFonts w:ascii="Arial" w:cs="Arial" w:eastAsia="Arial" w:hAnsi="Arial"/>
                <w:color w:val="BA7517"/>
                <w:sz w:val="18"/>
                <w:szCs w:val="18"/>
              </w:rPr>
              <w:t xml:space="preserve">ETF-specific overseas limit (USD 1 billion) was exhausted in April 2024.</w:t>
            </w:r>
          </w:p>
          <w:p>
            <w:pPr>
              <w:spacing w:after="40" w:before="40"/>
            </w:pPr>
            <w:r>
              <w:rPr>
                <w:rFonts w:ascii="Arial" w:cs="Arial" w:eastAsia="Arial" w:hAnsi="Arial"/>
                <w:color w:val="BA7517"/>
                <w:sz w:val="18"/>
                <w:szCs w:val="18"/>
              </w:rPr>
              <w:t xml:space="preserve">BEFORE recommending any international/global fund, ALWAYS verify:</w:t>
            </w:r>
          </w:p>
          <w:p>
            <w:pPr>
              <w:spacing w:after="40" w:before="40"/>
            </w:pPr>
            <w:r>
              <w:rPr>
                <w:rFonts w:ascii="Arial" w:cs="Arial" w:eastAsia="Arial" w:hAnsi="Arial"/>
                <w:color w:val="BA7517"/>
                <w:sz w:val="18"/>
                <w:szCs w:val="18"/>
              </w:rPr>
              <w:t xml:space="preserve">  (a) Is SIP open for new registrations at the AMC?</w:t>
            </w:r>
          </w:p>
          <w:p>
            <w:pPr>
              <w:spacing w:after="40" w:before="40"/>
            </w:pPr>
            <w:r>
              <w:rPr>
                <w:rFonts w:ascii="Arial" w:cs="Arial" w:eastAsia="Arial" w:hAnsi="Arial"/>
                <w:color w:val="BA7517"/>
                <w:sz w:val="18"/>
                <w:szCs w:val="18"/>
              </w:rPr>
              <w:t xml:space="preserve">  (b) Is lumpsum investment currently accepted?</w:t>
            </w:r>
          </w:p>
          <w:p>
            <w:pPr>
              <w:spacing w:after="40" w:before="40"/>
            </w:pPr>
            <w:r>
              <w:rPr>
                <w:rFonts w:ascii="Arial" w:cs="Arial" w:eastAsia="Arial" w:hAnsi="Arial"/>
                <w:color w:val="BA7517"/>
                <w:sz w:val="18"/>
                <w:szCs w:val="18"/>
              </w:rPr>
              <w:t xml:space="preserve">  (c) Has the AMC issued any suspension addendum in the last 3 months?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680"/>
        <w:gridCol w:w="2880"/>
      </w:tblGrid>
      <w:tr>
        <w:tc>
          <w:tcPr>
            <w:tcW w:type="dxa" w:w="30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Fund Name</w:t>
            </w:r>
          </w:p>
        </w:tc>
        <w:tc>
          <w:tcPr>
            <w:tcW w:type="dxa" w:w="18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SIP Status</w:t>
            </w:r>
          </w:p>
        </w:tc>
        <w:tc>
          <w:tcPr>
            <w:tcW w:type="dxa" w:w="168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Lumpsum</w:t>
            </w:r>
          </w:p>
        </w:tc>
        <w:tc>
          <w:tcPr>
            <w:tcW w:type="dxa" w:w="288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300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Kotak Nasdaq 100 FoF</w:t>
            </w:r>
          </w:p>
        </w:tc>
        <w:tc>
          <w:tcPr>
            <w:tcW w:type="dxa" w:w="180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center"/>
            </w:pPr>
            <w:r>
              <w:rPr>
                <w:rFonts w:ascii="Arial" w:cs="Arial" w:eastAsia="Arial" w:hAnsi="Arial"/>
                <w:b w:val="false"/>
                <w:bCs w:val="false"/>
                <w:color w:val="27500A"/>
                <w:sz w:val="17"/>
                <w:szCs w:val="17"/>
              </w:rPr>
              <w:t xml:space="preserve">OPEN</w:t>
            </w:r>
          </w:p>
        </w:tc>
        <w:tc>
          <w:tcPr>
            <w:tcW w:type="dxa" w:w="168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Open</w:t>
            </w:r>
          </w:p>
        </w:tc>
        <w:tc>
          <w:tcPr>
            <w:tcW w:type="dxa" w:w="288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Current portfolio fund — fully accessible</w:t>
            </w:r>
          </w:p>
        </w:tc>
      </w:tr>
      <w:tr>
        <w:tc>
          <w:tcPr>
            <w:tcW w:type="dxa" w:w="300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Navi Nasdaq 100 FoF</w:t>
            </w:r>
          </w:p>
        </w:tc>
        <w:tc>
          <w:tcPr>
            <w:tcW w:type="dxa" w:w="180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center"/>
            </w:pPr>
            <w:r>
              <w:rPr>
                <w:rFonts w:ascii="Arial" w:cs="Arial" w:eastAsia="Arial" w:hAnsi="Arial"/>
                <w:b w:val="false"/>
                <w:bCs w:val="false"/>
                <w:color w:val="27500A"/>
                <w:sz w:val="17"/>
                <w:szCs w:val="17"/>
              </w:rPr>
              <w:t xml:space="preserve">OPEN</w:t>
            </w:r>
          </w:p>
        </w:tc>
        <w:tc>
          <w:tcPr>
            <w:tcW w:type="dxa" w:w="168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Open</w:t>
            </w:r>
          </w:p>
        </w:tc>
        <w:tc>
          <w:tcPr>
            <w:tcW w:type="dxa" w:w="288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Lowest ER 0.16% — good backup option</w:t>
            </w:r>
          </w:p>
        </w:tc>
      </w:tr>
      <w:tr>
        <w:tc>
          <w:tcPr>
            <w:tcW w:type="dxa" w:w="300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MO Nasdaq 100 FoF</w:t>
            </w:r>
          </w:p>
        </w:tc>
        <w:tc>
          <w:tcPr>
            <w:tcW w:type="dxa" w:w="180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center"/>
            </w:pPr>
            <w:r>
              <w:rPr>
                <w:rFonts w:ascii="Arial" w:cs="Arial" w:eastAsia="Arial" w:hAnsi="Arial"/>
                <w:b w:val="false"/>
                <w:bCs w:val="false"/>
                <w:color w:val="A32D2D"/>
                <w:sz w:val="17"/>
                <w:szCs w:val="17"/>
              </w:rPr>
              <w:t xml:space="preserve">SUSPENDED</w:t>
            </w:r>
          </w:p>
        </w:tc>
        <w:tc>
          <w:tcPr>
            <w:tcW w:type="dxa" w:w="168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Blocked</w:t>
            </w:r>
          </w:p>
        </w:tc>
        <w:tc>
          <w:tcPr>
            <w:tcW w:type="dxa" w:w="288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Suspended Jan 2025 — monitor for reopening</w:t>
            </w:r>
          </w:p>
        </w:tc>
      </w:tr>
      <w:tr>
        <w:tc>
          <w:tcPr>
            <w:tcW w:type="dxa" w:w="300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MO S&amp;P 500 Index Fund</w:t>
            </w:r>
          </w:p>
        </w:tc>
        <w:tc>
          <w:tcPr>
            <w:tcW w:type="dxa" w:w="180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center"/>
            </w:pPr>
            <w:r>
              <w:rPr>
                <w:rFonts w:ascii="Arial" w:cs="Arial" w:eastAsia="Arial" w:hAnsi="Arial"/>
                <w:b w:val="false"/>
                <w:bCs w:val="false"/>
                <w:color w:val="A32D2D"/>
                <w:sz w:val="17"/>
                <w:szCs w:val="17"/>
              </w:rPr>
              <w:t xml:space="preserve">SUSPENDED</w:t>
            </w:r>
          </w:p>
        </w:tc>
        <w:tc>
          <w:tcPr>
            <w:tcW w:type="dxa" w:w="168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Blocked</w:t>
            </w:r>
          </w:p>
        </w:tc>
        <w:tc>
          <w:tcPr>
            <w:tcW w:type="dxa" w:w="288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Suspended Jan 2025</w:t>
            </w:r>
          </w:p>
        </w:tc>
      </w:tr>
      <w:tr>
        <w:tc>
          <w:tcPr>
            <w:tcW w:type="dxa" w:w="300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ICICI Pru Nasdaq 100</w:t>
            </w:r>
          </w:p>
        </w:tc>
        <w:tc>
          <w:tcPr>
            <w:tcW w:type="dxa" w:w="180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center"/>
            </w:pPr>
            <w:r>
              <w:rPr>
                <w:rFonts w:ascii="Arial" w:cs="Arial" w:eastAsia="Arial" w:hAnsi="Arial"/>
                <w:b w:val="false"/>
                <w:bCs w:val="false"/>
                <w:color w:val="A32D2D"/>
                <w:sz w:val="17"/>
                <w:szCs w:val="17"/>
              </w:rPr>
              <w:t xml:space="preserve">SUSPENDED</w:t>
            </w:r>
          </w:p>
        </w:tc>
        <w:tc>
          <w:tcPr>
            <w:tcW w:type="dxa" w:w="168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Blocked</w:t>
            </w:r>
          </w:p>
        </w:tc>
        <w:tc>
          <w:tcPr>
            <w:tcW w:type="dxa" w:w="288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Suspended — SEBI limit</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7"/>
                <w:szCs w:val="17"/>
              </w:rPr>
              <w:t xml:space="preserve">Franklin US Opportunities FoF</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Check AMC</w:t>
            </w:r>
          </w:p>
        </w:tc>
        <w:tc>
          <w:tcPr>
            <w:tcW w:type="dxa" w:w="1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Limited</w:t>
            </w:r>
          </w:p>
        </w:tc>
        <w:tc>
          <w:tcPr>
            <w:tcW w:type="dxa" w:w="28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7"/>
                <w:szCs w:val="17"/>
              </w:rPr>
              <w:t xml:space="preserve">Verify at each review</w:t>
            </w:r>
          </w:p>
        </w:tc>
      </w:tr>
    </w:tbl>
    <w:p>
      <w:r>
        <w:t xml:space="preserve"/>
      </w:r>
    </w:p>
    <w:p>
      <w:pPr>
        <w:pStyle w:val="Heading2"/>
        <w:spacing w:after="120" w:before="240"/>
      </w:pPr>
      <w:r>
        <w:rPr>
          <w:rFonts w:ascii="Arial" w:cs="Arial" w:eastAsia="Arial" w:hAnsi="Arial"/>
          <w:b/>
          <w:bCs/>
          <w:color w:val="4A8C5C"/>
          <w:sz w:val="26"/>
          <w:szCs w:val="26"/>
        </w:rPr>
        <w:t xml:space="preserve">13.2 Taxation Rules (Budget 2024 onward)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c>
          <w:tcPr>
            <w:tcW w:type="dxa" w:w="24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Fund Type</w:t>
            </w:r>
          </w:p>
        </w:tc>
        <w:tc>
          <w:tcPr>
            <w:tcW w:type="dxa" w:w="216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Holding Period</w:t>
            </w:r>
          </w:p>
        </w:tc>
        <w:tc>
          <w:tcPr>
            <w:tcW w:type="dxa" w:w="24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Tax Rate</w:t>
            </w:r>
          </w:p>
        </w:tc>
        <w:tc>
          <w:tcPr>
            <w:tcW w:type="dxa" w:w="2400"/>
            <w:gridSpan w:val="1"/>
            <w:tcBorders>
              <w:top w:val="single" w:color="AAAAAA" w:sz="4"/>
              <w:left w:val="single" w:color="AAAAAA" w:sz="4"/>
              <w:bottom w:val="single" w:color="AAAAAA" w:sz="4"/>
              <w:right w:val="single" w:color="AAAAAA" w:sz="4"/>
            </w:tcBorders>
            <w:shd w:fill="4A8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Exemption</w:t>
            </w:r>
          </w:p>
        </w:tc>
      </w:tr>
      <w:tr>
        <w:tc>
          <w:tcPr>
            <w:tcW w:type="dxa" w:w="240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left"/>
            </w:pPr>
            <w:r>
              <w:rPr>
                <w:rFonts w:ascii="Arial" w:cs="Arial" w:eastAsia="Arial" w:hAnsi="Arial"/>
                <w:b/>
                <w:bCs/>
                <w:color w:val="0F6E56"/>
                <w:sz w:val="17"/>
                <w:szCs w:val="17"/>
              </w:rPr>
              <w:t xml:space="preserve">Equity funds (domestic)</w:t>
            </w:r>
          </w:p>
        </w:tc>
        <w:tc>
          <w:tcPr>
            <w:tcW w:type="dxa" w:w="216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center"/>
            </w:pPr>
            <w:r>
              <w:rPr>
                <w:rFonts w:ascii="Arial" w:cs="Arial" w:eastAsia="Arial" w:hAnsi="Arial"/>
                <w:b w:val="false"/>
                <w:bCs w:val="false"/>
                <w:color w:val="0F6E56"/>
                <w:sz w:val="17"/>
                <w:szCs w:val="17"/>
              </w:rPr>
              <w:t xml:space="preserve">&lt; 1 year (STCG)</w:t>
            </w:r>
          </w:p>
        </w:tc>
        <w:tc>
          <w:tcPr>
            <w:tcW w:type="dxa" w:w="240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center"/>
            </w:pPr>
            <w:r>
              <w:rPr>
                <w:rFonts w:ascii="Arial" w:cs="Arial" w:eastAsia="Arial" w:hAnsi="Arial"/>
                <w:b w:val="false"/>
                <w:bCs w:val="false"/>
                <w:color w:val="A32D2D"/>
                <w:sz w:val="17"/>
                <w:szCs w:val="17"/>
              </w:rPr>
              <w:t xml:space="preserve">20%</w:t>
            </w:r>
          </w:p>
        </w:tc>
        <w:tc>
          <w:tcPr>
            <w:tcW w:type="dxa" w:w="240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center"/>
            </w:pPr>
            <w:r>
              <w:rPr>
                <w:rFonts w:ascii="Arial" w:cs="Arial" w:eastAsia="Arial" w:hAnsi="Arial"/>
                <w:b w:val="false"/>
                <w:bCs w:val="false"/>
                <w:color w:val="0F6E56"/>
                <w:sz w:val="17"/>
                <w:szCs w:val="17"/>
              </w:rPr>
              <w:t xml:space="preserve">No exemption</w:t>
            </w:r>
          </w:p>
        </w:tc>
      </w:tr>
      <w:tr>
        <w:tc>
          <w:tcPr>
            <w:tcW w:type="dxa" w:w="240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left"/>
            </w:pPr>
            <w:r>
              <w:rPr>
                <w:rFonts w:ascii="Arial" w:cs="Arial" w:eastAsia="Arial" w:hAnsi="Arial"/>
                <w:b/>
                <w:bCs/>
                <w:color w:val="0F6E56"/>
                <w:sz w:val="17"/>
                <w:szCs w:val="17"/>
              </w:rPr>
              <w:t xml:space="preserve">Equity funds (domestic)</w:t>
            </w:r>
          </w:p>
        </w:tc>
        <w:tc>
          <w:tcPr>
            <w:tcW w:type="dxa" w:w="216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center"/>
            </w:pPr>
            <w:r>
              <w:rPr>
                <w:rFonts w:ascii="Arial" w:cs="Arial" w:eastAsia="Arial" w:hAnsi="Arial"/>
                <w:b w:val="false"/>
                <w:bCs w:val="false"/>
                <w:color w:val="0F6E56"/>
                <w:sz w:val="17"/>
                <w:szCs w:val="17"/>
              </w:rPr>
              <w:t xml:space="preserve">&gt; 1 year (LTCG)</w:t>
            </w:r>
          </w:p>
        </w:tc>
        <w:tc>
          <w:tcPr>
            <w:tcW w:type="dxa" w:w="240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center"/>
            </w:pPr>
            <w:r>
              <w:rPr>
                <w:rFonts w:ascii="Arial" w:cs="Arial" w:eastAsia="Arial" w:hAnsi="Arial"/>
                <w:b w:val="false"/>
                <w:bCs w:val="false"/>
                <w:color w:val="0F6E56"/>
                <w:sz w:val="17"/>
                <w:szCs w:val="17"/>
              </w:rPr>
              <w:t xml:space="preserve">12.5%</w:t>
            </w:r>
          </w:p>
        </w:tc>
        <w:tc>
          <w:tcPr>
            <w:tcW w:type="dxa" w:w="240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center"/>
            </w:pPr>
            <w:r>
              <w:rPr>
                <w:rFonts w:ascii="Arial" w:cs="Arial" w:eastAsia="Arial" w:hAnsi="Arial"/>
                <w:b w:val="false"/>
                <w:bCs w:val="false"/>
                <w:color w:val="0F6E56"/>
                <w:sz w:val="17"/>
                <w:szCs w:val="17"/>
              </w:rPr>
              <w:t xml:space="preserve">Rs 1.25 lakh per financial year</w:t>
            </w:r>
          </w:p>
        </w:tc>
      </w:tr>
      <w:tr>
        <w:tc>
          <w:tcPr>
            <w:tcW w:type="dxa" w:w="240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left"/>
            </w:pPr>
            <w:r>
              <w:rPr>
                <w:rFonts w:ascii="Arial" w:cs="Arial" w:eastAsia="Arial" w:hAnsi="Arial"/>
                <w:b/>
                <w:bCs/>
                <w:color w:val="0F6E56"/>
                <w:sz w:val="17"/>
                <w:szCs w:val="17"/>
              </w:rPr>
              <w:t xml:space="preserve">International FoF (Nasdaq etc.)</w:t>
            </w:r>
          </w:p>
        </w:tc>
        <w:tc>
          <w:tcPr>
            <w:tcW w:type="dxa" w:w="216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center"/>
            </w:pPr>
            <w:r>
              <w:rPr>
                <w:rFonts w:ascii="Arial" w:cs="Arial" w:eastAsia="Arial" w:hAnsi="Arial"/>
                <w:b w:val="false"/>
                <w:bCs w:val="false"/>
                <w:color w:val="0F6E56"/>
                <w:sz w:val="17"/>
                <w:szCs w:val="17"/>
              </w:rPr>
              <w:t xml:space="preserve">&lt; 3 years</w:t>
            </w:r>
          </w:p>
        </w:tc>
        <w:tc>
          <w:tcPr>
            <w:tcW w:type="dxa" w:w="240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center"/>
            </w:pPr>
            <w:r>
              <w:rPr>
                <w:rFonts w:ascii="Arial" w:cs="Arial" w:eastAsia="Arial" w:hAnsi="Arial"/>
                <w:b w:val="false"/>
                <w:bCs w:val="false"/>
                <w:color w:val="A32D2D"/>
                <w:sz w:val="17"/>
                <w:szCs w:val="17"/>
              </w:rPr>
              <w:t xml:space="preserve">Slab rate (as income)</w:t>
            </w:r>
          </w:p>
        </w:tc>
        <w:tc>
          <w:tcPr>
            <w:tcW w:type="dxa" w:w="240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center"/>
            </w:pPr>
            <w:r>
              <w:rPr>
                <w:rFonts w:ascii="Arial" w:cs="Arial" w:eastAsia="Arial" w:hAnsi="Arial"/>
                <w:b w:val="false"/>
                <w:bCs w:val="false"/>
                <w:color w:val="0F6E56"/>
                <w:sz w:val="17"/>
                <w:szCs w:val="17"/>
              </w:rPr>
              <w:t xml:space="preserve">No indexation benefit</w:t>
            </w:r>
          </w:p>
        </w:tc>
      </w:tr>
      <w:tr>
        <w:tc>
          <w:tcPr>
            <w:tcW w:type="dxa" w:w="240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left"/>
            </w:pPr>
            <w:r>
              <w:rPr>
                <w:rFonts w:ascii="Arial" w:cs="Arial" w:eastAsia="Arial" w:hAnsi="Arial"/>
                <w:b/>
                <w:bCs/>
                <w:color w:val="0F6E56"/>
                <w:sz w:val="17"/>
                <w:szCs w:val="17"/>
              </w:rPr>
              <w:t xml:space="preserve">International FoF (Nasdaq etc.)</w:t>
            </w:r>
          </w:p>
        </w:tc>
        <w:tc>
          <w:tcPr>
            <w:tcW w:type="dxa" w:w="216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center"/>
            </w:pPr>
            <w:r>
              <w:rPr>
                <w:rFonts w:ascii="Arial" w:cs="Arial" w:eastAsia="Arial" w:hAnsi="Arial"/>
                <w:b w:val="false"/>
                <w:bCs w:val="false"/>
                <w:color w:val="0F6E56"/>
                <w:sz w:val="17"/>
                <w:szCs w:val="17"/>
              </w:rPr>
              <w:t xml:space="preserve">&gt; 3 years</w:t>
            </w:r>
          </w:p>
        </w:tc>
        <w:tc>
          <w:tcPr>
            <w:tcW w:type="dxa" w:w="240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center"/>
            </w:pPr>
            <w:r>
              <w:rPr>
                <w:rFonts w:ascii="Arial" w:cs="Arial" w:eastAsia="Arial" w:hAnsi="Arial"/>
                <w:b w:val="false"/>
                <w:bCs w:val="false"/>
                <w:color w:val="0F6E56"/>
                <w:sz w:val="17"/>
                <w:szCs w:val="17"/>
              </w:rPr>
              <w:t xml:space="preserve">12.5% LTCG</w:t>
            </w:r>
          </w:p>
        </w:tc>
        <w:tc>
          <w:tcPr>
            <w:tcW w:type="dxa" w:w="240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center"/>
            </w:pPr>
            <w:r>
              <w:rPr>
                <w:rFonts w:ascii="Arial" w:cs="Arial" w:eastAsia="Arial" w:hAnsi="Arial"/>
                <w:b w:val="false"/>
                <w:bCs w:val="false"/>
                <w:color w:val="0F6E56"/>
                <w:sz w:val="17"/>
                <w:szCs w:val="17"/>
              </w:rPr>
              <w:t xml:space="preserve">No indexation benefit</w:t>
            </w:r>
          </w:p>
        </w:tc>
      </w:tr>
      <w:tr>
        <w:tc>
          <w:tcPr>
            <w:tcW w:type="dxa" w:w="240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left"/>
            </w:pPr>
            <w:r>
              <w:rPr>
                <w:rFonts w:ascii="Arial" w:cs="Arial" w:eastAsia="Arial" w:hAnsi="Arial"/>
                <w:b/>
                <w:bCs/>
                <w:color w:val="0F6E56"/>
                <w:sz w:val="17"/>
                <w:szCs w:val="17"/>
              </w:rPr>
              <w:t xml:space="preserve">Thematic funds (&gt;= 65% domestic equity)</w:t>
            </w:r>
          </w:p>
        </w:tc>
        <w:tc>
          <w:tcPr>
            <w:tcW w:type="dxa" w:w="216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center"/>
            </w:pPr>
            <w:r>
              <w:rPr>
                <w:rFonts w:ascii="Arial" w:cs="Arial" w:eastAsia="Arial" w:hAnsi="Arial"/>
                <w:b w:val="false"/>
                <w:bCs w:val="false"/>
                <w:color w:val="0F6E56"/>
                <w:sz w:val="17"/>
                <w:szCs w:val="17"/>
              </w:rPr>
              <w:t xml:space="preserve">&lt; 1 year (STCG)</w:t>
            </w:r>
          </w:p>
        </w:tc>
        <w:tc>
          <w:tcPr>
            <w:tcW w:type="dxa" w:w="240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center"/>
            </w:pPr>
            <w:r>
              <w:rPr>
                <w:rFonts w:ascii="Arial" w:cs="Arial" w:eastAsia="Arial" w:hAnsi="Arial"/>
                <w:b w:val="false"/>
                <w:bCs w:val="false"/>
                <w:color w:val="A32D2D"/>
                <w:sz w:val="17"/>
                <w:szCs w:val="17"/>
              </w:rPr>
              <w:t xml:space="preserve">20%</w:t>
            </w:r>
          </w:p>
        </w:tc>
        <w:tc>
          <w:tcPr>
            <w:tcW w:type="dxa" w:w="2400"/>
            <w:tcBorders>
              <w:top w:val="single" w:color="AAAAAA" w:sz="4"/>
              <w:left w:val="single" w:color="AAAAAA" w:sz="4"/>
              <w:bottom w:val="single" w:color="AAAAAA" w:sz="4"/>
              <w:right w:val="single" w:color="AAAAAA" w:sz="4"/>
            </w:tcBorders>
            <w:shd w:fill="FCEBEB" w:val="clear"/>
            <w:tcMar>
              <w:top w:type="dxa" w:w="60"/>
              <w:left w:type="dxa" w:w="120"/>
              <w:bottom w:type="dxa" w:w="60"/>
              <w:right w:type="dxa" w:w="120"/>
            </w:tcMar>
            <w:vAlign w:val="center"/>
          </w:tcPr>
          <w:p>
            <w:pPr>
              <w:jc w:val="center"/>
            </w:pPr>
            <w:r>
              <w:rPr>
                <w:rFonts w:ascii="Arial" w:cs="Arial" w:eastAsia="Arial" w:hAnsi="Arial"/>
                <w:b w:val="false"/>
                <w:bCs w:val="false"/>
                <w:color w:val="0F6E56"/>
                <w:sz w:val="17"/>
                <w:szCs w:val="17"/>
              </w:rPr>
              <w:t xml:space="preserve">Equity tax treatment</w:t>
            </w:r>
          </w:p>
        </w:tc>
      </w:tr>
      <w:tr>
        <w:tc>
          <w:tcPr>
            <w:tcW w:type="dxa" w:w="240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left"/>
            </w:pPr>
            <w:r>
              <w:rPr>
                <w:rFonts w:ascii="Arial" w:cs="Arial" w:eastAsia="Arial" w:hAnsi="Arial"/>
                <w:b/>
                <w:bCs/>
                <w:color w:val="0F6E56"/>
                <w:sz w:val="17"/>
                <w:szCs w:val="17"/>
              </w:rPr>
              <w:t xml:space="preserve">Thematic funds (&gt;= 65% domestic equity)</w:t>
            </w:r>
          </w:p>
        </w:tc>
        <w:tc>
          <w:tcPr>
            <w:tcW w:type="dxa" w:w="216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center"/>
            </w:pPr>
            <w:r>
              <w:rPr>
                <w:rFonts w:ascii="Arial" w:cs="Arial" w:eastAsia="Arial" w:hAnsi="Arial"/>
                <w:b w:val="false"/>
                <w:bCs w:val="false"/>
                <w:color w:val="0F6E56"/>
                <w:sz w:val="17"/>
                <w:szCs w:val="17"/>
              </w:rPr>
              <w:t xml:space="preserve">&gt; 1 year (LTCG)</w:t>
            </w:r>
          </w:p>
        </w:tc>
        <w:tc>
          <w:tcPr>
            <w:tcW w:type="dxa" w:w="240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center"/>
            </w:pPr>
            <w:r>
              <w:rPr>
                <w:rFonts w:ascii="Arial" w:cs="Arial" w:eastAsia="Arial" w:hAnsi="Arial"/>
                <w:b w:val="false"/>
                <w:bCs w:val="false"/>
                <w:color w:val="0F6E56"/>
                <w:sz w:val="17"/>
                <w:szCs w:val="17"/>
              </w:rPr>
              <w:t xml:space="preserve">12.5%</w:t>
            </w:r>
          </w:p>
        </w:tc>
        <w:tc>
          <w:tcPr>
            <w:tcW w:type="dxa" w:w="2400"/>
            <w:tcBorders>
              <w:top w:val="single" w:color="AAAAAA" w:sz="4"/>
              <w:left w:val="single" w:color="AAAAAA" w:sz="4"/>
              <w:bottom w:val="single" w:color="AAAAAA" w:sz="4"/>
              <w:right w:val="single" w:color="AAAAAA" w:sz="4"/>
            </w:tcBorders>
            <w:shd w:fill="EAF3DE" w:val="clear"/>
            <w:tcMar>
              <w:top w:type="dxa" w:w="60"/>
              <w:left w:type="dxa" w:w="120"/>
              <w:bottom w:type="dxa" w:w="60"/>
              <w:right w:type="dxa" w:w="120"/>
            </w:tcMar>
            <w:vAlign w:val="center"/>
          </w:tcPr>
          <w:p>
            <w:pPr>
              <w:jc w:val="center"/>
            </w:pPr>
            <w:r>
              <w:rPr>
                <w:rFonts w:ascii="Arial" w:cs="Arial" w:eastAsia="Arial" w:hAnsi="Arial"/>
                <w:b w:val="false"/>
                <w:bCs w:val="false"/>
                <w:color w:val="0F6E56"/>
                <w:sz w:val="17"/>
                <w:szCs w:val="17"/>
              </w:rPr>
              <w:t xml:space="preserve">Rs 1.25 lakh exemption</w:t>
            </w:r>
          </w:p>
        </w:tc>
      </w:tr>
    </w:tbl>
    <w:p>
      <w:r>
        <w:t xml:space="preserve"/>
      </w:r>
    </w:p>
    <w:p>
      <w:r>
        <w:t xml:space="preserve"/>
      </w:r>
    </w:p>
    <w:p>
      <w:r>
        <w:br w:type="page"/>
      </w:r>
    </w:p>
    <w:p>
      <w:pPr>
        <w:pStyle w:val="Heading1"/>
        <w:pBdr>
          <w:bottom w:val="single" w:color="1A5C3A" w:sz="8" w:space="4"/>
        </w:pBdr>
        <w:spacing w:after="160" w:before="320"/>
      </w:pPr>
      <w:r>
        <w:rPr>
          <w:rFonts w:ascii="Arial" w:cs="Arial" w:eastAsia="Arial" w:hAnsi="Arial"/>
          <w:b/>
          <w:bCs/>
          <w:color w:val="1A5C3A"/>
          <w:sz w:val="32"/>
          <w:szCs w:val="32"/>
        </w:rPr>
        <w:t xml:space="preserve">14. SEBI-Compliant Advisory Disclaimer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2"/>
              <w:left w:val="single" w:color="1A5C3A" w:sz="12"/>
              <w:bottom w:val="single" w:color="1A5C3A" w:sz="12"/>
              <w:right w:val="single" w:color="1A5C3A" w:sz="12"/>
            </w:tcBorders>
            <w:shd w:fill="E1F5EE" w:val="clear"/>
            <w:tcMar>
              <w:top w:type="dxa" w:w="160"/>
              <w:left w:type="dxa" w:w="240"/>
              <w:bottom w:type="dxa" w:w="160"/>
              <w:right w:type="dxa" w:w="240"/>
            </w:tcMar>
          </w:tcPr>
          <w:p>
            <w:pPr>
              <w:spacing w:after="80"/>
            </w:pPr>
            <w:r>
              <w:rPr>
                <w:rFonts w:ascii="Arial" w:cs="Arial" w:eastAsia="Arial" w:hAnsi="Arial"/>
                <w:b/>
                <w:bCs/>
                <w:color w:val="1A5C3A"/>
                <w:sz w:val="22"/>
                <w:szCs w:val="22"/>
              </w:rPr>
              <w:t xml:space="preserve">IMPORTANT DISCLAIMER</w:t>
            </w:r>
          </w:p>
          <w:p>
            <w:pPr>
              <w:spacing w:after="60"/>
            </w:pPr>
            <w:r>
              <w:rPr>
                <w:rFonts w:ascii="Arial" w:cs="Arial" w:eastAsia="Arial" w:hAnsi="Arial"/>
                <w:color w:val="000000"/>
                <w:sz w:val="18"/>
                <w:szCs w:val="18"/>
              </w:rPr>
              <w:t xml:space="preserve">This document is prepared for educational and informational purposes only. It is generated by an AI-based research tool trained on publicly available mutual fund data and market research.</w:t>
            </w:r>
          </w:p>
          <w:p>
            <w:pPr>
              <w:spacing w:after="60"/>
            </w:pPr>
            <w:r>
              <w:rPr>
                <w:rFonts w:ascii="Arial" w:cs="Arial" w:eastAsia="Arial" w:hAnsi="Arial"/>
                <w:color w:val="000000"/>
                <w:sz w:val="18"/>
                <w:szCs w:val="18"/>
              </w:rPr>
              <w:t xml:space="preserve">Historical returns do not guarantee future performance. Mutual fund investments are subject to market risks. Please read all scheme-related documents carefully before investing.</w:t>
            </w:r>
          </w:p>
          <w:p>
            <w:pPr>
              <w:spacing w:after="60"/>
            </w:pPr>
            <w:r>
              <w:rPr>
                <w:rFonts w:ascii="Arial" w:cs="Arial" w:eastAsia="Arial" w:hAnsi="Arial"/>
                <w:color w:val="000000"/>
                <w:sz w:val="18"/>
                <w:szCs w:val="18"/>
              </w:rPr>
              <w:t xml:space="preserve">This document does NOT constitute registered investment advice under SEBI (Investment Advisers) Regulations, 2013. For personalized advice, consult a SEBI-registered investment advisor.</w:t>
            </w:r>
          </w:p>
          <w:p>
            <w:pPr>
              <w:spacing w:after="60"/>
            </w:pPr>
            <w:r>
              <w:rPr>
                <w:rFonts w:ascii="Arial" w:cs="Arial" w:eastAsia="Arial" w:hAnsi="Arial"/>
                <w:color w:val="000000"/>
                <w:sz w:val="18"/>
                <w:szCs w:val="18"/>
              </w:rPr>
              <w:t xml:space="preserve">Past rankings and ratings may change based on market conditions. Alpha, Sharpe, Sortino, and other risk ratios are derived from publicly available aggregator data and may vary across sources and calculation windows.</w:t>
            </w:r>
          </w:p>
          <w:p>
            <w:pPr>
              <w:spacing w:after="0"/>
            </w:pPr>
            <w:r>
              <w:rPr>
                <w:rFonts w:ascii="Arial" w:cs="Arial" w:eastAsia="Arial" w:hAnsi="Arial"/>
                <w:color w:val="000000"/>
                <w:sz w:val="18"/>
                <w:szCs w:val="18"/>
              </w:rPr>
              <w:t xml:space="preserve">The investor should consider their complete financial situation — including emergency fund adequacy, insurance coverage, tax bracket, and all financial goals — before making any investment decisions.</w:t>
            </w:r>
          </w:p>
        </w:tc>
      </w:tr>
    </w:tbl>
    <w:p>
      <w:r>
        <w:t xml:space="preserve"/>
      </w:r>
    </w:p>
    <w:p>
      <w:r>
        <w:t xml:space="preserve"/>
      </w:r>
    </w:p>
    <w:p>
      <w:pPr>
        <w:spacing w:after="40" w:before="120"/>
        <w:jc w:val="center"/>
      </w:pPr>
      <w:r>
        <w:rPr>
          <w:rFonts w:ascii="Arial" w:cs="Arial" w:eastAsia="Arial" w:hAnsi="Arial"/>
          <w:i/>
          <w:iCs/>
          <w:color w:val="4A8C5C"/>
          <w:sz w:val="18"/>
          <w:szCs w:val="18"/>
        </w:rPr>
        <w:t xml:space="preserve">Mutual Fund Portfolio Selection &amp; Review Guide  |  Version 2.0  |  June 2026</w:t>
      </w:r>
    </w:p>
    <w:p>
      <w:pPr>
        <w:spacing w:after="0" w:before="0"/>
        <w:jc w:val="center"/>
      </w:pPr>
      <w:r>
        <w:rPr>
          <w:rFonts w:ascii="Arial" w:cs="Arial" w:eastAsia="Arial" w:hAnsi="Arial"/>
          <w:i/>
          <w:iCs/>
          <w:color w:val="888888"/>
          <w:sz w:val="18"/>
          <w:szCs w:val="18"/>
        </w:rPr>
        <w:t xml:space="preserve">Generated by SEBI-Aware CFA Agent  |  Next Review: December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C3A" w:sz="6" w:space="4"/>
      </w:pBdr>
      <w:tabs>
        <w:tab w:val="right" w:pos="9026"/>
      </w:tabs>
      <w:spacing w:before="80"/>
    </w:pPr>
    <w:r>
      <w:rPr>
        <w:rFonts w:ascii="Arial" w:cs="Arial" w:eastAsia="Arial" w:hAnsi="Arial"/>
        <w:color w:val="888888"/>
        <w:sz w:val="16"/>
        <w:szCs w:val="16"/>
      </w:rPr>
      <w:t xml:space="preserve">Confidential | For Educational Use Only  |  Not SEBI-registered Investment Advice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3A" w:sz="6" w:space="4"/>
      </w:pBdr>
      <w:spacing w:after="120"/>
    </w:pPr>
    <w:r>
      <w:rPr>
        <w:rFonts w:ascii="Arial" w:cs="Arial" w:eastAsia="Arial" w:hAnsi="Arial"/>
        <w:color w:val="4A8C5C"/>
        <w:sz w:val="16"/>
        <w:szCs w:val="16"/>
      </w:rPr>
      <w:t xml:space="preserve">Mutual Fund Portfolio Selection &amp; Review Guide  |  SEBI-Aware CFA Agent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C3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A8C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2026-06-10T07:15:42.138Z</dcterms:created>
  <dcterms:modified xsi:type="dcterms:W3CDTF">2026-06-10T07:15:42.138Z</dcterms:modified>
</cp:coreProperties>
</file>

<file path=docProps/custom.xml><?xml version="1.0" encoding="utf-8"?>
<Properties xmlns="http://schemas.openxmlformats.org/officeDocument/2006/custom-properties" xmlns:vt="http://schemas.openxmlformats.org/officeDocument/2006/docPropsVTypes"/>
</file>