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Georgia" w:cs="Georgia" w:eastAsia="Georgia" w:hAnsi="Georgia"/>
          <w:b/>
          <w:bCs/>
          <w:color w:val="1A1A1A"/>
          <w:sz w:val="44"/>
          <w:szCs w:val="44"/>
        </w:rPr>
        <w:t xml:space="preserve">Srikanth Turpu</w:t>
      </w:r>
    </w:p>
    <w:p>
      <w:pPr>
        <w:spacing w:after="100"/>
        <w:jc w:val="center"/>
      </w:pPr>
      <w:r>
        <w:rPr>
          <w:rFonts w:ascii="Georgia" w:cs="Georgia" w:eastAsia="Georgia" w:hAnsi="Georgia"/>
          <w:i/>
          <w:iCs/>
          <w:color w:val="8A6D3B"/>
          <w:sz w:val="23"/>
          <w:szCs w:val="23"/>
        </w:rPr>
        <w:t xml:space="preserve">SDET &amp; Associate Architect QE</w:t>
      </w:r>
    </w:p>
    <w:p>
      <w:pPr>
        <w:pBdr>
          <w:top w:val="single" w:color="8A6D3B" w:sz="4" w:space="5"/>
        </w:pBdr>
        <w:spacing w:after="180"/>
        <w:jc w:val="center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Hyderabad   •   </w:t>
      </w:r>
      <w:r>
        <w:rPr>
          <w:rFonts w:ascii="Calibri" w:cs="Calibri" w:eastAsia="Calibri" w:hAnsi="Calibri"/>
          <w:b/>
          <w:bCs/>
          <w:color w:val="8A6D3B"/>
          <w:sz w:val="20"/>
          <w:szCs w:val="20"/>
        </w:rPr>
        <w:t xml:space="preserve">+91 9032903214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   •   srikanth.turpu@gmail.com</w:t>
      </w:r>
    </w:p>
    <w:p>
      <w:pPr>
        <w:keepNext/>
        <w:keepLines/>
        <w:pBdr>
          <w:top w:val="single" w:color="8A6D3B" w:sz="6" w:space="4"/>
          <w:bottom w:val="single" w:color="8A6D3B" w:sz="6" w:space="3"/>
        </w:pBdr>
        <w:spacing w:after="110" w:before="240"/>
      </w:pPr>
      <w:r>
        <w:rPr>
          <w:rFonts w:ascii="Georgia" w:cs="Georgia" w:eastAsia="Georgia" w:hAnsi="Georgia"/>
          <w:b/>
          <w:bCs/>
          <w:caps/>
          <w:color w:val="8A6D3B"/>
          <w:spacing w:val="20"/>
          <w:sz w:val="23"/>
          <w:szCs w:val="23"/>
        </w:rPr>
        <w:t xml:space="preserve">Professional Summary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Senior SDET and hands-on Quality Engineering professional with 14 years of experience as both an individual contributor and team lead, designing, building, and maintaining end-to-end test automation frameworks across web, mobile, and API layers. Leads cross-functional teams, mentors QA engineers, and aligns testing strategy with business goals — consistently delivering high-quality, production-ready software faster.</w:t>
      </w:r>
    </w:p>
    <w:p>
      <w:pPr>
        <w:keepNext/>
        <w:keepLines/>
        <w:pBdr>
          <w:top w:val="single" w:color="8A6D3B" w:sz="6" w:space="4"/>
          <w:bottom w:val="single" w:color="8A6D3B" w:sz="6" w:space="3"/>
        </w:pBdr>
        <w:spacing w:after="110" w:before="240"/>
      </w:pPr>
      <w:r>
        <w:rPr>
          <w:rFonts w:ascii="Georgia" w:cs="Georgia" w:eastAsia="Georgia" w:hAnsi="Georgia"/>
          <w:b/>
          <w:bCs/>
          <w:caps/>
          <w:color w:val="8A6D3B"/>
          <w:spacing w:val="20"/>
          <w:sz w:val="23"/>
          <w:szCs w:val="23"/>
        </w:rPr>
        <w:t xml:space="preserve">Career Highlights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Hands-on individual contributor and QA Architect building cross-browser test automation frameworks with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Playwright, Cypress, Selenium, Appium, and Robot Framework.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As a QE AI Engineer, built an AI QA Agent using Claude Code and Jira/Xray/GitHub APIs, significantly reducing manual test case creation effort and accelerating automation script generation.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Built a QE AI agent that scores functional, scenario, and negative-path test coverage per feature.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Integrated automated testing into CI/CD pipelines (GitHub Actions, Jenkins) for continuous validation on every release.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Built domain expertise across Healthcare, E-Commerce, Mobile, OTT, and Enterprise applications over 14+ years.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Own end-to-end test planning, execution, and defect tracking, translating requirements into effective test strategies.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Lead and mentor QA teams alongside individual-contributor work, fostering a collaborative, high-performing testing culture.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Proactively identify and communicate risks and dependencies that could impact testing timelines.</w:t>
      </w:r>
    </w:p>
    <w:p>
      <w:pPr>
        <w:keepNext/>
        <w:keepLines/>
        <w:pBdr>
          <w:top w:val="single" w:color="8A6D3B" w:sz="6" w:space="4"/>
          <w:bottom w:val="single" w:color="8A6D3B" w:sz="6" w:space="3"/>
        </w:pBdr>
        <w:spacing w:after="110" w:before="240"/>
      </w:pPr>
      <w:r>
        <w:rPr>
          <w:rFonts w:ascii="Georgia" w:cs="Georgia" w:eastAsia="Georgia" w:hAnsi="Georgia"/>
          <w:b/>
          <w:bCs/>
          <w:caps/>
          <w:color w:val="8A6D3B"/>
          <w:spacing w:val="20"/>
          <w:sz w:val="23"/>
          <w:szCs w:val="23"/>
        </w:rPr>
        <w:t xml:space="preserve">Technical Skills</w:t>
      </w:r>
    </w:p>
    <w:p>
      <w:pPr>
        <w:spacing w:after="70" w:line="268"/>
        <w:jc w:val="both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Core Skills: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Playwright, Cypress, Robot Framework, Selenium, Appium</w:t>
      </w:r>
    </w:p>
    <w:p>
      <w:pPr>
        <w:spacing w:after="70" w:line="268"/>
        <w:jc w:val="both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Secondary Skills: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TypeScript, Core Java, Basic Python, API Testing, CI/CD, GitHub, Bitbucket, TestRail, X-Ray, Jira</w:t>
      </w:r>
    </w:p>
    <w:p>
      <w:pPr>
        <w:spacing w:after="70" w:line="268"/>
        <w:jc w:val="both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AI Tools: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Claude Code, Playwright MCP, Augment Code, Codex, ChatGPT, Gemini AI, GenAI Test Agents</w:t>
      </w:r>
    </w:p>
    <w:p>
      <w:pPr>
        <w:keepNext/>
        <w:keepLines/>
        <w:pBdr>
          <w:top w:val="single" w:color="8A6D3B" w:sz="6" w:space="4"/>
          <w:bottom w:val="single" w:color="8A6D3B" w:sz="6" w:space="3"/>
        </w:pBdr>
        <w:spacing w:after="110" w:before="240"/>
      </w:pPr>
      <w:r>
        <w:rPr>
          <w:rFonts w:ascii="Georgia" w:cs="Georgia" w:eastAsia="Georgia" w:hAnsi="Georgia"/>
          <w:b/>
          <w:bCs/>
          <w:caps/>
          <w:color w:val="8A6D3B"/>
          <w:spacing w:val="20"/>
          <w:sz w:val="23"/>
          <w:szCs w:val="23"/>
        </w:rPr>
        <w:t xml:space="preserve">Professional Experience</w:t>
      </w:r>
    </w:p>
    <w:p>
      <w:pPr>
        <w:tabs>
          <w:tab w:val="right" w:pos="9360"/>
        </w:tabs>
        <w:spacing w:after="40" w:before="13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ValueLabs Technologies</w:t>
      </w:r>
      <w:r>
        <w:rPr>
          <w:rFonts w:ascii="Calibri" w:cs="Calibri" w:eastAsia="Calibri" w:hAnsi="Calibri"/>
          <w:i/>
          <w:iCs/>
          <w:color w:val="2B2B2B"/>
          <w:sz w:val="20"/>
          <w:szCs w:val="20"/>
        </w:rPr>
        <w:t xml:space="preserve">	Sep 2013 – Present</w:t>
      </w:r>
    </w:p>
    <w:p>
      <w:pPr>
        <w:tabs>
          <w:tab w:val="right" w:pos="9360"/>
        </w:tabs>
        <w:spacing w:after="40" w:before="13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CMC Limited</w:t>
      </w:r>
      <w:r>
        <w:rPr>
          <w:rFonts w:ascii="Calibri" w:cs="Calibri" w:eastAsia="Calibri" w:hAnsi="Calibri"/>
          <w:i/>
          <w:iCs/>
          <w:color w:val="2B2B2B"/>
          <w:sz w:val="20"/>
          <w:szCs w:val="20"/>
        </w:rPr>
        <w:t xml:space="preserve">	Jul 2012 – Sep 2013</w:t>
      </w:r>
    </w:p>
    <w:p>
      <w:pPr>
        <w:keepNext/>
        <w:keepLines/>
        <w:pBdr>
          <w:top w:val="single" w:color="8A6D3B" w:sz="6" w:space="4"/>
          <w:bottom w:val="single" w:color="8A6D3B" w:sz="6" w:space="3"/>
        </w:pBdr>
        <w:spacing w:after="110" w:before="240"/>
      </w:pPr>
      <w:r>
        <w:rPr>
          <w:rFonts w:ascii="Georgia" w:cs="Georgia" w:eastAsia="Georgia" w:hAnsi="Georgia"/>
          <w:b/>
          <w:bCs/>
          <w:caps/>
          <w:color w:val="8A6D3B"/>
          <w:spacing w:val="20"/>
          <w:sz w:val="23"/>
          <w:szCs w:val="23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Master of Computer Applications (MCA)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B.Sc. Computers</w:t>
      </w:r>
    </w:p>
    <w:p>
      <w:pPr>
        <w:keepNext/>
        <w:keepLines/>
        <w:pBdr>
          <w:top w:val="single" w:color="8A6D3B" w:sz="6" w:space="4"/>
          <w:bottom w:val="single" w:color="8A6D3B" w:sz="6" w:space="3"/>
        </w:pBdr>
        <w:spacing w:after="110" w:before="240"/>
      </w:pPr>
      <w:r>
        <w:rPr>
          <w:rFonts w:ascii="Georgia" w:cs="Georgia" w:eastAsia="Georgia" w:hAnsi="Georgia"/>
          <w:b/>
          <w:bCs/>
          <w:caps/>
          <w:color w:val="8A6D3B"/>
          <w:spacing w:val="20"/>
          <w:sz w:val="23"/>
          <w:szCs w:val="23"/>
        </w:rPr>
        <w:t xml:space="preserve">Awards &amp; Achievements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In ValueLabs Technologies: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Star of the Month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Employee of the Quarter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Best Employee</w:t>
      </w:r>
    </w:p>
    <w:p>
      <w:pPr>
        <w:keepNext/>
        <w:keepLines/>
        <w:pageBreakBefore/>
        <w:pBdr>
          <w:top w:val="single" w:color="8A6D3B" w:sz="6" w:space="4"/>
        </w:pBdr>
        <w:spacing w:after="110" w:before="240"/>
      </w:pPr>
      <w:r>
        <w:rPr>
          <w:rFonts w:ascii="Georgia" w:cs="Georgia" w:eastAsia="Georgia" w:hAnsi="Georgia"/>
          <w:b/>
          <w:bCs/>
          <w:caps/>
          <w:color w:val="8A6D3B"/>
          <w:spacing w:val="20"/>
          <w:sz w:val="23"/>
          <w:szCs w:val="23"/>
        </w:rPr>
        <w:t xml:space="preserve">Projects</w:t>
      </w:r>
    </w:p>
    <w:p>
      <w:pPr>
        <w:keepNext/>
        <w:keepLines/>
        <w:pBdr>
          <w:top w:val="single" w:color="8A6D3B" w:sz="4" w:space="3"/>
          <w:bottom w:val="single" w:color="8A6D3B" w:sz="4" w:space="3"/>
        </w:pBdr>
        <w:tabs>
          <w:tab w:val="right" w:pos="9360"/>
        </w:tabs>
        <w:spacing w:after="60" w:before="150"/>
      </w:pPr>
      <w:r>
        <w:rPr>
          <w:rFonts w:ascii="Georgia" w:cs="Georgia" w:eastAsia="Georgia" w:hAnsi="Georgia"/>
          <w:b/>
          <w:bCs/>
          <w:color w:val="8A6D3B"/>
          <w:sz w:val="21"/>
          <w:szCs w:val="21"/>
        </w:rPr>
        <w:t xml:space="preserve">Client Project: Artemis Health</w:t>
      </w:r>
      <w:r>
        <w:rPr>
          <w:rFonts w:ascii="Calibri" w:cs="Calibri" w:eastAsia="Calibri" w:hAnsi="Calibri"/>
          <w:i/>
          <w:iCs/>
          <w:color w:val="2B2B2B"/>
          <w:sz w:val="20"/>
          <w:szCs w:val="20"/>
        </w:rPr>
        <w:t xml:space="preserve">	Mar 2022 – Present</w:t>
      </w:r>
    </w:p>
    <w:p>
      <w:pPr>
        <w:spacing w:after="70" w:line="268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The Artemis platform helps organizations quickly identify health risks and strategies to improve benefits design while driving down costs, with extreme flexibility and intuitive use — so users can spend less time getting to the right healthcare decisions, and more time acting on them.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As an individual contributor, designed a Playwright/Cypress (TypeScript) framework with reusable page objects and fixtures for benefits-analytics dashboards.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Scaled the suite to 680 automated test cases covering functional, regression, smoke, and sanity scenarios.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Reduced regression execution time from 8+ hours to under an hour through parallel execution across 12 GitHub Actions nodes.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Automated 80+ REST APIs using Claude Code, validating data accuracy between backend services and analytics dashboards.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Managed and guided the QA team, setting testing priorities and reviewing coverage across releases.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Identified risks and dependencies affecting testing timelines and communicated them proactively to stakeholders.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Built an AI-driven QA agent (Claude Code, Playwright MCP, Jira/Xray/GitHub) that flags coverage gaps, auto-generates test cases, and scores functional, scenario, and negative-path coverage per feature.</w:t>
      </w:r>
    </w:p>
    <w:p>
      <w:pPr>
        <w:keepNext/>
        <w:keepLines/>
        <w:pBdr>
          <w:top w:val="single" w:color="8A6D3B" w:sz="4" w:space="3"/>
          <w:bottom w:val="single" w:color="8A6D3B" w:sz="4" w:space="3"/>
        </w:pBdr>
        <w:tabs>
          <w:tab w:val="right" w:pos="9360"/>
        </w:tabs>
        <w:spacing w:after="60" w:before="150"/>
      </w:pPr>
      <w:r>
        <w:rPr>
          <w:rFonts w:ascii="Georgia" w:cs="Georgia" w:eastAsia="Georgia" w:hAnsi="Georgia"/>
          <w:b/>
          <w:bCs/>
          <w:color w:val="8A6D3B"/>
          <w:sz w:val="21"/>
          <w:szCs w:val="21"/>
        </w:rPr>
        <w:t xml:space="preserve">Client Project: Ritchie Bros.</w:t>
      </w:r>
      <w:r>
        <w:rPr>
          <w:rFonts w:ascii="Calibri" w:cs="Calibri" w:eastAsia="Calibri" w:hAnsi="Calibri"/>
          <w:i/>
          <w:iCs/>
          <w:color w:val="2B2B2B"/>
          <w:sz w:val="20"/>
          <w:szCs w:val="20"/>
        </w:rPr>
        <w:t xml:space="preserve">	Aug 2020 – Feb 2022</w:t>
      </w:r>
    </w:p>
    <w:p>
      <w:pPr>
        <w:spacing w:after="70" w:line="268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Ritchie Bros. provides solutions for buying and selling heavy equipment, trucks, government surplus, commercial assets, total loss, damaged and low-value vehicles.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As an individual contributor, built a Robot Framework/Python automation framework with a structured Page Object Model for bidding and auction workflows.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Automated functional, regression, and sanity scenarios across asset search, listing detail, bid placement, and checkout.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Performed root cause analysis on automation and application failures to keep defect turnaround fast.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Flagged risks and dependencies early, briefing stakeholders as issues emerged to keep releases on schedule.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Managed and mentored the QA team, aligning testing priorities and skill development across the group.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Partnered with developers, product managers, and business analysts to translate requirements into test scenarios.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Executed regression testing each release to confirm changes did not affect bidding, asset, or transaction functionality.</w:t>
      </w:r>
    </w:p>
    <w:p>
      <w:pPr>
        <w:keepNext/>
        <w:keepLines/>
        <w:pBdr>
          <w:top w:val="single" w:color="8A6D3B" w:sz="4" w:space="3"/>
          <w:bottom w:val="single" w:color="8A6D3B" w:sz="4" w:space="3"/>
        </w:pBdr>
        <w:tabs>
          <w:tab w:val="right" w:pos="9360"/>
        </w:tabs>
        <w:spacing w:after="60" w:before="150"/>
      </w:pPr>
      <w:r>
        <w:rPr>
          <w:rFonts w:ascii="Georgia" w:cs="Georgia" w:eastAsia="Georgia" w:hAnsi="Georgia"/>
          <w:b/>
          <w:bCs/>
          <w:color w:val="8A6D3B"/>
          <w:sz w:val="21"/>
          <w:szCs w:val="21"/>
        </w:rPr>
        <w:t xml:space="preserve">Client Project: MobiTV</w:t>
      </w:r>
      <w:r>
        <w:rPr>
          <w:rFonts w:ascii="Calibri" w:cs="Calibri" w:eastAsia="Calibri" w:hAnsi="Calibri"/>
          <w:i/>
          <w:iCs/>
          <w:color w:val="2B2B2B"/>
          <w:sz w:val="20"/>
          <w:szCs w:val="20"/>
        </w:rPr>
        <w:t xml:space="preserve">	Feb 2015 – Jul 2020</w:t>
      </w:r>
    </w:p>
    <w:p>
      <w:pPr>
        <w:spacing w:after="70" w:line="268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MobiTV offers a versatile OTT platform application that seamlessly supports Mobile, TV, and Web platforms, delivering an extensive range of channels spanning prime-time shows, news broadcasts, children's programming, and sports content, including live coverage from sources like FOX News and Associated Press and full episodes from networks such as ABC and Disney.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As an individual contributor, built a Selenium (Java)/Appium framework to validate VOD and channel-guide functionality across platforms.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Automated functional, regression, and smoke scenarios for playback, channel switching, and content search across device types.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Tested across physical and emulated devices to isolate device-specific playback defects from automation issues.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Managed and mentored the QA team on multi-platform test coverage and best practices.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Used GitHub for version control and Jenkins for CI, running automation scripts for repeatable test runs.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Performed regression testing every release to ensure changes did not impact existing app functionality.</w:t>
      </w:r>
    </w:p>
    <w:sectPr>
      <w:pgSz w:w="12240" w:h="15840" w:orient="portrait"/>
      <w:pgMar w:top="620" w:right="750" w:bottom="620" w:left="7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59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2026-09-13T15:57:48.771Z</dcterms:created>
  <dcterms:modified xsi:type="dcterms:W3CDTF">2026-09-13T15:57:48.783Z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