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9E24" w14:textId="458A5952" w:rsidR="008D3B7C" w:rsidRDefault="00000000">
      <w:pPr>
        <w:pStyle w:val="Heading1"/>
      </w:pPr>
      <w:bookmarkStart w:id="0" w:name="X0381af753bf8e7919369d1d8bea7352560583ee"/>
      <w:r>
        <w:t>Mutual Fund Portfolio Selection and Review Guide</w:t>
      </w:r>
      <w:r w:rsidR="008A313B">
        <w:br/>
        <w:t>*</w:t>
      </w:r>
      <w:r w:rsidR="008A313B" w:rsidRPr="008A313B">
        <w:t>You are a SEBI Certified Financial Advisor (CFA Agent)</w:t>
      </w:r>
      <w:r w:rsidR="008A313B">
        <w:t>*</w:t>
      </w:r>
    </w:p>
    <w:p w14:paraId="2E9B8AA1" w14:textId="4782BFB3" w:rsidR="008D3B7C" w:rsidRDefault="00992211">
      <w:pPr>
        <w:pStyle w:val="FirstParagraph"/>
      </w:pPr>
      <w:bookmarkStart w:id="1" w:name="objective"/>
      <w:r>
        <w:t xml:space="preserve">Please </w:t>
      </w:r>
      <w:r>
        <w:rPr>
          <w:b/>
          <w:bCs/>
        </w:rPr>
        <w:t>review and optimize below existing mutual fund portfolio</w:t>
      </w:r>
      <w:r>
        <w:t xml:space="preserve"> using real-time performance metrics such as </w:t>
      </w:r>
      <w:r>
        <w:rPr>
          <w:b/>
          <w:bCs/>
        </w:rPr>
        <w:t>Alpha, Sharpe Ratio, Beta, and consistency across market cycles</w:t>
      </w:r>
      <w:r>
        <w:t>. It also outlines how to compare funds within their respective categories and suggest a revised portfolio if needed.</w:t>
      </w:r>
    </w:p>
    <w:p w14:paraId="20220361" w14:textId="77777777" w:rsidR="008D3B7C" w:rsidRDefault="00000000">
      <w:r>
        <w:pict w14:anchorId="562F8171">
          <v:rect id="_x0000_i1025" style="width:0;height:1.5pt" o:hralign="center" o:hrstd="t" o:hr="t"/>
        </w:pict>
      </w:r>
    </w:p>
    <w:p w14:paraId="53E86AC1" w14:textId="77777777" w:rsidR="008D3B7C" w:rsidRDefault="00000000">
      <w:pPr>
        <w:pStyle w:val="Heading2"/>
      </w:pPr>
      <w:bookmarkStart w:id="2" w:name="current-portfolio-overview"/>
      <w:bookmarkEnd w:id="1"/>
      <w:r>
        <w:t>1. Current Portfolio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35"/>
        <w:gridCol w:w="1897"/>
        <w:gridCol w:w="1656"/>
        <w:gridCol w:w="1742"/>
      </w:tblGrid>
      <w:tr w:rsidR="008D3B7C" w14:paraId="3B7D0F0D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44D63" w14:textId="77777777" w:rsidR="008D3B7C" w:rsidRDefault="00000000">
            <w:pPr>
              <w:pStyle w:val="Compact"/>
            </w:pPr>
            <w:r>
              <w:t>Fund Name</w:t>
            </w:r>
          </w:p>
        </w:tc>
        <w:tc>
          <w:tcPr>
            <w:tcW w:w="0" w:type="auto"/>
          </w:tcPr>
          <w:p w14:paraId="3B2993E6" w14:textId="77777777" w:rsidR="008D3B7C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51BBC97" w14:textId="77777777" w:rsidR="008D3B7C" w:rsidRDefault="00000000">
            <w:pPr>
              <w:pStyle w:val="Compact"/>
            </w:pPr>
            <w:r>
              <w:t>Allocation (%)</w:t>
            </w:r>
          </w:p>
        </w:tc>
        <w:tc>
          <w:tcPr>
            <w:tcW w:w="0" w:type="auto"/>
          </w:tcPr>
          <w:p w14:paraId="541EC51F" w14:textId="77777777" w:rsidR="008D3B7C" w:rsidRDefault="00000000">
            <w:pPr>
              <w:pStyle w:val="Compact"/>
            </w:pPr>
            <w:r>
              <w:t>SIP Amount (₹)</w:t>
            </w:r>
          </w:p>
        </w:tc>
      </w:tr>
      <w:tr w:rsidR="008D3B7C" w14:paraId="5E0B4C62" w14:textId="77777777">
        <w:tc>
          <w:tcPr>
            <w:tcW w:w="0" w:type="auto"/>
          </w:tcPr>
          <w:p w14:paraId="47B748ED" w14:textId="77777777" w:rsidR="008D3B7C" w:rsidRDefault="00000000">
            <w:pPr>
              <w:pStyle w:val="Compact"/>
            </w:pPr>
            <w:r>
              <w:t>Bandhan Small Cap Fund</w:t>
            </w:r>
          </w:p>
        </w:tc>
        <w:tc>
          <w:tcPr>
            <w:tcW w:w="0" w:type="auto"/>
          </w:tcPr>
          <w:p w14:paraId="5D7598D1" w14:textId="77777777" w:rsidR="008D3B7C" w:rsidRDefault="00000000">
            <w:pPr>
              <w:pStyle w:val="Compact"/>
            </w:pPr>
            <w:r>
              <w:t>Small Cap</w:t>
            </w:r>
          </w:p>
        </w:tc>
        <w:tc>
          <w:tcPr>
            <w:tcW w:w="0" w:type="auto"/>
          </w:tcPr>
          <w:p w14:paraId="03747946" w14:textId="77777777" w:rsidR="008D3B7C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265D22C3" w14:textId="77777777" w:rsidR="008D3B7C" w:rsidRDefault="00000000">
            <w:pPr>
              <w:pStyle w:val="Compact"/>
            </w:pPr>
            <w:r>
              <w:t>7,500</w:t>
            </w:r>
          </w:p>
        </w:tc>
      </w:tr>
      <w:tr w:rsidR="008D3B7C" w14:paraId="56686911" w14:textId="77777777">
        <w:tc>
          <w:tcPr>
            <w:tcW w:w="0" w:type="auto"/>
          </w:tcPr>
          <w:p w14:paraId="727E389F" w14:textId="77777777" w:rsidR="008D3B7C" w:rsidRDefault="00000000">
            <w:pPr>
              <w:pStyle w:val="Compact"/>
            </w:pPr>
            <w:r>
              <w:t>Quant Small Cap Fund</w:t>
            </w:r>
          </w:p>
        </w:tc>
        <w:tc>
          <w:tcPr>
            <w:tcW w:w="0" w:type="auto"/>
          </w:tcPr>
          <w:p w14:paraId="6F4F109D" w14:textId="77777777" w:rsidR="008D3B7C" w:rsidRDefault="00000000">
            <w:pPr>
              <w:pStyle w:val="Compact"/>
            </w:pPr>
            <w:r>
              <w:t>Small Cap</w:t>
            </w:r>
          </w:p>
        </w:tc>
        <w:tc>
          <w:tcPr>
            <w:tcW w:w="0" w:type="auto"/>
          </w:tcPr>
          <w:p w14:paraId="473D43C2" w14:textId="77777777" w:rsidR="008D3B7C" w:rsidRDefault="00000000">
            <w:pPr>
              <w:pStyle w:val="Compact"/>
            </w:pPr>
            <w:r>
              <w:t>14%</w:t>
            </w:r>
          </w:p>
        </w:tc>
        <w:tc>
          <w:tcPr>
            <w:tcW w:w="0" w:type="auto"/>
          </w:tcPr>
          <w:p w14:paraId="145D3289" w14:textId="77777777" w:rsidR="008D3B7C" w:rsidRDefault="00000000">
            <w:pPr>
              <w:pStyle w:val="Compact"/>
            </w:pPr>
            <w:r>
              <w:t>7,000</w:t>
            </w:r>
          </w:p>
        </w:tc>
      </w:tr>
      <w:tr w:rsidR="008D3B7C" w14:paraId="4290286E" w14:textId="77777777">
        <w:tc>
          <w:tcPr>
            <w:tcW w:w="0" w:type="auto"/>
          </w:tcPr>
          <w:p w14:paraId="7E938CF6" w14:textId="77777777" w:rsidR="008D3B7C" w:rsidRDefault="00000000">
            <w:pPr>
              <w:pStyle w:val="Compact"/>
            </w:pPr>
            <w:r>
              <w:t>Motilal Oswal Midcap Fund</w:t>
            </w:r>
          </w:p>
        </w:tc>
        <w:tc>
          <w:tcPr>
            <w:tcW w:w="0" w:type="auto"/>
          </w:tcPr>
          <w:p w14:paraId="7D93A6C2" w14:textId="77777777" w:rsidR="008D3B7C" w:rsidRDefault="00000000">
            <w:pPr>
              <w:pStyle w:val="Compact"/>
            </w:pPr>
            <w:r>
              <w:t>Mid Cap</w:t>
            </w:r>
          </w:p>
        </w:tc>
        <w:tc>
          <w:tcPr>
            <w:tcW w:w="0" w:type="auto"/>
          </w:tcPr>
          <w:p w14:paraId="2471682C" w14:textId="77777777" w:rsidR="008D3B7C" w:rsidRDefault="00000000">
            <w:pPr>
              <w:pStyle w:val="Compact"/>
            </w:pPr>
            <w:r>
              <w:t>13%</w:t>
            </w:r>
          </w:p>
        </w:tc>
        <w:tc>
          <w:tcPr>
            <w:tcW w:w="0" w:type="auto"/>
          </w:tcPr>
          <w:p w14:paraId="2DB63807" w14:textId="77777777" w:rsidR="008D3B7C" w:rsidRDefault="00000000">
            <w:pPr>
              <w:pStyle w:val="Compact"/>
            </w:pPr>
            <w:r>
              <w:t>7,500</w:t>
            </w:r>
          </w:p>
        </w:tc>
      </w:tr>
      <w:tr w:rsidR="008D3B7C" w14:paraId="56471A25" w14:textId="77777777">
        <w:tc>
          <w:tcPr>
            <w:tcW w:w="0" w:type="auto"/>
          </w:tcPr>
          <w:p w14:paraId="2F6BCD2B" w14:textId="77777777" w:rsidR="008D3B7C" w:rsidRDefault="00000000">
            <w:pPr>
              <w:pStyle w:val="Compact"/>
            </w:pPr>
            <w:r>
              <w:t>HDFC Midcap Fund</w:t>
            </w:r>
          </w:p>
        </w:tc>
        <w:tc>
          <w:tcPr>
            <w:tcW w:w="0" w:type="auto"/>
          </w:tcPr>
          <w:p w14:paraId="55AAAFDB" w14:textId="77777777" w:rsidR="008D3B7C" w:rsidRDefault="00000000">
            <w:pPr>
              <w:pStyle w:val="Compact"/>
            </w:pPr>
            <w:r>
              <w:t>Mid Cap</w:t>
            </w:r>
          </w:p>
        </w:tc>
        <w:tc>
          <w:tcPr>
            <w:tcW w:w="0" w:type="auto"/>
          </w:tcPr>
          <w:p w14:paraId="1029381B" w14:textId="77777777" w:rsidR="008D3B7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185A2B98" w14:textId="77777777" w:rsidR="008D3B7C" w:rsidRDefault="00000000">
            <w:pPr>
              <w:pStyle w:val="Compact"/>
            </w:pPr>
            <w:r>
              <w:t>6,000</w:t>
            </w:r>
          </w:p>
        </w:tc>
      </w:tr>
      <w:tr w:rsidR="008D3B7C" w14:paraId="5126D472" w14:textId="77777777">
        <w:tc>
          <w:tcPr>
            <w:tcW w:w="0" w:type="auto"/>
          </w:tcPr>
          <w:p w14:paraId="00C2D290" w14:textId="77777777" w:rsidR="008D3B7C" w:rsidRDefault="00000000">
            <w:pPr>
              <w:pStyle w:val="Compact"/>
            </w:pPr>
            <w:r>
              <w:t>Nippon India Large Cap Fund</w:t>
            </w:r>
          </w:p>
        </w:tc>
        <w:tc>
          <w:tcPr>
            <w:tcW w:w="0" w:type="auto"/>
          </w:tcPr>
          <w:p w14:paraId="4D149EFA" w14:textId="77777777" w:rsidR="008D3B7C" w:rsidRDefault="00000000">
            <w:pPr>
              <w:pStyle w:val="Compact"/>
            </w:pPr>
            <w:r>
              <w:t>Large Cap</w:t>
            </w:r>
          </w:p>
        </w:tc>
        <w:tc>
          <w:tcPr>
            <w:tcW w:w="0" w:type="auto"/>
          </w:tcPr>
          <w:p w14:paraId="2B23AD4C" w14:textId="77777777" w:rsidR="008D3B7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12BBFEB3" w14:textId="77777777" w:rsidR="008D3B7C" w:rsidRDefault="00000000">
            <w:pPr>
              <w:pStyle w:val="Compact"/>
            </w:pPr>
            <w:r>
              <w:t>6,000</w:t>
            </w:r>
          </w:p>
        </w:tc>
      </w:tr>
      <w:tr w:rsidR="008D3B7C" w14:paraId="37817841" w14:textId="77777777">
        <w:tc>
          <w:tcPr>
            <w:tcW w:w="0" w:type="auto"/>
          </w:tcPr>
          <w:p w14:paraId="59B0F4D3" w14:textId="77777777" w:rsidR="008D3B7C" w:rsidRDefault="00000000">
            <w:pPr>
              <w:pStyle w:val="Compact"/>
            </w:pPr>
            <w:r>
              <w:t>Parag Parikh Flexi Cap Fund</w:t>
            </w:r>
          </w:p>
        </w:tc>
        <w:tc>
          <w:tcPr>
            <w:tcW w:w="0" w:type="auto"/>
          </w:tcPr>
          <w:p w14:paraId="74AD3391" w14:textId="77777777" w:rsidR="008D3B7C" w:rsidRDefault="00000000">
            <w:pPr>
              <w:pStyle w:val="Compact"/>
            </w:pPr>
            <w:r>
              <w:t>Flexi Cap</w:t>
            </w:r>
          </w:p>
        </w:tc>
        <w:tc>
          <w:tcPr>
            <w:tcW w:w="0" w:type="auto"/>
          </w:tcPr>
          <w:p w14:paraId="33A0379D" w14:textId="77777777" w:rsidR="008D3B7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24825848" w14:textId="77777777" w:rsidR="008D3B7C" w:rsidRDefault="00000000">
            <w:pPr>
              <w:pStyle w:val="Compact"/>
            </w:pPr>
            <w:r>
              <w:t>6,000</w:t>
            </w:r>
          </w:p>
        </w:tc>
      </w:tr>
      <w:tr w:rsidR="008D3B7C" w14:paraId="4EB2D994" w14:textId="77777777">
        <w:tc>
          <w:tcPr>
            <w:tcW w:w="0" w:type="auto"/>
          </w:tcPr>
          <w:p w14:paraId="7CEF34FE" w14:textId="77777777" w:rsidR="008D3B7C" w:rsidRDefault="00000000">
            <w:pPr>
              <w:pStyle w:val="Compact"/>
            </w:pPr>
            <w:r>
              <w:t>Motilal Oswal Large &amp; Mid Cap Fund</w:t>
            </w:r>
          </w:p>
        </w:tc>
        <w:tc>
          <w:tcPr>
            <w:tcW w:w="0" w:type="auto"/>
          </w:tcPr>
          <w:p w14:paraId="7FD0FD3D" w14:textId="77777777" w:rsidR="008D3B7C" w:rsidRDefault="00000000">
            <w:pPr>
              <w:pStyle w:val="Compact"/>
            </w:pPr>
            <w:r>
              <w:t>Large &amp; Mid Cap</w:t>
            </w:r>
          </w:p>
        </w:tc>
        <w:tc>
          <w:tcPr>
            <w:tcW w:w="0" w:type="auto"/>
          </w:tcPr>
          <w:p w14:paraId="0F900EDD" w14:textId="77777777" w:rsidR="008D3B7C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2496F7F3" w14:textId="77777777" w:rsidR="008D3B7C" w:rsidRDefault="00000000">
            <w:pPr>
              <w:pStyle w:val="Compact"/>
            </w:pPr>
            <w:r>
              <w:t>5,000</w:t>
            </w:r>
          </w:p>
        </w:tc>
      </w:tr>
      <w:tr w:rsidR="008D3B7C" w14:paraId="00AF3BCE" w14:textId="77777777">
        <w:tc>
          <w:tcPr>
            <w:tcW w:w="0" w:type="auto"/>
          </w:tcPr>
          <w:p w14:paraId="3E51D45D" w14:textId="77777777" w:rsidR="008D3B7C" w:rsidRDefault="00000000">
            <w:pPr>
              <w:pStyle w:val="Compact"/>
            </w:pPr>
            <w:r>
              <w:t>Franklin U.S. Opportunities FoF</w:t>
            </w:r>
          </w:p>
        </w:tc>
        <w:tc>
          <w:tcPr>
            <w:tcW w:w="0" w:type="auto"/>
          </w:tcPr>
          <w:p w14:paraId="644CC634" w14:textId="77777777" w:rsidR="008D3B7C" w:rsidRDefault="00000000">
            <w:pPr>
              <w:pStyle w:val="Compact"/>
            </w:pPr>
            <w:r>
              <w:t>International</w:t>
            </w:r>
          </w:p>
        </w:tc>
        <w:tc>
          <w:tcPr>
            <w:tcW w:w="0" w:type="auto"/>
          </w:tcPr>
          <w:p w14:paraId="705CB199" w14:textId="77777777" w:rsidR="008D3B7C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2F162C53" w14:textId="77777777" w:rsidR="008D3B7C" w:rsidRDefault="00000000">
            <w:pPr>
              <w:pStyle w:val="Compact"/>
            </w:pPr>
            <w:r>
              <w:t>5,000</w:t>
            </w:r>
          </w:p>
        </w:tc>
      </w:tr>
    </w:tbl>
    <w:p w14:paraId="5D960488" w14:textId="77777777" w:rsidR="008D3B7C" w:rsidRDefault="00000000">
      <w:r>
        <w:pict w14:anchorId="7785AB6E">
          <v:rect id="_x0000_i1026" style="width:0;height:1.5pt" o:hralign="center" o:hrstd="t" o:hr="t"/>
        </w:pict>
      </w:r>
    </w:p>
    <w:p w14:paraId="5F38C62C" w14:textId="77777777" w:rsidR="008D3B7C" w:rsidRDefault="00000000">
      <w:pPr>
        <w:pStyle w:val="Heading2"/>
      </w:pPr>
      <w:bookmarkStart w:id="3" w:name="portfolio-review-methodology"/>
      <w:bookmarkEnd w:id="2"/>
      <w:r>
        <w:t>2. Portfolio Review Methodology</w:t>
      </w:r>
    </w:p>
    <w:p w14:paraId="20177973" w14:textId="77777777" w:rsidR="008D3B7C" w:rsidRDefault="00000000">
      <w:pPr>
        <w:pStyle w:val="FirstParagraph"/>
      </w:pPr>
      <w:r>
        <w:t xml:space="preserve">Each fund in the above portfolio will be evaluated </w:t>
      </w:r>
      <w:r>
        <w:rPr>
          <w:b/>
          <w:bCs/>
        </w:rPr>
        <w:t>within its own category</w:t>
      </w:r>
      <w:r>
        <w:t xml:space="preserve"> based on the following performance metrics: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458"/>
        <w:gridCol w:w="3724"/>
      </w:tblGrid>
      <w:tr w:rsidR="008D3B7C" w14:paraId="41B72728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F9B0718" w14:textId="77777777" w:rsidR="008D3B7C" w:rsidRDefault="00000000">
            <w:pPr>
              <w:pStyle w:val="Compact"/>
            </w:pPr>
            <w:r>
              <w:t>Metric</w:t>
            </w:r>
          </w:p>
        </w:tc>
        <w:tc>
          <w:tcPr>
            <w:tcW w:w="2860" w:type="dxa"/>
          </w:tcPr>
          <w:p w14:paraId="396C0726" w14:textId="77777777" w:rsidR="008D3B7C" w:rsidRDefault="00000000">
            <w:pPr>
              <w:pStyle w:val="Compact"/>
            </w:pPr>
            <w:r>
              <w:t>Definition</w:t>
            </w:r>
          </w:p>
        </w:tc>
        <w:tc>
          <w:tcPr>
            <w:tcW w:w="3080" w:type="dxa"/>
          </w:tcPr>
          <w:p w14:paraId="005B1812" w14:textId="77777777" w:rsidR="008D3B7C" w:rsidRDefault="00000000">
            <w:pPr>
              <w:pStyle w:val="Compact"/>
            </w:pPr>
            <w:r>
              <w:t>Ideal Range</w:t>
            </w:r>
          </w:p>
        </w:tc>
      </w:tr>
      <w:tr w:rsidR="008D3B7C" w14:paraId="73DD79FC" w14:textId="77777777">
        <w:tc>
          <w:tcPr>
            <w:tcW w:w="1980" w:type="dxa"/>
          </w:tcPr>
          <w:p w14:paraId="2A66015A" w14:textId="77777777" w:rsidR="008D3B7C" w:rsidRDefault="00000000">
            <w:pPr>
              <w:pStyle w:val="Compact"/>
            </w:pPr>
            <w:r>
              <w:rPr>
                <w:b/>
                <w:bCs/>
              </w:rPr>
              <w:t>Alpha</w:t>
            </w:r>
          </w:p>
        </w:tc>
        <w:tc>
          <w:tcPr>
            <w:tcW w:w="2860" w:type="dxa"/>
          </w:tcPr>
          <w:p w14:paraId="264E9710" w14:textId="77777777" w:rsidR="008D3B7C" w:rsidRDefault="00000000">
            <w:pPr>
              <w:pStyle w:val="Compact"/>
            </w:pPr>
            <w:r>
              <w:t>Measures outperformance vs benchmark</w:t>
            </w:r>
          </w:p>
        </w:tc>
        <w:tc>
          <w:tcPr>
            <w:tcW w:w="3080" w:type="dxa"/>
          </w:tcPr>
          <w:p w14:paraId="30061196" w14:textId="77777777" w:rsidR="008D3B7C" w:rsidRDefault="00000000">
            <w:pPr>
              <w:pStyle w:val="Compact"/>
            </w:pPr>
            <w:r>
              <w:t>8–15 (consistent across 1Y/3Y/5Y)</w:t>
            </w:r>
          </w:p>
        </w:tc>
      </w:tr>
      <w:tr w:rsidR="008D3B7C" w14:paraId="1AC1A5EF" w14:textId="77777777">
        <w:tc>
          <w:tcPr>
            <w:tcW w:w="1980" w:type="dxa"/>
          </w:tcPr>
          <w:p w14:paraId="129DB83A" w14:textId="77777777" w:rsidR="008D3B7C" w:rsidRDefault="00000000">
            <w:pPr>
              <w:pStyle w:val="Compact"/>
            </w:pPr>
            <w:r>
              <w:rPr>
                <w:b/>
                <w:bCs/>
              </w:rPr>
              <w:t>Sharpe Ratio</w:t>
            </w:r>
          </w:p>
        </w:tc>
        <w:tc>
          <w:tcPr>
            <w:tcW w:w="2860" w:type="dxa"/>
          </w:tcPr>
          <w:p w14:paraId="47B15054" w14:textId="77777777" w:rsidR="008D3B7C" w:rsidRDefault="00000000">
            <w:pPr>
              <w:pStyle w:val="Compact"/>
            </w:pPr>
            <w:r>
              <w:t>Risk-adjusted return (higher = better)</w:t>
            </w:r>
          </w:p>
        </w:tc>
        <w:tc>
          <w:tcPr>
            <w:tcW w:w="3080" w:type="dxa"/>
          </w:tcPr>
          <w:p w14:paraId="78637663" w14:textId="77777777" w:rsidR="008D3B7C" w:rsidRDefault="00000000">
            <w:pPr>
              <w:pStyle w:val="Compact"/>
            </w:pPr>
            <w:r>
              <w:t>&gt; 1.0</w:t>
            </w:r>
          </w:p>
        </w:tc>
      </w:tr>
      <w:tr w:rsidR="008D3B7C" w14:paraId="22C22AE6" w14:textId="77777777">
        <w:tc>
          <w:tcPr>
            <w:tcW w:w="1980" w:type="dxa"/>
          </w:tcPr>
          <w:p w14:paraId="12077FF1" w14:textId="77777777" w:rsidR="008D3B7C" w:rsidRDefault="00000000">
            <w:pPr>
              <w:pStyle w:val="Compact"/>
            </w:pPr>
            <w:r>
              <w:rPr>
                <w:b/>
                <w:bCs/>
              </w:rPr>
              <w:t>Beta</w:t>
            </w:r>
          </w:p>
        </w:tc>
        <w:tc>
          <w:tcPr>
            <w:tcW w:w="2860" w:type="dxa"/>
          </w:tcPr>
          <w:p w14:paraId="44C40A48" w14:textId="77777777" w:rsidR="008D3B7C" w:rsidRDefault="00000000">
            <w:pPr>
              <w:pStyle w:val="Compact"/>
            </w:pPr>
            <w:r>
              <w:t>Measures volatility vs benchmark</w:t>
            </w:r>
          </w:p>
        </w:tc>
        <w:tc>
          <w:tcPr>
            <w:tcW w:w="3080" w:type="dxa"/>
          </w:tcPr>
          <w:p w14:paraId="2FCB3BCE" w14:textId="77777777" w:rsidR="008D3B7C" w:rsidRDefault="00000000">
            <w:pPr>
              <w:pStyle w:val="Compact"/>
            </w:pPr>
            <w:r>
              <w:t>0.9 – 1.2</w:t>
            </w:r>
          </w:p>
        </w:tc>
      </w:tr>
      <w:tr w:rsidR="008D3B7C" w14:paraId="3FF17AE1" w14:textId="77777777">
        <w:tc>
          <w:tcPr>
            <w:tcW w:w="1980" w:type="dxa"/>
          </w:tcPr>
          <w:p w14:paraId="0DF483F6" w14:textId="77777777" w:rsidR="008D3B7C" w:rsidRDefault="00000000">
            <w:pPr>
              <w:pStyle w:val="Compact"/>
            </w:pPr>
            <w:r>
              <w:rPr>
                <w:b/>
                <w:bCs/>
              </w:rPr>
              <w:t>Down-Market Alpha</w:t>
            </w:r>
          </w:p>
        </w:tc>
        <w:tc>
          <w:tcPr>
            <w:tcW w:w="2860" w:type="dxa"/>
          </w:tcPr>
          <w:p w14:paraId="78773600" w14:textId="77777777" w:rsidR="008D3B7C" w:rsidRDefault="00000000">
            <w:pPr>
              <w:pStyle w:val="Compact"/>
            </w:pPr>
            <w:r>
              <w:t>Indicates resilience in market corrections</w:t>
            </w:r>
          </w:p>
        </w:tc>
        <w:tc>
          <w:tcPr>
            <w:tcW w:w="3080" w:type="dxa"/>
          </w:tcPr>
          <w:p w14:paraId="105FA2B4" w14:textId="77777777" w:rsidR="008D3B7C" w:rsidRDefault="00000000">
            <w:pPr>
              <w:pStyle w:val="Compact"/>
            </w:pPr>
            <w:r>
              <w:t>Positive</w:t>
            </w:r>
          </w:p>
        </w:tc>
      </w:tr>
      <w:tr w:rsidR="008D3B7C" w14:paraId="780020E6" w14:textId="77777777">
        <w:tc>
          <w:tcPr>
            <w:tcW w:w="1980" w:type="dxa"/>
          </w:tcPr>
          <w:p w14:paraId="2E03D904" w14:textId="77777777" w:rsidR="008D3B7C" w:rsidRDefault="00000000">
            <w:pPr>
              <w:pStyle w:val="Compact"/>
            </w:pPr>
            <w:r>
              <w:rPr>
                <w:b/>
                <w:bCs/>
              </w:rPr>
              <w:t>Return vs Benchmark</w:t>
            </w:r>
          </w:p>
        </w:tc>
        <w:tc>
          <w:tcPr>
            <w:tcW w:w="2860" w:type="dxa"/>
          </w:tcPr>
          <w:p w14:paraId="64A928AC" w14:textId="77777777" w:rsidR="008D3B7C" w:rsidRDefault="00000000">
            <w:pPr>
              <w:pStyle w:val="Compact"/>
            </w:pPr>
            <w:r>
              <w:t>1Y/3Y/5Y returns consistently higher than benchmark</w:t>
            </w:r>
          </w:p>
        </w:tc>
        <w:tc>
          <w:tcPr>
            <w:tcW w:w="3080" w:type="dxa"/>
          </w:tcPr>
          <w:p w14:paraId="488A2D7E" w14:textId="77777777" w:rsidR="008D3B7C" w:rsidRDefault="00000000">
            <w:pPr>
              <w:pStyle w:val="Compact"/>
            </w:pPr>
            <w:r>
              <w:t>Must beat benchmark consistently</w:t>
            </w:r>
          </w:p>
        </w:tc>
      </w:tr>
    </w:tbl>
    <w:p w14:paraId="37FB0780" w14:textId="77777777" w:rsidR="008D3B7C" w:rsidRDefault="00000000">
      <w:pPr>
        <w:pStyle w:val="BodyText"/>
      </w:pPr>
      <w:r>
        <w:rPr>
          <w:b/>
          <w:bCs/>
        </w:rPr>
        <w:lastRenderedPageBreak/>
        <w:t>Benchmarks Used:</w:t>
      </w:r>
      <w:r>
        <w:t xml:space="preserve"> - Small Cap → Nifty Smallcap 250 TRI - Mid Cap → Nifty Midcap 150 TRI - Large Cap → Nifty 100 TRI - Flexi Cap → Nifty 500 TRI</w:t>
      </w:r>
    </w:p>
    <w:p w14:paraId="345B7B5D" w14:textId="0A55203D" w:rsidR="008D3B7C" w:rsidRDefault="00000000">
      <w:pPr>
        <w:pStyle w:val="BodyText"/>
      </w:pPr>
      <w:r>
        <w:rPr>
          <w:b/>
          <w:bCs/>
        </w:rPr>
        <w:t>Data Sources:</w:t>
      </w:r>
      <w:r>
        <w:t xml:space="preserve"> Morningstar India, Value Research, Moneycontrol, AMFI</w:t>
      </w:r>
      <w:r w:rsidR="00B51E23">
        <w:t>, Powerup</w:t>
      </w:r>
      <w:r>
        <w:t>.</w:t>
      </w:r>
    </w:p>
    <w:p w14:paraId="34986BAA" w14:textId="77777777" w:rsidR="008D3B7C" w:rsidRDefault="00000000">
      <w:r>
        <w:pict w14:anchorId="5E0EA3EE">
          <v:rect id="_x0000_i1027" style="width:0;height:1.5pt" o:hralign="center" o:hrstd="t" o:hr="t"/>
        </w:pict>
      </w:r>
    </w:p>
    <w:p w14:paraId="56671A2B" w14:textId="77777777" w:rsidR="008D3B7C" w:rsidRDefault="00000000">
      <w:pPr>
        <w:pStyle w:val="Heading2"/>
      </w:pPr>
      <w:bookmarkStart w:id="4" w:name="category-wise-evaluation-framework"/>
      <w:bookmarkEnd w:id="3"/>
      <w:r>
        <w:t>3. Category-wise Evaluation Framework</w:t>
      </w:r>
    </w:p>
    <w:p w14:paraId="4C63D36A" w14:textId="77777777" w:rsidR="008D3B7C" w:rsidRDefault="00000000">
      <w:pPr>
        <w:pStyle w:val="FirstParagraph"/>
      </w:pPr>
      <w:r>
        <w:t>For each category, create a table with the following columns:</w:t>
      </w:r>
    </w:p>
    <w:p w14:paraId="2CB263A6" w14:textId="77777777" w:rsidR="008D3B7C" w:rsidRDefault="00000000">
      <w:pPr>
        <w:pStyle w:val="BodyText"/>
      </w:pPr>
      <w:r>
        <w:t>Fund Name | Alpha (1Y) | Alpha (3Y) | Alpha (5Y) | Sharpe Ratio | Beta | 1Y Return | 3Y Return | 5Y Return | Benchmark | Remarks |</w:t>
      </w:r>
    </w:p>
    <w:p w14:paraId="52A59E7C" w14:textId="77777777" w:rsidR="008D3B7C" w:rsidRDefault="00000000">
      <w:pPr>
        <w:pStyle w:val="BodyText"/>
      </w:pPr>
      <w:r>
        <w:rPr>
          <w:b/>
          <w:bCs/>
        </w:rPr>
        <w:t>Step-by-step:</w:t>
      </w:r>
      <w:r>
        <w:t xml:space="preserve"> 1. Collect real-time data from ValueResearchOnline, Morningstar, or Moneycontrol. 2. Compare funds only within the same category. 3. Highlight funds with: - Consistent Alpha (8–15) - Sharpe Ratio &gt; 1 - Beta between 0.9–1.2 - Positive Alpha even in bearish periods. 4. Remove or replace funds failing to meet 2 or more criteria. 5. Add alternate top-performing funds within the same category to maintain overlap &lt;20%.</w:t>
      </w:r>
    </w:p>
    <w:p w14:paraId="36BDEA51" w14:textId="77777777" w:rsidR="008D3B7C" w:rsidRDefault="00000000">
      <w:r>
        <w:pict w14:anchorId="72B3BCCC">
          <v:rect id="_x0000_i1028" style="width:0;height:1.5pt" o:hralign="center" o:hrstd="t" o:hr="t"/>
        </w:pict>
      </w:r>
    </w:p>
    <w:p w14:paraId="2ED2F527" w14:textId="77777777" w:rsidR="008D3B7C" w:rsidRDefault="00000000">
      <w:pPr>
        <w:pStyle w:val="Heading2"/>
      </w:pPr>
      <w:bookmarkStart w:id="5" w:name="X88ab4e92a4b6c1447254935b6e579c2c6878967"/>
      <w:bookmarkEnd w:id="4"/>
      <w:r>
        <w:t>4. Top 5 Fund Selection by Category (To Be Updated with Live Data)</w:t>
      </w:r>
    </w:p>
    <w:p w14:paraId="6E1396D5" w14:textId="77777777" w:rsidR="008D3B7C" w:rsidRDefault="00000000">
      <w:pPr>
        <w:pStyle w:val="Heading3"/>
      </w:pPr>
      <w:bookmarkStart w:id="6" w:name="small-cap-funds"/>
      <w:r>
        <w:t>Small Cap Funds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3"/>
        <w:gridCol w:w="903"/>
        <w:gridCol w:w="903"/>
        <w:gridCol w:w="902"/>
        <w:gridCol w:w="1040"/>
        <w:gridCol w:w="485"/>
        <w:gridCol w:w="902"/>
        <w:gridCol w:w="902"/>
        <w:gridCol w:w="902"/>
        <w:gridCol w:w="902"/>
        <w:gridCol w:w="902"/>
      </w:tblGrid>
      <w:tr w:rsidR="008D3B7C" w14:paraId="2BDA4F9C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008E5607" w14:textId="77777777" w:rsidR="008D3B7C" w:rsidRDefault="00000000">
            <w:pPr>
              <w:pStyle w:val="Compact"/>
            </w:pPr>
            <w:r>
              <w:t>Fund Name</w:t>
            </w:r>
          </w:p>
        </w:tc>
        <w:tc>
          <w:tcPr>
            <w:tcW w:w="746" w:type="dxa"/>
          </w:tcPr>
          <w:p w14:paraId="6F870CB4" w14:textId="77777777" w:rsidR="008D3B7C" w:rsidRDefault="00000000">
            <w:pPr>
              <w:pStyle w:val="Compact"/>
            </w:pPr>
            <w:r>
              <w:t>Alpha (1Y)</w:t>
            </w:r>
          </w:p>
        </w:tc>
        <w:tc>
          <w:tcPr>
            <w:tcW w:w="746" w:type="dxa"/>
          </w:tcPr>
          <w:p w14:paraId="2AFF3E25" w14:textId="77777777" w:rsidR="008D3B7C" w:rsidRDefault="00000000">
            <w:pPr>
              <w:pStyle w:val="Compact"/>
            </w:pPr>
            <w:r>
              <w:t>Alpha (3Y)</w:t>
            </w:r>
          </w:p>
        </w:tc>
        <w:tc>
          <w:tcPr>
            <w:tcW w:w="746" w:type="dxa"/>
          </w:tcPr>
          <w:p w14:paraId="1CFFCDE9" w14:textId="77777777" w:rsidR="008D3B7C" w:rsidRDefault="00000000">
            <w:pPr>
              <w:pStyle w:val="Compact"/>
            </w:pPr>
            <w:r>
              <w:t>Alpha (5Y)</w:t>
            </w:r>
          </w:p>
        </w:tc>
        <w:tc>
          <w:tcPr>
            <w:tcW w:w="860" w:type="dxa"/>
          </w:tcPr>
          <w:p w14:paraId="1C8B2D87" w14:textId="77777777" w:rsidR="008D3B7C" w:rsidRDefault="00000000">
            <w:pPr>
              <w:pStyle w:val="Compact"/>
            </w:pPr>
            <w:r>
              <w:t>Sharpe Ratio</w:t>
            </w:r>
          </w:p>
        </w:tc>
        <w:tc>
          <w:tcPr>
            <w:tcW w:w="401" w:type="dxa"/>
          </w:tcPr>
          <w:p w14:paraId="225E4B44" w14:textId="77777777" w:rsidR="008D3B7C" w:rsidRDefault="00000000">
            <w:pPr>
              <w:pStyle w:val="Compact"/>
            </w:pPr>
            <w:r>
              <w:t>Beta</w:t>
            </w:r>
          </w:p>
        </w:tc>
        <w:tc>
          <w:tcPr>
            <w:tcW w:w="746" w:type="dxa"/>
          </w:tcPr>
          <w:p w14:paraId="167A4486" w14:textId="77777777" w:rsidR="008D3B7C" w:rsidRDefault="00000000">
            <w:pPr>
              <w:pStyle w:val="Compact"/>
            </w:pPr>
            <w:r>
              <w:t>1Y Return</w:t>
            </w:r>
          </w:p>
        </w:tc>
        <w:tc>
          <w:tcPr>
            <w:tcW w:w="746" w:type="dxa"/>
          </w:tcPr>
          <w:p w14:paraId="6BA393D5" w14:textId="77777777" w:rsidR="008D3B7C" w:rsidRDefault="00000000">
            <w:pPr>
              <w:pStyle w:val="Compact"/>
            </w:pPr>
            <w:r>
              <w:t>3Y Return</w:t>
            </w:r>
          </w:p>
        </w:tc>
        <w:tc>
          <w:tcPr>
            <w:tcW w:w="746" w:type="dxa"/>
          </w:tcPr>
          <w:p w14:paraId="7D6B3355" w14:textId="77777777" w:rsidR="008D3B7C" w:rsidRDefault="00000000">
            <w:pPr>
              <w:pStyle w:val="Compact"/>
            </w:pPr>
            <w:r>
              <w:t>5Y Return</w:t>
            </w:r>
          </w:p>
        </w:tc>
        <w:tc>
          <w:tcPr>
            <w:tcW w:w="746" w:type="dxa"/>
          </w:tcPr>
          <w:p w14:paraId="149D45E2" w14:textId="77777777" w:rsidR="008D3B7C" w:rsidRDefault="00000000">
            <w:pPr>
              <w:pStyle w:val="Compact"/>
            </w:pPr>
            <w:r>
              <w:t>Benchmark</w:t>
            </w:r>
          </w:p>
        </w:tc>
        <w:tc>
          <w:tcPr>
            <w:tcW w:w="746" w:type="dxa"/>
          </w:tcPr>
          <w:p w14:paraId="708EA845" w14:textId="77777777" w:rsidR="008D3B7C" w:rsidRDefault="00000000">
            <w:pPr>
              <w:pStyle w:val="Compact"/>
            </w:pPr>
            <w:r>
              <w:t>Remarks</w:t>
            </w:r>
          </w:p>
        </w:tc>
      </w:tr>
      <w:tr w:rsidR="008D3B7C" w14:paraId="77930076" w14:textId="77777777">
        <w:tc>
          <w:tcPr>
            <w:tcW w:w="688" w:type="dxa"/>
          </w:tcPr>
          <w:p w14:paraId="712CE6EA" w14:textId="77777777" w:rsidR="008D3B7C" w:rsidRDefault="00000000">
            <w:pPr>
              <w:pStyle w:val="Compact"/>
            </w:pPr>
            <w:r>
              <w:t>[To be filled after live data fetch]</w:t>
            </w:r>
          </w:p>
        </w:tc>
        <w:tc>
          <w:tcPr>
            <w:tcW w:w="746" w:type="dxa"/>
          </w:tcPr>
          <w:p w14:paraId="62A397A4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38FD5980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6A5F650E" w14:textId="77777777" w:rsidR="008D3B7C" w:rsidRDefault="008D3B7C">
            <w:pPr>
              <w:pStyle w:val="Compact"/>
            </w:pPr>
          </w:p>
        </w:tc>
        <w:tc>
          <w:tcPr>
            <w:tcW w:w="860" w:type="dxa"/>
          </w:tcPr>
          <w:p w14:paraId="68B4B6F4" w14:textId="77777777" w:rsidR="008D3B7C" w:rsidRDefault="008D3B7C">
            <w:pPr>
              <w:pStyle w:val="Compact"/>
            </w:pPr>
          </w:p>
        </w:tc>
        <w:tc>
          <w:tcPr>
            <w:tcW w:w="401" w:type="dxa"/>
          </w:tcPr>
          <w:p w14:paraId="77DBABEB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415F4B2F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7FD42ACE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097B0DC9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0CC8FB1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2B15191" w14:textId="77777777" w:rsidR="008D3B7C" w:rsidRDefault="008D3B7C">
            <w:pPr>
              <w:pStyle w:val="Compact"/>
            </w:pPr>
          </w:p>
        </w:tc>
      </w:tr>
    </w:tbl>
    <w:p w14:paraId="5D85B86F" w14:textId="77777777" w:rsidR="008D3B7C" w:rsidRDefault="00000000">
      <w:pPr>
        <w:pStyle w:val="Heading3"/>
      </w:pPr>
      <w:bookmarkStart w:id="7" w:name="mid-cap-funds"/>
      <w:bookmarkEnd w:id="6"/>
      <w:r>
        <w:t>Mid Cap Funds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3"/>
        <w:gridCol w:w="903"/>
        <w:gridCol w:w="903"/>
        <w:gridCol w:w="902"/>
        <w:gridCol w:w="1040"/>
        <w:gridCol w:w="485"/>
        <w:gridCol w:w="902"/>
        <w:gridCol w:w="902"/>
        <w:gridCol w:w="902"/>
        <w:gridCol w:w="902"/>
        <w:gridCol w:w="902"/>
      </w:tblGrid>
      <w:tr w:rsidR="008D3B7C" w14:paraId="5CAF2052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6E01670B" w14:textId="77777777" w:rsidR="008D3B7C" w:rsidRDefault="00000000">
            <w:pPr>
              <w:pStyle w:val="Compact"/>
            </w:pPr>
            <w:r>
              <w:t>Fund Name</w:t>
            </w:r>
          </w:p>
        </w:tc>
        <w:tc>
          <w:tcPr>
            <w:tcW w:w="746" w:type="dxa"/>
          </w:tcPr>
          <w:p w14:paraId="46DB0057" w14:textId="77777777" w:rsidR="008D3B7C" w:rsidRDefault="00000000">
            <w:pPr>
              <w:pStyle w:val="Compact"/>
            </w:pPr>
            <w:r>
              <w:t>Alpha (1Y)</w:t>
            </w:r>
          </w:p>
        </w:tc>
        <w:tc>
          <w:tcPr>
            <w:tcW w:w="746" w:type="dxa"/>
          </w:tcPr>
          <w:p w14:paraId="5AA8E072" w14:textId="77777777" w:rsidR="008D3B7C" w:rsidRDefault="00000000">
            <w:pPr>
              <w:pStyle w:val="Compact"/>
            </w:pPr>
            <w:r>
              <w:t>Alpha (3Y)</w:t>
            </w:r>
          </w:p>
        </w:tc>
        <w:tc>
          <w:tcPr>
            <w:tcW w:w="746" w:type="dxa"/>
          </w:tcPr>
          <w:p w14:paraId="1BB76343" w14:textId="77777777" w:rsidR="008D3B7C" w:rsidRDefault="00000000">
            <w:pPr>
              <w:pStyle w:val="Compact"/>
            </w:pPr>
            <w:r>
              <w:t>Alpha (5Y)</w:t>
            </w:r>
          </w:p>
        </w:tc>
        <w:tc>
          <w:tcPr>
            <w:tcW w:w="860" w:type="dxa"/>
          </w:tcPr>
          <w:p w14:paraId="6567BFC1" w14:textId="77777777" w:rsidR="008D3B7C" w:rsidRDefault="00000000">
            <w:pPr>
              <w:pStyle w:val="Compact"/>
            </w:pPr>
            <w:r>
              <w:t>Sharpe Ratio</w:t>
            </w:r>
          </w:p>
        </w:tc>
        <w:tc>
          <w:tcPr>
            <w:tcW w:w="401" w:type="dxa"/>
          </w:tcPr>
          <w:p w14:paraId="583434B7" w14:textId="77777777" w:rsidR="008D3B7C" w:rsidRDefault="00000000">
            <w:pPr>
              <w:pStyle w:val="Compact"/>
            </w:pPr>
            <w:r>
              <w:t>Beta</w:t>
            </w:r>
          </w:p>
        </w:tc>
        <w:tc>
          <w:tcPr>
            <w:tcW w:w="746" w:type="dxa"/>
          </w:tcPr>
          <w:p w14:paraId="65D73602" w14:textId="77777777" w:rsidR="008D3B7C" w:rsidRDefault="00000000">
            <w:pPr>
              <w:pStyle w:val="Compact"/>
            </w:pPr>
            <w:r>
              <w:t>1Y Return</w:t>
            </w:r>
          </w:p>
        </w:tc>
        <w:tc>
          <w:tcPr>
            <w:tcW w:w="746" w:type="dxa"/>
          </w:tcPr>
          <w:p w14:paraId="0C3FC94A" w14:textId="77777777" w:rsidR="008D3B7C" w:rsidRDefault="00000000">
            <w:pPr>
              <w:pStyle w:val="Compact"/>
            </w:pPr>
            <w:r>
              <w:t>3Y Return</w:t>
            </w:r>
          </w:p>
        </w:tc>
        <w:tc>
          <w:tcPr>
            <w:tcW w:w="746" w:type="dxa"/>
          </w:tcPr>
          <w:p w14:paraId="0619D834" w14:textId="77777777" w:rsidR="008D3B7C" w:rsidRDefault="00000000">
            <w:pPr>
              <w:pStyle w:val="Compact"/>
            </w:pPr>
            <w:r>
              <w:t>5Y Return</w:t>
            </w:r>
          </w:p>
        </w:tc>
        <w:tc>
          <w:tcPr>
            <w:tcW w:w="746" w:type="dxa"/>
          </w:tcPr>
          <w:p w14:paraId="2887FED6" w14:textId="77777777" w:rsidR="008D3B7C" w:rsidRDefault="00000000">
            <w:pPr>
              <w:pStyle w:val="Compact"/>
            </w:pPr>
            <w:r>
              <w:t>Benchmark</w:t>
            </w:r>
          </w:p>
        </w:tc>
        <w:tc>
          <w:tcPr>
            <w:tcW w:w="746" w:type="dxa"/>
          </w:tcPr>
          <w:p w14:paraId="04481736" w14:textId="77777777" w:rsidR="008D3B7C" w:rsidRDefault="00000000">
            <w:pPr>
              <w:pStyle w:val="Compact"/>
            </w:pPr>
            <w:r>
              <w:t>Remarks</w:t>
            </w:r>
          </w:p>
        </w:tc>
      </w:tr>
      <w:tr w:rsidR="008D3B7C" w14:paraId="6E85B6F1" w14:textId="77777777">
        <w:tc>
          <w:tcPr>
            <w:tcW w:w="688" w:type="dxa"/>
          </w:tcPr>
          <w:p w14:paraId="4577E259" w14:textId="77777777" w:rsidR="008D3B7C" w:rsidRDefault="00000000">
            <w:pPr>
              <w:pStyle w:val="Compact"/>
            </w:pPr>
            <w:r>
              <w:t xml:space="preserve">[To be filled after live </w:t>
            </w:r>
            <w:r>
              <w:lastRenderedPageBreak/>
              <w:t>data fetch]</w:t>
            </w:r>
          </w:p>
        </w:tc>
        <w:tc>
          <w:tcPr>
            <w:tcW w:w="746" w:type="dxa"/>
          </w:tcPr>
          <w:p w14:paraId="23335423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032F9A76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44548E1" w14:textId="77777777" w:rsidR="008D3B7C" w:rsidRDefault="008D3B7C">
            <w:pPr>
              <w:pStyle w:val="Compact"/>
            </w:pPr>
          </w:p>
        </w:tc>
        <w:tc>
          <w:tcPr>
            <w:tcW w:w="860" w:type="dxa"/>
          </w:tcPr>
          <w:p w14:paraId="0109B96F" w14:textId="77777777" w:rsidR="008D3B7C" w:rsidRDefault="008D3B7C">
            <w:pPr>
              <w:pStyle w:val="Compact"/>
            </w:pPr>
          </w:p>
        </w:tc>
        <w:tc>
          <w:tcPr>
            <w:tcW w:w="401" w:type="dxa"/>
          </w:tcPr>
          <w:p w14:paraId="6D1B8BB2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4CB2A98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112DE310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86C881F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66AEE6A6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ED362E4" w14:textId="77777777" w:rsidR="008D3B7C" w:rsidRDefault="008D3B7C">
            <w:pPr>
              <w:pStyle w:val="Compact"/>
            </w:pPr>
          </w:p>
        </w:tc>
      </w:tr>
    </w:tbl>
    <w:p w14:paraId="1AC82DE5" w14:textId="77777777" w:rsidR="008D3B7C" w:rsidRDefault="00000000">
      <w:pPr>
        <w:pStyle w:val="Heading3"/>
      </w:pPr>
      <w:bookmarkStart w:id="8" w:name="large-cap-funds"/>
      <w:bookmarkEnd w:id="7"/>
      <w:r>
        <w:t>Large Cap Funds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3"/>
        <w:gridCol w:w="903"/>
        <w:gridCol w:w="903"/>
        <w:gridCol w:w="902"/>
        <w:gridCol w:w="1040"/>
        <w:gridCol w:w="485"/>
        <w:gridCol w:w="902"/>
        <w:gridCol w:w="902"/>
        <w:gridCol w:w="902"/>
        <w:gridCol w:w="902"/>
        <w:gridCol w:w="902"/>
      </w:tblGrid>
      <w:tr w:rsidR="008D3B7C" w14:paraId="2DC7B3E5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0C9564DD" w14:textId="77777777" w:rsidR="008D3B7C" w:rsidRDefault="00000000">
            <w:pPr>
              <w:pStyle w:val="Compact"/>
            </w:pPr>
            <w:r>
              <w:t>Fund Name</w:t>
            </w:r>
          </w:p>
        </w:tc>
        <w:tc>
          <w:tcPr>
            <w:tcW w:w="746" w:type="dxa"/>
          </w:tcPr>
          <w:p w14:paraId="5A4B2E60" w14:textId="77777777" w:rsidR="008D3B7C" w:rsidRDefault="00000000">
            <w:pPr>
              <w:pStyle w:val="Compact"/>
            </w:pPr>
            <w:r>
              <w:t>Alpha (1Y)</w:t>
            </w:r>
          </w:p>
        </w:tc>
        <w:tc>
          <w:tcPr>
            <w:tcW w:w="746" w:type="dxa"/>
          </w:tcPr>
          <w:p w14:paraId="113F0CA4" w14:textId="77777777" w:rsidR="008D3B7C" w:rsidRDefault="00000000">
            <w:pPr>
              <w:pStyle w:val="Compact"/>
            </w:pPr>
            <w:r>
              <w:t>Alpha (3Y)</w:t>
            </w:r>
          </w:p>
        </w:tc>
        <w:tc>
          <w:tcPr>
            <w:tcW w:w="746" w:type="dxa"/>
          </w:tcPr>
          <w:p w14:paraId="3AD4BB68" w14:textId="77777777" w:rsidR="008D3B7C" w:rsidRDefault="00000000">
            <w:pPr>
              <w:pStyle w:val="Compact"/>
            </w:pPr>
            <w:r>
              <w:t>Alpha (5Y)</w:t>
            </w:r>
          </w:p>
        </w:tc>
        <w:tc>
          <w:tcPr>
            <w:tcW w:w="860" w:type="dxa"/>
          </w:tcPr>
          <w:p w14:paraId="0E2657BB" w14:textId="77777777" w:rsidR="008D3B7C" w:rsidRDefault="00000000">
            <w:pPr>
              <w:pStyle w:val="Compact"/>
            </w:pPr>
            <w:r>
              <w:t>Sharpe Ratio</w:t>
            </w:r>
          </w:p>
        </w:tc>
        <w:tc>
          <w:tcPr>
            <w:tcW w:w="401" w:type="dxa"/>
          </w:tcPr>
          <w:p w14:paraId="70005754" w14:textId="77777777" w:rsidR="008D3B7C" w:rsidRDefault="00000000">
            <w:pPr>
              <w:pStyle w:val="Compact"/>
            </w:pPr>
            <w:r>
              <w:t>Beta</w:t>
            </w:r>
          </w:p>
        </w:tc>
        <w:tc>
          <w:tcPr>
            <w:tcW w:w="746" w:type="dxa"/>
          </w:tcPr>
          <w:p w14:paraId="58232CC6" w14:textId="77777777" w:rsidR="008D3B7C" w:rsidRDefault="00000000">
            <w:pPr>
              <w:pStyle w:val="Compact"/>
            </w:pPr>
            <w:r>
              <w:t>1Y Return</w:t>
            </w:r>
          </w:p>
        </w:tc>
        <w:tc>
          <w:tcPr>
            <w:tcW w:w="746" w:type="dxa"/>
          </w:tcPr>
          <w:p w14:paraId="58797A20" w14:textId="77777777" w:rsidR="008D3B7C" w:rsidRDefault="00000000">
            <w:pPr>
              <w:pStyle w:val="Compact"/>
            </w:pPr>
            <w:r>
              <w:t>3Y Return</w:t>
            </w:r>
          </w:p>
        </w:tc>
        <w:tc>
          <w:tcPr>
            <w:tcW w:w="746" w:type="dxa"/>
          </w:tcPr>
          <w:p w14:paraId="474F016E" w14:textId="77777777" w:rsidR="008D3B7C" w:rsidRDefault="00000000">
            <w:pPr>
              <w:pStyle w:val="Compact"/>
            </w:pPr>
            <w:r>
              <w:t>5Y Return</w:t>
            </w:r>
          </w:p>
        </w:tc>
        <w:tc>
          <w:tcPr>
            <w:tcW w:w="746" w:type="dxa"/>
          </w:tcPr>
          <w:p w14:paraId="3CF6B0B4" w14:textId="77777777" w:rsidR="008D3B7C" w:rsidRDefault="00000000">
            <w:pPr>
              <w:pStyle w:val="Compact"/>
            </w:pPr>
            <w:r>
              <w:t>Benchmark</w:t>
            </w:r>
          </w:p>
        </w:tc>
        <w:tc>
          <w:tcPr>
            <w:tcW w:w="746" w:type="dxa"/>
          </w:tcPr>
          <w:p w14:paraId="5EE5B7C4" w14:textId="77777777" w:rsidR="008D3B7C" w:rsidRDefault="00000000">
            <w:pPr>
              <w:pStyle w:val="Compact"/>
            </w:pPr>
            <w:r>
              <w:t>Remarks</w:t>
            </w:r>
          </w:p>
        </w:tc>
      </w:tr>
      <w:tr w:rsidR="008D3B7C" w14:paraId="587673AA" w14:textId="77777777">
        <w:tc>
          <w:tcPr>
            <w:tcW w:w="688" w:type="dxa"/>
          </w:tcPr>
          <w:p w14:paraId="614D1BED" w14:textId="77777777" w:rsidR="008D3B7C" w:rsidRDefault="00000000">
            <w:pPr>
              <w:pStyle w:val="Compact"/>
            </w:pPr>
            <w:r>
              <w:t>[To be filled after live data fetch]</w:t>
            </w:r>
          </w:p>
        </w:tc>
        <w:tc>
          <w:tcPr>
            <w:tcW w:w="746" w:type="dxa"/>
          </w:tcPr>
          <w:p w14:paraId="663534BA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234B769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5B6D09F0" w14:textId="77777777" w:rsidR="008D3B7C" w:rsidRDefault="008D3B7C">
            <w:pPr>
              <w:pStyle w:val="Compact"/>
            </w:pPr>
          </w:p>
        </w:tc>
        <w:tc>
          <w:tcPr>
            <w:tcW w:w="860" w:type="dxa"/>
          </w:tcPr>
          <w:p w14:paraId="01233161" w14:textId="77777777" w:rsidR="008D3B7C" w:rsidRDefault="008D3B7C">
            <w:pPr>
              <w:pStyle w:val="Compact"/>
            </w:pPr>
          </w:p>
        </w:tc>
        <w:tc>
          <w:tcPr>
            <w:tcW w:w="401" w:type="dxa"/>
          </w:tcPr>
          <w:p w14:paraId="3E2A0D03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6E41FD76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74A58735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0D40F976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10AEEB6D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18A79FC" w14:textId="77777777" w:rsidR="008D3B7C" w:rsidRDefault="008D3B7C">
            <w:pPr>
              <w:pStyle w:val="Compact"/>
            </w:pPr>
          </w:p>
        </w:tc>
      </w:tr>
    </w:tbl>
    <w:p w14:paraId="534026A9" w14:textId="77777777" w:rsidR="008D3B7C" w:rsidRDefault="00000000">
      <w:pPr>
        <w:pStyle w:val="Heading3"/>
      </w:pPr>
      <w:bookmarkStart w:id="9" w:name="flexi-cap-funds"/>
      <w:bookmarkEnd w:id="8"/>
      <w:r>
        <w:t>Flexi Cap Funds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3"/>
        <w:gridCol w:w="903"/>
        <w:gridCol w:w="903"/>
        <w:gridCol w:w="902"/>
        <w:gridCol w:w="1040"/>
        <w:gridCol w:w="485"/>
        <w:gridCol w:w="902"/>
        <w:gridCol w:w="902"/>
        <w:gridCol w:w="902"/>
        <w:gridCol w:w="902"/>
        <w:gridCol w:w="902"/>
      </w:tblGrid>
      <w:tr w:rsidR="008D3B7C" w14:paraId="71235C13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5F17FC6E" w14:textId="77777777" w:rsidR="008D3B7C" w:rsidRDefault="00000000">
            <w:pPr>
              <w:pStyle w:val="Compact"/>
            </w:pPr>
            <w:r>
              <w:t>Fund Name</w:t>
            </w:r>
          </w:p>
        </w:tc>
        <w:tc>
          <w:tcPr>
            <w:tcW w:w="746" w:type="dxa"/>
          </w:tcPr>
          <w:p w14:paraId="363BFC67" w14:textId="77777777" w:rsidR="008D3B7C" w:rsidRDefault="00000000">
            <w:pPr>
              <w:pStyle w:val="Compact"/>
            </w:pPr>
            <w:r>
              <w:t>Alpha (1Y)</w:t>
            </w:r>
          </w:p>
        </w:tc>
        <w:tc>
          <w:tcPr>
            <w:tcW w:w="746" w:type="dxa"/>
          </w:tcPr>
          <w:p w14:paraId="364EB93C" w14:textId="77777777" w:rsidR="008D3B7C" w:rsidRDefault="00000000">
            <w:pPr>
              <w:pStyle w:val="Compact"/>
            </w:pPr>
            <w:r>
              <w:t>Alpha (3Y)</w:t>
            </w:r>
          </w:p>
        </w:tc>
        <w:tc>
          <w:tcPr>
            <w:tcW w:w="746" w:type="dxa"/>
          </w:tcPr>
          <w:p w14:paraId="05250705" w14:textId="77777777" w:rsidR="008D3B7C" w:rsidRDefault="00000000">
            <w:pPr>
              <w:pStyle w:val="Compact"/>
            </w:pPr>
            <w:r>
              <w:t>Alpha (5Y)</w:t>
            </w:r>
          </w:p>
        </w:tc>
        <w:tc>
          <w:tcPr>
            <w:tcW w:w="860" w:type="dxa"/>
          </w:tcPr>
          <w:p w14:paraId="788B0495" w14:textId="77777777" w:rsidR="008D3B7C" w:rsidRDefault="00000000">
            <w:pPr>
              <w:pStyle w:val="Compact"/>
            </w:pPr>
            <w:r>
              <w:t>Sharpe Ratio</w:t>
            </w:r>
          </w:p>
        </w:tc>
        <w:tc>
          <w:tcPr>
            <w:tcW w:w="401" w:type="dxa"/>
          </w:tcPr>
          <w:p w14:paraId="083BCA0F" w14:textId="77777777" w:rsidR="008D3B7C" w:rsidRDefault="00000000">
            <w:pPr>
              <w:pStyle w:val="Compact"/>
            </w:pPr>
            <w:r>
              <w:t>Beta</w:t>
            </w:r>
          </w:p>
        </w:tc>
        <w:tc>
          <w:tcPr>
            <w:tcW w:w="746" w:type="dxa"/>
          </w:tcPr>
          <w:p w14:paraId="78C353B9" w14:textId="77777777" w:rsidR="008D3B7C" w:rsidRDefault="00000000">
            <w:pPr>
              <w:pStyle w:val="Compact"/>
            </w:pPr>
            <w:r>
              <w:t>1Y Return</w:t>
            </w:r>
          </w:p>
        </w:tc>
        <w:tc>
          <w:tcPr>
            <w:tcW w:w="746" w:type="dxa"/>
          </w:tcPr>
          <w:p w14:paraId="786FDBD6" w14:textId="77777777" w:rsidR="008D3B7C" w:rsidRDefault="00000000">
            <w:pPr>
              <w:pStyle w:val="Compact"/>
            </w:pPr>
            <w:r>
              <w:t>3Y Return</w:t>
            </w:r>
          </w:p>
        </w:tc>
        <w:tc>
          <w:tcPr>
            <w:tcW w:w="746" w:type="dxa"/>
          </w:tcPr>
          <w:p w14:paraId="765195DA" w14:textId="77777777" w:rsidR="008D3B7C" w:rsidRDefault="00000000">
            <w:pPr>
              <w:pStyle w:val="Compact"/>
            </w:pPr>
            <w:r>
              <w:t>5Y Return</w:t>
            </w:r>
          </w:p>
        </w:tc>
        <w:tc>
          <w:tcPr>
            <w:tcW w:w="746" w:type="dxa"/>
          </w:tcPr>
          <w:p w14:paraId="32EEC8CD" w14:textId="77777777" w:rsidR="008D3B7C" w:rsidRDefault="00000000">
            <w:pPr>
              <w:pStyle w:val="Compact"/>
            </w:pPr>
            <w:r>
              <w:t>Benchmark</w:t>
            </w:r>
          </w:p>
        </w:tc>
        <w:tc>
          <w:tcPr>
            <w:tcW w:w="746" w:type="dxa"/>
          </w:tcPr>
          <w:p w14:paraId="0D9A3D03" w14:textId="77777777" w:rsidR="008D3B7C" w:rsidRDefault="00000000">
            <w:pPr>
              <w:pStyle w:val="Compact"/>
            </w:pPr>
            <w:r>
              <w:t>Remarks</w:t>
            </w:r>
          </w:p>
        </w:tc>
      </w:tr>
      <w:tr w:rsidR="008D3B7C" w14:paraId="20A83826" w14:textId="77777777">
        <w:tc>
          <w:tcPr>
            <w:tcW w:w="688" w:type="dxa"/>
          </w:tcPr>
          <w:p w14:paraId="749049BF" w14:textId="77777777" w:rsidR="008D3B7C" w:rsidRDefault="00000000">
            <w:pPr>
              <w:pStyle w:val="Compact"/>
            </w:pPr>
            <w:r>
              <w:t>[To be filled after live data fetch]</w:t>
            </w:r>
          </w:p>
        </w:tc>
        <w:tc>
          <w:tcPr>
            <w:tcW w:w="746" w:type="dxa"/>
          </w:tcPr>
          <w:p w14:paraId="5E6A2689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955433E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47016376" w14:textId="77777777" w:rsidR="008D3B7C" w:rsidRDefault="008D3B7C">
            <w:pPr>
              <w:pStyle w:val="Compact"/>
            </w:pPr>
          </w:p>
        </w:tc>
        <w:tc>
          <w:tcPr>
            <w:tcW w:w="860" w:type="dxa"/>
          </w:tcPr>
          <w:p w14:paraId="1B5179B7" w14:textId="77777777" w:rsidR="008D3B7C" w:rsidRDefault="008D3B7C">
            <w:pPr>
              <w:pStyle w:val="Compact"/>
            </w:pPr>
          </w:p>
        </w:tc>
        <w:tc>
          <w:tcPr>
            <w:tcW w:w="401" w:type="dxa"/>
          </w:tcPr>
          <w:p w14:paraId="1FB71EC6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4F245BBC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40E011EA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6F1C16F2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3A9330F" w14:textId="77777777" w:rsidR="008D3B7C" w:rsidRDefault="008D3B7C">
            <w:pPr>
              <w:pStyle w:val="Compact"/>
            </w:pPr>
          </w:p>
        </w:tc>
        <w:tc>
          <w:tcPr>
            <w:tcW w:w="746" w:type="dxa"/>
          </w:tcPr>
          <w:p w14:paraId="2D1884B7" w14:textId="77777777" w:rsidR="008D3B7C" w:rsidRDefault="008D3B7C">
            <w:pPr>
              <w:pStyle w:val="Compact"/>
            </w:pPr>
          </w:p>
        </w:tc>
      </w:tr>
    </w:tbl>
    <w:p w14:paraId="707ED135" w14:textId="77777777" w:rsidR="008D3B7C" w:rsidRDefault="00000000">
      <w:r>
        <w:pict w14:anchorId="745EC80E">
          <v:rect id="_x0000_i1029" style="width:0;height:1.5pt" o:hralign="center" o:hrstd="t" o:hr="t"/>
        </w:pict>
      </w:r>
    </w:p>
    <w:p w14:paraId="4C2CE26D" w14:textId="77777777" w:rsidR="008D3B7C" w:rsidRDefault="00000000">
      <w:pPr>
        <w:pStyle w:val="Heading2"/>
      </w:pPr>
      <w:bookmarkStart w:id="10" w:name="decision-logic-for-portfolio-changes"/>
      <w:bookmarkEnd w:id="5"/>
      <w:bookmarkEnd w:id="9"/>
      <w:r>
        <w:t>5. Decision Logic for Portfolio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3B7C" w14:paraId="661496C8" w14:textId="77777777" w:rsidTr="008D3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F75952" w14:textId="77777777" w:rsidR="008D3B7C" w:rsidRDefault="00000000">
            <w:pPr>
              <w:pStyle w:val="Compact"/>
            </w:pPr>
            <w:r>
              <w:t>Evaluation Outcome</w:t>
            </w:r>
          </w:p>
        </w:tc>
        <w:tc>
          <w:tcPr>
            <w:tcW w:w="3960" w:type="dxa"/>
          </w:tcPr>
          <w:p w14:paraId="5C2A83F1" w14:textId="77777777" w:rsidR="008D3B7C" w:rsidRDefault="00000000">
            <w:pPr>
              <w:pStyle w:val="Compact"/>
            </w:pPr>
            <w:r>
              <w:t>Recommended Action</w:t>
            </w:r>
          </w:p>
        </w:tc>
      </w:tr>
      <w:tr w:rsidR="008D3B7C" w14:paraId="61A13A43" w14:textId="77777777">
        <w:tc>
          <w:tcPr>
            <w:tcW w:w="3960" w:type="dxa"/>
          </w:tcPr>
          <w:p w14:paraId="3EE95584" w14:textId="77777777" w:rsidR="008D3B7C" w:rsidRDefault="00000000">
            <w:pPr>
              <w:pStyle w:val="Compact"/>
            </w:pPr>
            <w:r>
              <w:t>Alpha consistently &lt; 5 or negative</w:t>
            </w:r>
          </w:p>
        </w:tc>
        <w:tc>
          <w:tcPr>
            <w:tcW w:w="3960" w:type="dxa"/>
          </w:tcPr>
          <w:p w14:paraId="18828125" w14:textId="77777777" w:rsidR="008D3B7C" w:rsidRDefault="00000000">
            <w:pPr>
              <w:pStyle w:val="Compact"/>
            </w:pPr>
            <w:r>
              <w:t>Replace with better-performing peer in same category</w:t>
            </w:r>
          </w:p>
        </w:tc>
      </w:tr>
      <w:tr w:rsidR="008D3B7C" w14:paraId="5A8E414F" w14:textId="77777777">
        <w:tc>
          <w:tcPr>
            <w:tcW w:w="3960" w:type="dxa"/>
          </w:tcPr>
          <w:p w14:paraId="014503AC" w14:textId="77777777" w:rsidR="008D3B7C" w:rsidRDefault="00000000">
            <w:pPr>
              <w:pStyle w:val="Compact"/>
            </w:pPr>
            <w:r>
              <w:t>Sharpe Ratio &lt; 1.0</w:t>
            </w:r>
          </w:p>
        </w:tc>
        <w:tc>
          <w:tcPr>
            <w:tcW w:w="3960" w:type="dxa"/>
          </w:tcPr>
          <w:p w14:paraId="4FAA7D1A" w14:textId="77777777" w:rsidR="008D3B7C" w:rsidRDefault="00000000">
            <w:pPr>
              <w:pStyle w:val="Compact"/>
            </w:pPr>
            <w:r>
              <w:t>Review risk-adjusted performance and volatility</w:t>
            </w:r>
          </w:p>
        </w:tc>
      </w:tr>
      <w:tr w:rsidR="008D3B7C" w14:paraId="003DFA07" w14:textId="77777777">
        <w:tc>
          <w:tcPr>
            <w:tcW w:w="3960" w:type="dxa"/>
          </w:tcPr>
          <w:p w14:paraId="1E6C6A77" w14:textId="77777777" w:rsidR="008D3B7C" w:rsidRDefault="00000000">
            <w:pPr>
              <w:pStyle w:val="Compact"/>
            </w:pPr>
            <w:r>
              <w:t>Beta &gt; 1.2</w:t>
            </w:r>
          </w:p>
        </w:tc>
        <w:tc>
          <w:tcPr>
            <w:tcW w:w="3960" w:type="dxa"/>
          </w:tcPr>
          <w:p w14:paraId="403D06E3" w14:textId="77777777" w:rsidR="008D3B7C" w:rsidRDefault="00000000">
            <w:pPr>
              <w:pStyle w:val="Compact"/>
            </w:pPr>
            <w:r>
              <w:t>Consider high volatility risk — trim allocation if needed</w:t>
            </w:r>
          </w:p>
        </w:tc>
      </w:tr>
      <w:tr w:rsidR="008D3B7C" w14:paraId="788E0608" w14:textId="77777777">
        <w:tc>
          <w:tcPr>
            <w:tcW w:w="3960" w:type="dxa"/>
          </w:tcPr>
          <w:p w14:paraId="64AD7D90" w14:textId="77777777" w:rsidR="008D3B7C" w:rsidRDefault="00000000">
            <w:pPr>
              <w:pStyle w:val="Compact"/>
            </w:pPr>
            <w:r>
              <w:t>Consistent negative down-market alpha</w:t>
            </w:r>
          </w:p>
        </w:tc>
        <w:tc>
          <w:tcPr>
            <w:tcW w:w="3960" w:type="dxa"/>
          </w:tcPr>
          <w:p w14:paraId="6EB6DECB" w14:textId="77777777" w:rsidR="008D3B7C" w:rsidRDefault="00000000">
            <w:pPr>
              <w:pStyle w:val="Compact"/>
            </w:pPr>
            <w:r>
              <w:t>Replace fund (fails resilience test)</w:t>
            </w:r>
          </w:p>
        </w:tc>
      </w:tr>
      <w:tr w:rsidR="008D3B7C" w14:paraId="51DF7D0D" w14:textId="77777777">
        <w:tc>
          <w:tcPr>
            <w:tcW w:w="3960" w:type="dxa"/>
          </w:tcPr>
          <w:p w14:paraId="7B8A5D82" w14:textId="77777777" w:rsidR="008D3B7C" w:rsidRDefault="00000000">
            <w:pPr>
              <w:pStyle w:val="Compact"/>
            </w:pPr>
            <w:r>
              <w:t>High overlap (&gt;20%) between funds</w:t>
            </w:r>
          </w:p>
        </w:tc>
        <w:tc>
          <w:tcPr>
            <w:tcW w:w="3960" w:type="dxa"/>
          </w:tcPr>
          <w:p w14:paraId="06324721" w14:textId="77777777" w:rsidR="008D3B7C" w:rsidRDefault="00000000">
            <w:pPr>
              <w:pStyle w:val="Compact"/>
            </w:pPr>
            <w:r>
              <w:t>Replace overlapping fund with low-</w:t>
            </w:r>
            <w:r>
              <w:lastRenderedPageBreak/>
              <w:t>correlation alternative</w:t>
            </w:r>
          </w:p>
        </w:tc>
      </w:tr>
    </w:tbl>
    <w:p w14:paraId="05CD412E" w14:textId="77777777" w:rsidR="008D3B7C" w:rsidRDefault="00000000">
      <w:r>
        <w:lastRenderedPageBreak/>
        <w:pict w14:anchorId="732DBB4B">
          <v:rect id="_x0000_i1030" style="width:0;height:1.5pt" o:hralign="center" o:hrstd="t" o:hr="t"/>
        </w:pict>
      </w:r>
    </w:p>
    <w:p w14:paraId="2E4A32F1" w14:textId="77777777" w:rsidR="008D3B7C" w:rsidRDefault="00000000">
      <w:pPr>
        <w:pStyle w:val="Heading2"/>
      </w:pPr>
      <w:bookmarkStart w:id="11" w:name="interactive-step-for-user-input"/>
      <w:bookmarkEnd w:id="10"/>
      <w:r>
        <w:t>6. Interactive Step for User Input</w:t>
      </w:r>
    </w:p>
    <w:p w14:paraId="6F9107FD" w14:textId="77777777" w:rsidR="008D3B7C" w:rsidRDefault="00000000">
      <w:pPr>
        <w:pStyle w:val="FirstParagraph"/>
      </w:pPr>
      <w:r>
        <w:t xml:space="preserve">At this stage, you will: 1. </w:t>
      </w:r>
      <w:r>
        <w:rPr>
          <w:b/>
          <w:bCs/>
        </w:rPr>
        <w:t>Review the data tables</w:t>
      </w:r>
      <w:r>
        <w:t xml:space="preserve"> (after live data insertion). 2. Confirm which funds are underperforming. 3. Choose whether to </w:t>
      </w:r>
      <w:r>
        <w:rPr>
          <w:b/>
          <w:bCs/>
        </w:rPr>
        <w:t>replace</w:t>
      </w:r>
      <w:r>
        <w:t xml:space="preserve"> those funds or </w:t>
      </w:r>
      <w:r>
        <w:rPr>
          <w:b/>
          <w:bCs/>
        </w:rPr>
        <w:t>adjust allocations</w:t>
      </w:r>
      <w:r>
        <w:t>. 4. (Optional) Indicate if you’d like the CFA Agent to automatically suggest replacements based on alpha-sharpe-beta filters.</w:t>
      </w:r>
    </w:p>
    <w:p w14:paraId="29EC56D8" w14:textId="77777777" w:rsidR="008D3B7C" w:rsidRDefault="00000000">
      <w:r>
        <w:pict w14:anchorId="3C770FFA">
          <v:rect id="_x0000_i1031" style="width:0;height:1.5pt" o:hralign="center" o:hrstd="t" o:hr="t"/>
        </w:pict>
      </w:r>
    </w:p>
    <w:p w14:paraId="6ACC5F87" w14:textId="77777777" w:rsidR="008D3B7C" w:rsidRDefault="00000000">
      <w:pPr>
        <w:pStyle w:val="Heading2"/>
      </w:pPr>
      <w:bookmarkStart w:id="12" w:name="X0c14a68bce953f5addbec290f3c646df77f727f"/>
      <w:bookmarkEnd w:id="11"/>
      <w:r>
        <w:t>7. Revised Portfolio Recommendation (Post Review)</w:t>
      </w:r>
    </w:p>
    <w:p w14:paraId="3D79ADB0" w14:textId="700E4171" w:rsidR="008D3B7C" w:rsidRDefault="00000000">
      <w:pPr>
        <w:pStyle w:val="FirstParagraph"/>
      </w:pPr>
      <w:r>
        <w:t xml:space="preserve">Once the analysis is complete, </w:t>
      </w:r>
      <w:r w:rsidR="00992211">
        <w:t>As</w:t>
      </w:r>
      <w:r>
        <w:t xml:space="preserve"> CFA Agent generate a new portfolio that: - Maintains category diversification (Large, Mid, Small, Flexi, International) - Ensures overlap &lt; 20% - Optimizes Alpha, Sharpe Ratio, and Beta ranges - Aligns with your 5-year ₹60 L corpus goal</w:t>
      </w:r>
    </w:p>
    <w:p w14:paraId="0009054B" w14:textId="77777777" w:rsidR="008D3B7C" w:rsidRDefault="00000000">
      <w:r>
        <w:pict w14:anchorId="3EACBAAB">
          <v:rect id="_x0000_i1032" style="width:0;height:1.5pt" o:hralign="center" o:hrstd="t" o:hr="t"/>
        </w:pict>
      </w:r>
    </w:p>
    <w:p w14:paraId="751CC53E" w14:textId="77777777" w:rsidR="008D3B7C" w:rsidRDefault="00000000">
      <w:pPr>
        <w:pStyle w:val="Heading2"/>
      </w:pPr>
      <w:bookmarkStart w:id="13" w:name="rebalancing-monitoring"/>
      <w:bookmarkEnd w:id="12"/>
      <w:r>
        <w:t>8. Rebalancing &amp; Monitoring</w:t>
      </w:r>
    </w:p>
    <w:p w14:paraId="6BC7C1CD" w14:textId="77777777" w:rsidR="008D3B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Frequency:</w:t>
      </w:r>
      <w:r>
        <w:t xml:space="preserve"> Every 6 months</w:t>
      </w:r>
    </w:p>
    <w:p w14:paraId="6962BAB3" w14:textId="77777777" w:rsidR="008D3B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Checkpoints:</w:t>
      </w:r>
      <w:r>
        <w:t xml:space="preserve"> Alpha, Sharpe, Beta, Expense Ratio, Category Ranking</w:t>
      </w:r>
    </w:p>
    <w:p w14:paraId="0BA14E28" w14:textId="77777777" w:rsidR="008D3B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Action:</w:t>
      </w:r>
      <w:r>
        <w:t xml:space="preserve"> Trim outperformers (&gt;25% gain YoY) and reallocate to lagging categories.</w:t>
      </w:r>
    </w:p>
    <w:p w14:paraId="464001F0" w14:textId="77777777" w:rsidR="008D3B7C" w:rsidRDefault="00000000">
      <w:r>
        <w:pict w14:anchorId="03820B97">
          <v:rect id="_x0000_i1033" style="width:0;height:1.5pt" o:hralign="center" o:hrstd="t" o:hr="t"/>
        </w:pict>
      </w:r>
    </w:p>
    <w:p w14:paraId="209730E0" w14:textId="77777777" w:rsidR="008D3B7C" w:rsidRDefault="00000000">
      <w:pPr>
        <w:pStyle w:val="Heading2"/>
      </w:pPr>
      <w:bookmarkStart w:id="14" w:name="next-step-user-action-required"/>
      <w:bookmarkEnd w:id="13"/>
      <w:r>
        <w:t>9. Next Step (User Action Required)</w:t>
      </w:r>
    </w:p>
    <w:p w14:paraId="633ACF4C" w14:textId="77777777" w:rsidR="008D3B7C" w:rsidRDefault="00000000">
      <w:pPr>
        <w:pStyle w:val="FirstParagraph"/>
      </w:pPr>
      <w:r>
        <w:t xml:space="preserve">Please confirm: 1. ✅ Whether you want me to fetch </w:t>
      </w:r>
      <w:r>
        <w:rPr>
          <w:b/>
          <w:bCs/>
        </w:rPr>
        <w:t>live Alpha, Sharpe, Beta data</w:t>
      </w:r>
      <w:r>
        <w:t xml:space="preserve"> and fill in Tables 4.1–4.4. 2. ⚙️ Whether I should </w:t>
      </w:r>
      <w:r>
        <w:rPr>
          <w:b/>
          <w:bCs/>
        </w:rPr>
        <w:t>auto-suggest replacements</w:t>
      </w:r>
      <w:r>
        <w:t xml:space="preserve"> for any underperforming funds based on this framework.</w:t>
      </w:r>
    </w:p>
    <w:p w14:paraId="622F9337" w14:textId="77777777" w:rsidR="008D3B7C" w:rsidRDefault="00000000">
      <w:pPr>
        <w:pStyle w:val="BodyText"/>
      </w:pPr>
      <w:r>
        <w:t>Once confirmed, I will: - Pull real-time data from trusted sources (ValueResearch/Morningstar/AMFI) - Populate tables with top 5 funds per category - Recommend an optimized high-alpha portfolio aligned with your target corpus.</w:t>
      </w:r>
      <w:bookmarkEnd w:id="0"/>
      <w:bookmarkEnd w:id="14"/>
    </w:p>
    <w:sectPr w:rsidR="008D3B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4421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9E64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6530303">
    <w:abstractNumId w:val="0"/>
  </w:num>
  <w:num w:numId="2" w16cid:durableId="182400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B7C"/>
    <w:rsid w:val="000650E2"/>
    <w:rsid w:val="002C28D2"/>
    <w:rsid w:val="008A313B"/>
    <w:rsid w:val="008D3B7C"/>
    <w:rsid w:val="00992211"/>
    <w:rsid w:val="00B51E23"/>
    <w:rsid w:val="00E3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D7B1"/>
  <w15:docId w15:val="{13152251-938A-4594-9851-26CB64D2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4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divyavani.turpu@gmail.com</cp:lastModifiedBy>
  <cp:revision>7</cp:revision>
  <dcterms:created xsi:type="dcterms:W3CDTF">2025-10-31T02:40:00Z</dcterms:created>
  <dcterms:modified xsi:type="dcterms:W3CDTF">2026-06-10T03:52:00Z</dcterms:modified>
</cp:coreProperties>
</file>