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172A"/>
          <w:sz w:val="52"/>
        </w:rPr>
        <w:t>PHARMDVERSE ERP</w:t>
      </w:r>
    </w:p>
    <w:p>
      <w:pPr>
        <w:spacing w:after="480"/>
        <w:jc w:val="center"/>
      </w:pPr>
      <w:r>
        <w:rPr>
          <w:rFonts w:ascii="Arial" w:hAnsi="Arial"/>
          <w:b/>
          <w:color w:val="0D9488"/>
          <w:sz w:val="30"/>
        </w:rPr>
        <w:t>COMPLETE SYSTEM BLUEPRINT &amp; USER MANUAL</w:t>
        <w:br/>
        <w:t>Version: Current Production Version</w:t>
      </w:r>
    </w:p>
    <w:p>
      <w:pPr>
        <w:spacing w:after="120" w:line="276" w:lineRule="auto"/>
      </w:pPr>
      <w:r>
        <w:rPr>
          <w:rFonts w:ascii="Arial" w:hAnsi="Arial"/>
          <w:color w:val="1E293B"/>
          <w:sz w:val="21"/>
        </w:rPr>
        <w:t>System Classification: Enterprise Healthcare &amp; Pharm.D Education ERP Platform</w:t>
      </w:r>
    </w:p>
    <w:p>
      <w:pPr>
        <w:spacing w:after="120" w:line="276" w:lineRule="auto"/>
      </w:pPr>
      <w:r>
        <w:rPr>
          <w:rFonts w:ascii="Arial" w:hAnsi="Arial"/>
          <w:color w:val="1E293B"/>
          <w:sz w:val="21"/>
        </w:rPr>
        <w:t>Target Audience: Super Administrators, College Administrators, Faculty Preceptors, Pharm.D Students, System Maintainers.</w:t>
      </w:r>
    </w:p>
    <w:p>
      <w:pPr>
        <w:spacing w:after="120" w:line="276" w:lineRule="auto"/>
      </w:pPr>
      <w:r>
        <w:rPr>
          <w:rFonts w:ascii="Arial" w:hAnsi="Arial"/>
          <w:color w:val="1E293B"/>
          <w:sz w:val="21"/>
        </w:rPr>
        <w:t>Document Purpose: Authoritative technical blueprint and operational user manual documenting platform architecture, database schemas, role access controls, clinical workflows, master data curation, AI analysis engine, and college document branding.</w:t>
      </w:r>
    </w:p>
    <w:p>
      <w:r>
        <w:br w:type="page"/>
      </w:r>
    </w:p>
    <w:p>
      <w:pPr>
        <w:spacing w:before="400" w:after="160"/>
      </w:pPr>
      <w:r>
        <w:rPr>
          <w:rFonts w:ascii="Arial" w:hAnsi="Arial"/>
          <w:b/>
          <w:color w:val="0F172A"/>
          <w:sz w:val="36"/>
        </w:rPr>
        <w:t>Document Control &amp; Release Metadata</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0F172A"/>
            <w:tcMar>
              <w:top w:w="100" w:type="dxa"/>
              <w:bottom w:w="100" w:type="dxa"/>
              <w:left w:w="120" w:type="dxa"/>
              <w:right w:w="120" w:type="dxa"/>
            </w:tcMar>
          </w:tcPr>
          <w:p>
            <w:pPr>
              <w:jc w:val="left"/>
            </w:pPr>
            <w:r>
              <w:rPr>
                <w:rFonts w:ascii="Arial" w:hAnsi="Arial"/>
                <w:b/>
                <w:color w:val="FFFFFF"/>
                <w:sz w:val="20"/>
              </w:rPr>
              <w:t>Parameter</w:t>
            </w:r>
          </w:p>
        </w:tc>
        <w:tc>
          <w:tcPr>
            <w:tcW w:type="dxa" w:w="2160"/>
            <w:shd w:val="clear" w:color="auto" w:fill="0F172A"/>
            <w:tcMar>
              <w:top w:w="100" w:type="dxa"/>
              <w:bottom w:w="100" w:type="dxa"/>
              <w:left w:w="120" w:type="dxa"/>
              <w:right w:w="120" w:type="dxa"/>
            </w:tcMar>
          </w:tcPr>
          <w:p>
            <w:pPr>
              <w:jc w:val="left"/>
            </w:pPr>
            <w:r>
              <w:rPr>
                <w:rFonts w:ascii="Arial" w:hAnsi="Arial"/>
                <w:b/>
                <w:color w:val="FFFFFF"/>
                <w:sz w:val="20"/>
              </w:rPr>
              <w:t>Version</w:t>
            </w:r>
          </w:p>
        </w:tc>
        <w:tc>
          <w:tcPr>
            <w:tcW w:type="dxa" w:w="2160"/>
            <w:shd w:val="clear" w:color="auto" w:fill="0F172A"/>
            <w:tcMar>
              <w:top w:w="100" w:type="dxa"/>
              <w:bottom w:w="100" w:type="dxa"/>
              <w:left w:w="120" w:type="dxa"/>
              <w:right w:w="120" w:type="dxa"/>
            </w:tcMar>
          </w:tcPr>
          <w:p>
            <w:pPr>
              <w:jc w:val="left"/>
            </w:pPr>
            <w:r>
              <w:rPr>
                <w:rFonts w:ascii="Arial" w:hAnsi="Arial"/>
                <w:b/>
                <w:color w:val="FFFFFF"/>
                <w:sz w:val="20"/>
              </w:rPr>
              <w:t>Date</w:t>
            </w:r>
          </w:p>
        </w:tc>
        <w:tc>
          <w:tcPr>
            <w:tcW w:type="dxa" w:w="2880"/>
            <w:shd w:val="clear" w:color="auto" w:fill="0F172A"/>
            <w:tcMar>
              <w:top w:w="100" w:type="dxa"/>
              <w:bottom w:w="100" w:type="dxa"/>
              <w:left w:w="120" w:type="dxa"/>
              <w:right w:w="120" w:type="dxa"/>
            </w:tcMar>
          </w:tcPr>
          <w:p>
            <w:pPr>
              <w:jc w:val="left"/>
            </w:pPr>
            <w:r>
              <w:rPr>
                <w:rFonts w:ascii="Arial" w:hAnsi="Arial"/>
                <w:b/>
                <w:color w:val="FFFFFF"/>
                <w:sz w:val="20"/>
              </w:rPr>
              <w:t>Status</w:t>
            </w:r>
          </w:p>
        </w:tc>
      </w:tr>
      <w:tr>
        <w:tc>
          <w:tcPr>
            <w:tcW w:type="dxa" w:w="2160"/>
            <w:shd w:val="clear" w:color="auto" w:fill="F8FAFC"/>
            <w:tcMar>
              <w:top w:w="80" w:type="dxa"/>
              <w:bottom w:w="80" w:type="dxa"/>
              <w:left w:w="120" w:type="dxa"/>
              <w:right w:w="120" w:type="dxa"/>
            </w:tcMar>
          </w:tcPr>
          <w:p>
            <w:pPr>
              <w:jc w:val="left"/>
            </w:pPr>
            <w:r>
              <w:rPr>
                <w:rFonts w:ascii="Arial" w:hAnsi="Arial"/>
                <w:color w:val="1E293B"/>
                <w:sz w:val="19"/>
              </w:rPr>
              <w:t>System Specification</w:t>
            </w:r>
          </w:p>
        </w:tc>
        <w:tc>
          <w:tcPr>
            <w:tcW w:type="dxa" w:w="2160"/>
            <w:shd w:val="clear" w:color="auto" w:fill="F8FAFC"/>
            <w:tcMar>
              <w:top w:w="80" w:type="dxa"/>
              <w:bottom w:w="80" w:type="dxa"/>
              <w:left w:w="120" w:type="dxa"/>
              <w:right w:w="120" w:type="dxa"/>
            </w:tcMar>
          </w:tcPr>
          <w:p>
            <w:pPr>
              <w:jc w:val="left"/>
            </w:pPr>
            <w:r>
              <w:rPr>
                <w:rFonts w:ascii="Arial" w:hAnsi="Arial"/>
                <w:color w:val="1E293B"/>
                <w:sz w:val="19"/>
              </w:rPr>
              <w:t>v8.2.0 Production</w:t>
            </w:r>
          </w:p>
        </w:tc>
        <w:tc>
          <w:tcPr>
            <w:tcW w:type="dxa" w:w="2160"/>
            <w:shd w:val="clear" w:color="auto" w:fill="F8FAFC"/>
            <w:tcMar>
              <w:top w:w="80" w:type="dxa"/>
              <w:bottom w:w="80" w:type="dxa"/>
              <w:left w:w="120" w:type="dxa"/>
              <w:right w:w="120" w:type="dxa"/>
            </w:tcMar>
          </w:tcPr>
          <w:p>
            <w:pPr>
              <w:jc w:val="left"/>
            </w:pPr>
            <w:r>
              <w:rPr>
                <w:rFonts w:ascii="Arial" w:hAnsi="Arial"/>
                <w:color w:val="1E293B"/>
                <w:sz w:val="19"/>
              </w:rPr>
              <w:t>August 2026</w:t>
            </w:r>
          </w:p>
        </w:tc>
        <w:tc>
          <w:tcPr>
            <w:tcW w:type="dxa" w:w="2880"/>
            <w:shd w:val="clear" w:color="auto" w:fill="F8FAFC"/>
            <w:tcMar>
              <w:top w:w="80" w:type="dxa"/>
              <w:bottom w:w="80" w:type="dxa"/>
              <w:left w:w="120" w:type="dxa"/>
              <w:right w:w="120" w:type="dxa"/>
            </w:tcMar>
          </w:tcPr>
          <w:p>
            <w:pPr>
              <w:jc w:val="left"/>
            </w:pPr>
            <w:r>
              <w:rPr>
                <w:rFonts w:ascii="Arial" w:hAnsi="Arial"/>
                <w:color w:val="1E293B"/>
                <w:sz w:val="19"/>
              </w:rPr>
              <w:t>Verified &amp; Operational</w:t>
            </w:r>
          </w:p>
        </w:tc>
      </w:tr>
      <w:tr>
        <w:tc>
          <w:tcPr>
            <w:tcW w:type="dxa" w:w="2160"/>
            <w:tcMar>
              <w:top w:w="80" w:type="dxa"/>
              <w:bottom w:w="80" w:type="dxa"/>
              <w:left w:w="120" w:type="dxa"/>
              <w:right w:w="120" w:type="dxa"/>
            </w:tcMar>
          </w:tcPr>
          <w:p>
            <w:pPr>
              <w:jc w:val="left"/>
            </w:pPr>
            <w:r>
              <w:rPr>
                <w:rFonts w:ascii="Arial" w:hAnsi="Arial"/>
                <w:color w:val="1E293B"/>
                <w:sz w:val="19"/>
              </w:rPr>
              <w:t>Architecture Model</w:t>
            </w:r>
          </w:p>
        </w:tc>
        <w:tc>
          <w:tcPr>
            <w:tcW w:type="dxa" w:w="2160"/>
            <w:tcMar>
              <w:top w:w="80" w:type="dxa"/>
              <w:bottom w:w="80" w:type="dxa"/>
              <w:left w:w="120" w:type="dxa"/>
              <w:right w:w="120" w:type="dxa"/>
            </w:tcMar>
          </w:tcPr>
          <w:p>
            <w:pPr>
              <w:jc w:val="left"/>
            </w:pPr>
            <w:r>
              <w:rPr>
                <w:rFonts w:ascii="Arial" w:hAnsi="Arial"/>
                <w:color w:val="1E293B"/>
                <w:sz w:val="19"/>
              </w:rPr>
              <w:t>Multi-Tenant Cloud</w:t>
            </w:r>
          </w:p>
        </w:tc>
        <w:tc>
          <w:tcPr>
            <w:tcW w:type="dxa" w:w="2160"/>
            <w:tcMar>
              <w:top w:w="80" w:type="dxa"/>
              <w:bottom w:w="80" w:type="dxa"/>
              <w:left w:w="120" w:type="dxa"/>
              <w:right w:w="120" w:type="dxa"/>
            </w:tcMar>
          </w:tcPr>
          <w:p>
            <w:pPr>
              <w:jc w:val="left"/>
            </w:pPr>
            <w:r>
              <w:rPr>
                <w:rFonts w:ascii="Arial" w:hAnsi="Arial"/>
                <w:color w:val="1E293B"/>
                <w:sz w:val="19"/>
              </w:rPr>
              <w:t>2026-08-22</w:t>
            </w:r>
          </w:p>
        </w:tc>
        <w:tc>
          <w:tcPr>
            <w:tcW w:type="dxa" w:w="2880"/>
            <w:tcMar>
              <w:top w:w="80" w:type="dxa"/>
              <w:bottom w:w="80" w:type="dxa"/>
              <w:left w:w="120" w:type="dxa"/>
              <w:right w:w="120" w:type="dxa"/>
            </w:tcMar>
          </w:tcPr>
          <w:p>
            <w:pPr>
              <w:jc w:val="left"/>
            </w:pPr>
            <w:r>
              <w:rPr>
                <w:rFonts w:ascii="Arial" w:hAnsi="Arial"/>
                <w:color w:val="1E293B"/>
                <w:sz w:val="19"/>
              </w:rPr>
              <w:t>Production Active</w:t>
            </w:r>
          </w:p>
        </w:tc>
      </w:tr>
      <w:tr>
        <w:tc>
          <w:tcPr>
            <w:tcW w:type="dxa" w:w="2160"/>
            <w:shd w:val="clear" w:color="auto" w:fill="F8FAFC"/>
            <w:tcMar>
              <w:top w:w="80" w:type="dxa"/>
              <w:bottom w:w="80" w:type="dxa"/>
              <w:left w:w="120" w:type="dxa"/>
              <w:right w:w="120" w:type="dxa"/>
            </w:tcMar>
          </w:tcPr>
          <w:p>
            <w:pPr>
              <w:jc w:val="left"/>
            </w:pPr>
            <w:r>
              <w:rPr>
                <w:rFonts w:ascii="Arial" w:hAnsi="Arial"/>
                <w:color w:val="1E293B"/>
                <w:sz w:val="19"/>
              </w:rPr>
              <w:t>Database Engine</w:t>
            </w:r>
          </w:p>
        </w:tc>
        <w:tc>
          <w:tcPr>
            <w:tcW w:type="dxa" w:w="2160"/>
            <w:shd w:val="clear" w:color="auto" w:fill="F8FAFC"/>
            <w:tcMar>
              <w:top w:w="80" w:type="dxa"/>
              <w:bottom w:w="80" w:type="dxa"/>
              <w:left w:w="120" w:type="dxa"/>
              <w:right w:w="120" w:type="dxa"/>
            </w:tcMar>
          </w:tcPr>
          <w:p>
            <w:pPr>
              <w:jc w:val="left"/>
            </w:pPr>
            <w:r>
              <w:rPr>
                <w:rFonts w:ascii="Arial" w:hAnsi="Arial"/>
                <w:color w:val="1E293B"/>
                <w:sz w:val="19"/>
              </w:rPr>
              <w:t>Supabase PostgreSQL</w:t>
            </w:r>
          </w:p>
        </w:tc>
        <w:tc>
          <w:tcPr>
            <w:tcW w:type="dxa" w:w="2160"/>
            <w:shd w:val="clear" w:color="auto" w:fill="F8FAFC"/>
            <w:tcMar>
              <w:top w:w="80" w:type="dxa"/>
              <w:bottom w:w="80" w:type="dxa"/>
              <w:left w:w="120" w:type="dxa"/>
              <w:right w:w="120" w:type="dxa"/>
            </w:tcMar>
          </w:tcPr>
          <w:p>
            <w:pPr>
              <w:jc w:val="left"/>
            </w:pPr>
            <w:r>
              <w:rPr>
                <w:rFonts w:ascii="Arial" w:hAnsi="Arial"/>
                <w:color w:val="1E293B"/>
                <w:sz w:val="19"/>
              </w:rPr>
              <w:t>2026-08-22</w:t>
            </w:r>
          </w:p>
        </w:tc>
        <w:tc>
          <w:tcPr>
            <w:tcW w:type="dxa" w:w="2880"/>
            <w:shd w:val="clear" w:color="auto" w:fill="F8FAFC"/>
            <w:tcMar>
              <w:top w:w="80" w:type="dxa"/>
              <w:bottom w:w="80" w:type="dxa"/>
              <w:left w:w="120" w:type="dxa"/>
              <w:right w:w="120" w:type="dxa"/>
            </w:tcMar>
          </w:tcPr>
          <w:p>
            <w:pPr>
              <w:jc w:val="left"/>
            </w:pPr>
            <w:r>
              <w:rPr>
                <w:rFonts w:ascii="Arial" w:hAnsi="Arial"/>
                <w:color w:val="1E293B"/>
                <w:sz w:val="19"/>
              </w:rPr>
              <w:t>Row-Level Security Active</w:t>
            </w:r>
          </w:p>
        </w:tc>
      </w:tr>
    </w:tbl>
    <w:p>
      <w:pPr>
        <w:spacing w:after="240"/>
      </w:pPr>
    </w:p>
    <w:p>
      <w:pPr>
        <w:spacing w:before="400" w:after="160"/>
      </w:pPr>
      <w:r>
        <w:rPr>
          <w:rFonts w:ascii="Arial" w:hAnsi="Arial"/>
          <w:b/>
          <w:color w:val="0F172A"/>
          <w:sz w:val="36"/>
        </w:rPr>
        <w:t>PART I — SYSTEM BLUEPRINT</w:t>
      </w:r>
    </w:p>
    <w:p>
      <w:pPr>
        <w:spacing w:before="280" w:after="120"/>
      </w:pPr>
      <w:r>
        <w:rPr>
          <w:rFonts w:ascii="Arial" w:hAnsi="Arial"/>
          <w:b/>
          <w:color w:val="0D9488"/>
          <w:sz w:val="28"/>
        </w:rPr>
        <w:t>1. Platform Overview</w:t>
      </w:r>
    </w:p>
    <w:p>
      <w:pPr>
        <w:spacing w:after="120" w:line="276" w:lineRule="auto"/>
      </w:pPr>
      <w:r>
        <w:rPr>
          <w:rFonts w:ascii="Arial" w:hAnsi="Arial"/>
          <w:color w:val="1E293B"/>
          <w:sz w:val="21"/>
        </w:rPr>
        <w:t>PharmDVerse ERP is an enterprise-grade cloud application built to standardize clinical pharmacy education, patient care documentation, adverse drug reaction (ADR) reporting, pharmacist interventions, drug information query resolution, and preceptor evaluations across Doctor of Pharmacy (Pharm.D) institutions.</w:t>
      </w:r>
    </w:p>
    <w:p>
      <w:pPr>
        <w:spacing w:before="280" w:after="120"/>
      </w:pPr>
      <w:r>
        <w:rPr>
          <w:rFonts w:ascii="Arial" w:hAnsi="Arial"/>
          <w:b/>
          <w:color w:val="0D9488"/>
          <w:sz w:val="28"/>
        </w:rPr>
        <w:t>2. Multi-Tenant Architecture &amp; Data Isolation</w:t>
      </w:r>
    </w:p>
    <w:p>
      <w:pPr>
        <w:spacing w:after="120" w:line="276" w:lineRule="auto"/>
      </w:pPr>
      <w:r>
        <w:rPr>
          <w:rFonts w:ascii="Arial" w:hAnsi="Arial"/>
          <w:b/>
          <w:color w:val="0F172A"/>
          <w:sz w:val="21"/>
        </w:rPr>
        <w:t xml:space="preserve">Multi-College Tenant Model: </w:t>
      </w:r>
      <w:r>
        <w:rPr>
          <w:rFonts w:ascii="Arial" w:hAnsi="Arial"/>
          <w:color w:val="1E293B"/>
          <w:sz w:val="21"/>
        </w:rPr>
        <w:t xml:space="preserve">The system enforces strict institutional isolation across all user roles using the foreign key </w:t>
      </w:r>
    </w:p>
    <w:p>
      <w:pPr>
        <w:spacing w:after="120" w:line="276" w:lineRule="auto"/>
      </w:pPr>
      <w:r>
        <w:rPr>
          <w:rFonts w:ascii="Arial" w:hAnsi="Arial"/>
          <w:color w:val="1E293B"/>
          <w:sz w:val="21"/>
        </w:rPr>
        <w:t>college_id. Super Admins manage global master databases and institutional licenses, while College Admins, Preceptors, and Students operate isolated within their designated institutional domain.</w:t>
      </w:r>
    </w:p>
    <w:p>
      <w:pPr>
        <w:spacing w:before="280" w:after="120"/>
      </w:pPr>
      <w:r>
        <w:rPr>
          <w:rFonts w:ascii="Arial" w:hAnsi="Arial"/>
          <w:b/>
          <w:color w:val="0D9488"/>
          <w:sz w:val="28"/>
        </w:rPr>
        <w:t>3. Role Hierarchy</w:t>
      </w:r>
    </w:p>
    <w:p>
      <w:pPr>
        <w:pStyle w:val="ListBullet"/>
        <w:spacing w:after="80" w:line="276" w:lineRule="auto"/>
      </w:pPr>
      <w:r>
        <w:rPr>
          <w:rFonts w:ascii="Arial" w:hAnsi="Arial"/>
          <w:b/>
          <w:color w:val="0F172A"/>
          <w:sz w:val="21"/>
        </w:rPr>
        <w:t xml:space="preserve">Level 1 — </w:t>
      </w:r>
      <w:r>
        <w:rPr>
          <w:rFonts w:ascii="Arial" w:hAnsi="Arial"/>
          <w:color w:val="1E293B"/>
          <w:sz w:val="21"/>
        </w:rPr>
        <w:t>Super Admin: Platform governance, institution onboarding, clinical master data curation, global logging.</w:t>
      </w:r>
    </w:p>
    <w:p>
      <w:pPr>
        <w:pStyle w:val="ListBullet"/>
        <w:spacing w:after="80" w:line="276" w:lineRule="auto"/>
      </w:pPr>
      <w:r>
        <w:rPr>
          <w:rFonts w:ascii="Arial" w:hAnsi="Arial"/>
          <w:b/>
          <w:color w:val="0F172A"/>
          <w:sz w:val="21"/>
        </w:rPr>
        <w:t xml:space="preserve">Level 2 — </w:t>
      </w:r>
      <w:r>
        <w:rPr>
          <w:rFonts w:ascii="Arial" w:hAnsi="Arial"/>
          <w:color w:val="1E293B"/>
          <w:sz w:val="21"/>
        </w:rPr>
        <w:t>College Admin: Institutional user enrollment, student-preceptor mapping, college document branding.</w:t>
      </w:r>
    </w:p>
    <w:p>
      <w:pPr>
        <w:pStyle w:val="ListBullet"/>
        <w:spacing w:after="80" w:line="276" w:lineRule="auto"/>
      </w:pPr>
      <w:r>
        <w:rPr>
          <w:rFonts w:ascii="Arial" w:hAnsi="Arial"/>
          <w:b/>
          <w:color w:val="0F172A"/>
          <w:sz w:val="21"/>
        </w:rPr>
        <w:t xml:space="preserve">Level 3 — </w:t>
      </w:r>
      <w:r>
        <w:rPr>
          <w:rFonts w:ascii="Arial" w:hAnsi="Arial"/>
          <w:color w:val="1E293B"/>
          <w:sz w:val="21"/>
        </w:rPr>
        <w:t>Faculty Preceptor: Student clinical logbook evaluation, pre-submission review, case approval/rejection.</w:t>
      </w:r>
    </w:p>
    <w:p>
      <w:pPr>
        <w:pStyle w:val="ListBullet"/>
        <w:spacing w:after="80" w:line="276" w:lineRule="auto"/>
      </w:pPr>
      <w:r>
        <w:rPr>
          <w:rFonts w:ascii="Arial" w:hAnsi="Arial"/>
          <w:b/>
          <w:color w:val="0F172A"/>
          <w:sz w:val="21"/>
        </w:rPr>
        <w:t xml:space="preserve">Level 4 — </w:t>
      </w:r>
      <w:r>
        <w:rPr>
          <w:rFonts w:ascii="Arial" w:hAnsi="Arial"/>
          <w:color w:val="1E293B"/>
          <w:sz w:val="21"/>
        </w:rPr>
        <w:t>Pharm.D Student: Clinical logbook entry (Modules 1–5), AI analysis generation, case submission.</w:t>
      </w:r>
    </w:p>
    <w:p>
      <w:pPr>
        <w:spacing w:before="280" w:after="120"/>
      </w:pPr>
      <w:r>
        <w:rPr>
          <w:rFonts w:ascii="Arial" w:hAnsi="Arial"/>
          <w:b/>
          <w:color w:val="0D9488"/>
          <w:sz w:val="28"/>
        </w:rPr>
        <w:t>4. Complete Module Inventory</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0F172A"/>
            <w:tcMar>
              <w:top w:w="100" w:type="dxa"/>
              <w:bottom w:w="100" w:type="dxa"/>
              <w:left w:w="120" w:type="dxa"/>
              <w:right w:w="120" w:type="dxa"/>
            </w:tcMar>
          </w:tcPr>
          <w:p>
            <w:pPr>
              <w:jc w:val="left"/>
            </w:pPr>
            <w:r>
              <w:rPr>
                <w:rFonts w:ascii="Arial" w:hAnsi="Arial"/>
                <w:b/>
                <w:color w:val="FFFFFF"/>
                <w:sz w:val="20"/>
              </w:rPr>
              <w:t>Module Name</w:t>
            </w:r>
          </w:p>
        </w:tc>
        <w:tc>
          <w:tcPr>
            <w:tcW w:type="dxa" w:w="2160"/>
            <w:shd w:val="clear" w:color="auto" w:fill="0F172A"/>
            <w:tcMar>
              <w:top w:w="100" w:type="dxa"/>
              <w:bottom w:w="100" w:type="dxa"/>
              <w:left w:w="120" w:type="dxa"/>
              <w:right w:w="120" w:type="dxa"/>
            </w:tcMar>
          </w:tcPr>
          <w:p>
            <w:pPr>
              <w:jc w:val="left"/>
            </w:pPr>
            <w:r>
              <w:rPr>
                <w:rFonts w:ascii="Arial" w:hAnsi="Arial"/>
                <w:b/>
                <w:color w:val="FFFFFF"/>
                <w:sz w:val="20"/>
              </w:rPr>
              <w:t>Primary Role</w:t>
            </w:r>
          </w:p>
        </w:tc>
        <w:tc>
          <w:tcPr>
            <w:tcW w:type="dxa" w:w="2592"/>
            <w:shd w:val="clear" w:color="auto" w:fill="0F172A"/>
            <w:tcMar>
              <w:top w:w="100" w:type="dxa"/>
              <w:bottom w:w="100" w:type="dxa"/>
              <w:left w:w="120" w:type="dxa"/>
              <w:right w:w="120" w:type="dxa"/>
            </w:tcMar>
          </w:tcPr>
          <w:p>
            <w:pPr>
              <w:jc w:val="left"/>
            </w:pPr>
            <w:r>
              <w:rPr>
                <w:rFonts w:ascii="Arial" w:hAnsi="Arial"/>
                <w:b/>
                <w:color w:val="FFFFFF"/>
                <w:sz w:val="20"/>
              </w:rPr>
              <w:t>Database Table</w:t>
            </w:r>
          </w:p>
        </w:tc>
        <w:tc>
          <w:tcPr>
            <w:tcW w:type="dxa" w:w="2448"/>
            <w:shd w:val="clear" w:color="auto" w:fill="0F172A"/>
            <w:tcMar>
              <w:top w:w="100" w:type="dxa"/>
              <w:bottom w:w="100" w:type="dxa"/>
              <w:left w:w="120" w:type="dxa"/>
              <w:right w:w="120" w:type="dxa"/>
            </w:tcMar>
          </w:tcPr>
          <w:p>
            <w:pPr>
              <w:jc w:val="left"/>
            </w:pPr>
            <w:r>
              <w:rPr>
                <w:rFonts w:ascii="Arial" w:hAnsi="Arial"/>
                <w:b/>
                <w:color w:val="FFFFFF"/>
                <w:sz w:val="20"/>
              </w:rPr>
              <w:t>Output / Export</w:t>
            </w:r>
          </w:p>
        </w:tc>
      </w:tr>
      <w:tr>
        <w:tc>
          <w:tcPr>
            <w:tcW w:type="dxa" w:w="2160"/>
            <w:shd w:val="clear" w:color="auto" w:fill="F8FAFC"/>
            <w:tcMar>
              <w:top w:w="80" w:type="dxa"/>
              <w:bottom w:w="80" w:type="dxa"/>
              <w:left w:w="120" w:type="dxa"/>
              <w:right w:w="120" w:type="dxa"/>
            </w:tcMar>
          </w:tcPr>
          <w:p>
            <w:pPr>
              <w:jc w:val="left"/>
            </w:pPr>
            <w:r>
              <w:rPr>
                <w:rFonts w:ascii="Arial" w:hAnsi="Arial"/>
                <w:color w:val="1E293B"/>
                <w:sz w:val="19"/>
              </w:rPr>
              <w:t>Patient Profile</w:t>
            </w:r>
          </w:p>
        </w:tc>
        <w:tc>
          <w:tcPr>
            <w:tcW w:type="dxa" w:w="2160"/>
            <w:shd w:val="clear" w:color="auto" w:fill="F8FAFC"/>
            <w:tcMar>
              <w:top w:w="80" w:type="dxa"/>
              <w:bottom w:w="80" w:type="dxa"/>
              <w:left w:w="120" w:type="dxa"/>
              <w:right w:w="120" w:type="dxa"/>
            </w:tcMar>
          </w:tcPr>
          <w:p>
            <w:pPr>
              <w:jc w:val="left"/>
            </w:pPr>
            <w:r>
              <w:rPr>
                <w:rFonts w:ascii="Arial" w:hAnsi="Arial"/>
                <w:color w:val="1E293B"/>
                <w:sz w:val="19"/>
              </w:rPr>
              <w:t>Student</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public.patient_profiles</w:t>
            </w:r>
          </w:p>
        </w:tc>
        <w:tc>
          <w:tcPr>
            <w:tcW w:type="dxa" w:w="2448"/>
            <w:shd w:val="clear" w:color="auto" w:fill="F8FAFC"/>
            <w:tcMar>
              <w:top w:w="80" w:type="dxa"/>
              <w:bottom w:w="80" w:type="dxa"/>
              <w:left w:w="120" w:type="dxa"/>
              <w:right w:w="120" w:type="dxa"/>
            </w:tcMar>
          </w:tcPr>
          <w:p>
            <w:pPr>
              <w:jc w:val="left"/>
            </w:pPr>
            <w:r>
              <w:rPr>
                <w:rFonts w:ascii="Arial" w:hAnsi="Arial"/>
                <w:color w:val="1E293B"/>
                <w:sz w:val="19"/>
              </w:rPr>
              <w:t>Profile Form PDF</w:t>
            </w:r>
          </w:p>
        </w:tc>
      </w:tr>
      <w:tr>
        <w:tc>
          <w:tcPr>
            <w:tcW w:type="dxa" w:w="2160"/>
            <w:tcMar>
              <w:top w:w="80" w:type="dxa"/>
              <w:bottom w:w="80" w:type="dxa"/>
              <w:left w:w="120" w:type="dxa"/>
              <w:right w:w="120" w:type="dxa"/>
            </w:tcMar>
          </w:tcPr>
          <w:p>
            <w:pPr>
              <w:jc w:val="left"/>
            </w:pPr>
            <w:r>
              <w:rPr>
                <w:rFonts w:ascii="Arial" w:hAnsi="Arial"/>
                <w:color w:val="1E293B"/>
                <w:sz w:val="19"/>
              </w:rPr>
              <w:t>ADR Documentation</w:t>
            </w:r>
          </w:p>
        </w:tc>
        <w:tc>
          <w:tcPr>
            <w:tcW w:type="dxa" w:w="2160"/>
            <w:tcMar>
              <w:top w:w="80" w:type="dxa"/>
              <w:bottom w:w="80" w:type="dxa"/>
              <w:left w:w="120" w:type="dxa"/>
              <w:right w:w="120" w:type="dxa"/>
            </w:tcMar>
          </w:tcPr>
          <w:p>
            <w:pPr>
              <w:jc w:val="left"/>
            </w:pPr>
            <w:r>
              <w:rPr>
                <w:rFonts w:ascii="Arial" w:hAnsi="Arial"/>
                <w:color w:val="1E293B"/>
                <w:sz w:val="19"/>
              </w:rPr>
              <w:t>Student</w:t>
            </w:r>
          </w:p>
        </w:tc>
        <w:tc>
          <w:tcPr>
            <w:tcW w:type="dxa" w:w="2592"/>
            <w:tcMar>
              <w:top w:w="80" w:type="dxa"/>
              <w:bottom w:w="80" w:type="dxa"/>
              <w:left w:w="120" w:type="dxa"/>
              <w:right w:w="120" w:type="dxa"/>
            </w:tcMar>
          </w:tcPr>
          <w:p>
            <w:pPr>
              <w:jc w:val="left"/>
            </w:pPr>
            <w:r>
              <w:rPr>
                <w:rFonts w:ascii="Arial" w:hAnsi="Arial"/>
                <w:color w:val="1E293B"/>
                <w:sz w:val="19"/>
              </w:rPr>
              <w:t>public.adr_documentation</w:t>
            </w:r>
          </w:p>
        </w:tc>
        <w:tc>
          <w:tcPr>
            <w:tcW w:type="dxa" w:w="2448"/>
            <w:tcMar>
              <w:top w:w="80" w:type="dxa"/>
              <w:bottom w:w="80" w:type="dxa"/>
              <w:left w:w="120" w:type="dxa"/>
              <w:right w:w="120" w:type="dxa"/>
            </w:tcMar>
          </w:tcPr>
          <w:p>
            <w:pPr>
              <w:jc w:val="left"/>
            </w:pPr>
            <w:r>
              <w:rPr>
                <w:rFonts w:ascii="Arial" w:hAnsi="Arial"/>
                <w:color w:val="1E293B"/>
                <w:sz w:val="19"/>
              </w:rPr>
              <w:t>ADR Log PDF</w:t>
            </w:r>
          </w:p>
        </w:tc>
      </w:tr>
      <w:tr>
        <w:tc>
          <w:tcPr>
            <w:tcW w:type="dxa" w:w="2160"/>
            <w:shd w:val="clear" w:color="auto" w:fill="F8FAFC"/>
            <w:tcMar>
              <w:top w:w="80" w:type="dxa"/>
              <w:bottom w:w="80" w:type="dxa"/>
              <w:left w:w="120" w:type="dxa"/>
              <w:right w:w="120" w:type="dxa"/>
            </w:tcMar>
          </w:tcPr>
          <w:p>
            <w:pPr>
              <w:jc w:val="left"/>
            </w:pPr>
            <w:r>
              <w:rPr>
                <w:rFonts w:ascii="Arial" w:hAnsi="Arial"/>
                <w:color w:val="1E293B"/>
                <w:sz w:val="19"/>
              </w:rPr>
              <w:t>Patient Counselling</w:t>
            </w:r>
          </w:p>
        </w:tc>
        <w:tc>
          <w:tcPr>
            <w:tcW w:type="dxa" w:w="2160"/>
            <w:shd w:val="clear" w:color="auto" w:fill="F8FAFC"/>
            <w:tcMar>
              <w:top w:w="80" w:type="dxa"/>
              <w:bottom w:w="80" w:type="dxa"/>
              <w:left w:w="120" w:type="dxa"/>
              <w:right w:w="120" w:type="dxa"/>
            </w:tcMar>
          </w:tcPr>
          <w:p>
            <w:pPr>
              <w:jc w:val="left"/>
            </w:pPr>
            <w:r>
              <w:rPr>
                <w:rFonts w:ascii="Arial" w:hAnsi="Arial"/>
                <w:color w:val="1E293B"/>
                <w:sz w:val="19"/>
              </w:rPr>
              <w:t>Student</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public.patient_counselling</w:t>
            </w:r>
          </w:p>
        </w:tc>
        <w:tc>
          <w:tcPr>
            <w:tcW w:type="dxa" w:w="2448"/>
            <w:shd w:val="clear" w:color="auto" w:fill="F8FAFC"/>
            <w:tcMar>
              <w:top w:w="80" w:type="dxa"/>
              <w:bottom w:w="80" w:type="dxa"/>
              <w:left w:w="120" w:type="dxa"/>
              <w:right w:w="120" w:type="dxa"/>
            </w:tcMar>
          </w:tcPr>
          <w:p>
            <w:pPr>
              <w:jc w:val="left"/>
            </w:pPr>
            <w:r>
              <w:rPr>
                <w:rFonts w:ascii="Arial" w:hAnsi="Arial"/>
                <w:color w:val="1E293B"/>
                <w:sz w:val="19"/>
              </w:rPr>
              <w:t>Counselling Record PDF</w:t>
            </w:r>
          </w:p>
        </w:tc>
      </w:tr>
      <w:tr>
        <w:tc>
          <w:tcPr>
            <w:tcW w:type="dxa" w:w="2160"/>
            <w:tcMar>
              <w:top w:w="80" w:type="dxa"/>
              <w:bottom w:w="80" w:type="dxa"/>
              <w:left w:w="120" w:type="dxa"/>
              <w:right w:w="120" w:type="dxa"/>
            </w:tcMar>
          </w:tcPr>
          <w:p>
            <w:pPr>
              <w:jc w:val="left"/>
            </w:pPr>
            <w:r>
              <w:rPr>
                <w:rFonts w:ascii="Arial" w:hAnsi="Arial"/>
                <w:color w:val="1E293B"/>
                <w:sz w:val="19"/>
              </w:rPr>
              <w:t>Pharmacist Intervention</w:t>
            </w:r>
          </w:p>
        </w:tc>
        <w:tc>
          <w:tcPr>
            <w:tcW w:type="dxa" w:w="2160"/>
            <w:tcMar>
              <w:top w:w="80" w:type="dxa"/>
              <w:bottom w:w="80" w:type="dxa"/>
              <w:left w:w="120" w:type="dxa"/>
              <w:right w:w="120" w:type="dxa"/>
            </w:tcMar>
          </w:tcPr>
          <w:p>
            <w:pPr>
              <w:jc w:val="left"/>
            </w:pPr>
            <w:r>
              <w:rPr>
                <w:rFonts w:ascii="Arial" w:hAnsi="Arial"/>
                <w:color w:val="1E293B"/>
                <w:sz w:val="19"/>
              </w:rPr>
              <w:t>Student</w:t>
            </w:r>
          </w:p>
        </w:tc>
        <w:tc>
          <w:tcPr>
            <w:tcW w:type="dxa" w:w="2592"/>
            <w:tcMar>
              <w:top w:w="80" w:type="dxa"/>
              <w:bottom w:w="80" w:type="dxa"/>
              <w:left w:w="120" w:type="dxa"/>
              <w:right w:w="120" w:type="dxa"/>
            </w:tcMar>
          </w:tcPr>
          <w:p>
            <w:pPr>
              <w:jc w:val="left"/>
            </w:pPr>
            <w:r>
              <w:rPr>
                <w:rFonts w:ascii="Arial" w:hAnsi="Arial"/>
                <w:color w:val="1E293B"/>
                <w:sz w:val="19"/>
              </w:rPr>
              <w:t>public.pharmacist_interventions</w:t>
            </w:r>
          </w:p>
        </w:tc>
        <w:tc>
          <w:tcPr>
            <w:tcW w:type="dxa" w:w="2448"/>
            <w:tcMar>
              <w:top w:w="80" w:type="dxa"/>
              <w:bottom w:w="80" w:type="dxa"/>
              <w:left w:w="120" w:type="dxa"/>
              <w:right w:w="120" w:type="dxa"/>
            </w:tcMar>
          </w:tcPr>
          <w:p>
            <w:pPr>
              <w:jc w:val="left"/>
            </w:pPr>
            <w:r>
              <w:rPr>
                <w:rFonts w:ascii="Arial" w:hAnsi="Arial"/>
                <w:color w:val="1E293B"/>
                <w:sz w:val="19"/>
              </w:rPr>
              <w:t>Intervention Audit PDF</w:t>
            </w:r>
          </w:p>
        </w:tc>
      </w:tr>
      <w:tr>
        <w:tc>
          <w:tcPr>
            <w:tcW w:type="dxa" w:w="2160"/>
            <w:shd w:val="clear" w:color="auto" w:fill="F8FAFC"/>
            <w:tcMar>
              <w:top w:w="80" w:type="dxa"/>
              <w:bottom w:w="80" w:type="dxa"/>
              <w:left w:w="120" w:type="dxa"/>
              <w:right w:w="120" w:type="dxa"/>
            </w:tcMar>
          </w:tcPr>
          <w:p>
            <w:pPr>
              <w:jc w:val="left"/>
            </w:pPr>
            <w:r>
              <w:rPr>
                <w:rFonts w:ascii="Arial" w:hAnsi="Arial"/>
                <w:color w:val="1E293B"/>
                <w:sz w:val="19"/>
              </w:rPr>
              <w:t>Drug Info Request</w:t>
            </w:r>
          </w:p>
        </w:tc>
        <w:tc>
          <w:tcPr>
            <w:tcW w:type="dxa" w:w="2160"/>
            <w:shd w:val="clear" w:color="auto" w:fill="F8FAFC"/>
            <w:tcMar>
              <w:top w:w="80" w:type="dxa"/>
              <w:bottom w:w="80" w:type="dxa"/>
              <w:left w:w="120" w:type="dxa"/>
              <w:right w:w="120" w:type="dxa"/>
            </w:tcMar>
          </w:tcPr>
          <w:p>
            <w:pPr>
              <w:jc w:val="left"/>
            </w:pPr>
            <w:r>
              <w:rPr>
                <w:rFonts w:ascii="Arial" w:hAnsi="Arial"/>
                <w:color w:val="1E293B"/>
                <w:sz w:val="19"/>
              </w:rPr>
              <w:t>Student</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public.drug_information_requests</w:t>
            </w:r>
          </w:p>
        </w:tc>
        <w:tc>
          <w:tcPr>
            <w:tcW w:type="dxa" w:w="2448"/>
            <w:shd w:val="clear" w:color="auto" w:fill="F8FAFC"/>
            <w:tcMar>
              <w:top w:w="80" w:type="dxa"/>
              <w:bottom w:w="80" w:type="dxa"/>
              <w:left w:w="120" w:type="dxa"/>
              <w:right w:w="120" w:type="dxa"/>
            </w:tcMar>
          </w:tcPr>
          <w:p>
            <w:pPr>
              <w:jc w:val="left"/>
            </w:pPr>
            <w:r>
              <w:rPr>
                <w:rFonts w:ascii="Arial" w:hAnsi="Arial"/>
                <w:color w:val="1E293B"/>
                <w:sz w:val="19"/>
              </w:rPr>
              <w:t>DIR Resolution PDF</w:t>
            </w:r>
          </w:p>
        </w:tc>
      </w:tr>
      <w:tr>
        <w:tc>
          <w:tcPr>
            <w:tcW w:type="dxa" w:w="2160"/>
            <w:tcMar>
              <w:top w:w="80" w:type="dxa"/>
              <w:bottom w:w="80" w:type="dxa"/>
              <w:left w:w="120" w:type="dxa"/>
              <w:right w:w="120" w:type="dxa"/>
            </w:tcMar>
          </w:tcPr>
          <w:p>
            <w:pPr>
              <w:jc w:val="left"/>
            </w:pPr>
            <w:r>
              <w:rPr>
                <w:rFonts w:ascii="Arial" w:hAnsi="Arial"/>
                <w:color w:val="1E293B"/>
                <w:sz w:val="19"/>
              </w:rPr>
              <w:t>AI Case Analysis</w:t>
            </w:r>
          </w:p>
        </w:tc>
        <w:tc>
          <w:tcPr>
            <w:tcW w:type="dxa" w:w="2160"/>
            <w:tcMar>
              <w:top w:w="80" w:type="dxa"/>
              <w:bottom w:w="80" w:type="dxa"/>
              <w:left w:w="120" w:type="dxa"/>
              <w:right w:w="120" w:type="dxa"/>
            </w:tcMar>
          </w:tcPr>
          <w:p>
            <w:pPr>
              <w:jc w:val="left"/>
            </w:pPr>
            <w:r>
              <w:rPr>
                <w:rFonts w:ascii="Arial" w:hAnsi="Arial"/>
                <w:color w:val="1E293B"/>
                <w:sz w:val="19"/>
              </w:rPr>
              <w:t>Student / Preceptor</w:t>
            </w:r>
          </w:p>
        </w:tc>
        <w:tc>
          <w:tcPr>
            <w:tcW w:type="dxa" w:w="2592"/>
            <w:tcMar>
              <w:top w:w="80" w:type="dxa"/>
              <w:bottom w:w="80" w:type="dxa"/>
              <w:left w:w="120" w:type="dxa"/>
              <w:right w:w="120" w:type="dxa"/>
            </w:tcMar>
          </w:tcPr>
          <w:p>
            <w:pPr>
              <w:jc w:val="left"/>
            </w:pPr>
            <w:r>
              <w:rPr>
                <w:rFonts w:ascii="Arial" w:hAnsi="Arial"/>
                <w:color w:val="1E293B"/>
                <w:sz w:val="19"/>
              </w:rPr>
              <w:t>Synthesized Clinical Engine</w:t>
            </w:r>
          </w:p>
        </w:tc>
        <w:tc>
          <w:tcPr>
            <w:tcW w:type="dxa" w:w="2448"/>
            <w:tcMar>
              <w:top w:w="80" w:type="dxa"/>
              <w:bottom w:w="80" w:type="dxa"/>
              <w:left w:w="120" w:type="dxa"/>
              <w:right w:w="120" w:type="dxa"/>
            </w:tcMar>
          </w:tcPr>
          <w:p>
            <w:pPr>
              <w:jc w:val="left"/>
            </w:pPr>
            <w:r>
              <w:rPr>
                <w:rFonts w:ascii="Arial" w:hAnsi="Arial"/>
                <w:color w:val="1E293B"/>
                <w:sz w:val="19"/>
              </w:rPr>
              <w:t>College-Branded PDF</w:t>
            </w:r>
          </w:p>
        </w:tc>
      </w:tr>
      <w:tr>
        <w:tc>
          <w:tcPr>
            <w:tcW w:type="dxa" w:w="2160"/>
            <w:shd w:val="clear" w:color="auto" w:fill="F8FAFC"/>
            <w:tcMar>
              <w:top w:w="80" w:type="dxa"/>
              <w:bottom w:w="80" w:type="dxa"/>
              <w:left w:w="120" w:type="dxa"/>
              <w:right w:w="120" w:type="dxa"/>
            </w:tcMar>
          </w:tcPr>
          <w:p>
            <w:pPr>
              <w:jc w:val="left"/>
            </w:pPr>
            <w:r>
              <w:rPr>
                <w:rFonts w:ascii="Arial" w:hAnsi="Arial"/>
                <w:color w:val="1E293B"/>
                <w:sz w:val="19"/>
              </w:rPr>
              <w:t>Pre-Submission Review</w:t>
            </w:r>
          </w:p>
        </w:tc>
        <w:tc>
          <w:tcPr>
            <w:tcW w:type="dxa" w:w="2160"/>
            <w:shd w:val="clear" w:color="auto" w:fill="F8FAFC"/>
            <w:tcMar>
              <w:top w:w="80" w:type="dxa"/>
              <w:bottom w:w="80" w:type="dxa"/>
              <w:left w:w="120" w:type="dxa"/>
              <w:right w:w="120" w:type="dxa"/>
            </w:tcMar>
          </w:tcPr>
          <w:p>
            <w:pPr>
              <w:jc w:val="left"/>
            </w:pPr>
            <w:r>
              <w:rPr>
                <w:rFonts w:ascii="Arial" w:hAnsi="Arial"/>
                <w:color w:val="1E293B"/>
                <w:sz w:val="19"/>
              </w:rPr>
              <w:t>Student / Preceptor</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Validation Status Engine</w:t>
            </w:r>
          </w:p>
        </w:tc>
        <w:tc>
          <w:tcPr>
            <w:tcW w:type="dxa" w:w="2448"/>
            <w:shd w:val="clear" w:color="auto" w:fill="F8FAFC"/>
            <w:tcMar>
              <w:top w:w="80" w:type="dxa"/>
              <w:bottom w:w="80" w:type="dxa"/>
              <w:left w:w="120" w:type="dxa"/>
              <w:right w:w="120" w:type="dxa"/>
            </w:tcMar>
          </w:tcPr>
          <w:p>
            <w:pPr>
              <w:jc w:val="left"/>
            </w:pPr>
            <w:r>
              <w:rPr>
                <w:rFonts w:ascii="Arial" w:hAnsi="Arial"/>
                <w:color w:val="1E293B"/>
                <w:sz w:val="19"/>
              </w:rPr>
              <w:t>Pre-Flight Status Gate</w:t>
            </w:r>
          </w:p>
        </w:tc>
      </w:tr>
    </w:tbl>
    <w:p>
      <w:pPr>
        <w:spacing w:after="240"/>
      </w:pPr>
    </w:p>
    <w:p>
      <w:pPr>
        <w:spacing w:before="400" w:after="160"/>
      </w:pPr>
      <w:r>
        <w:rPr>
          <w:rFonts w:ascii="Arial" w:hAnsi="Arial"/>
          <w:b/>
          <w:color w:val="0F172A"/>
          <w:sz w:val="36"/>
        </w:rPr>
        <w:t>PART II — SUPER ADMIN MANUAL</w:t>
      </w:r>
    </w:p>
    <w:p>
      <w:pPr>
        <w:spacing w:after="120" w:line="276" w:lineRule="auto"/>
      </w:pPr>
      <w:r>
        <w:rPr>
          <w:rFonts w:ascii="Arial" w:hAnsi="Arial"/>
          <w:color w:val="1E293B"/>
          <w:sz w:val="21"/>
        </w:rPr>
        <w:t>The Super Admin portal provides central governance over the entire PharmDVerse ERP platform. Super Admins manage global institutional licenses, curate clinical Master Data, configure global settings, and audit platform security.</w:t>
      </w:r>
    </w:p>
    <w:p>
      <w:pPr>
        <w:spacing w:before="280" w:after="120"/>
      </w:pPr>
      <w:r>
        <w:rPr>
          <w:rFonts w:ascii="Arial" w:hAnsi="Arial"/>
          <w:b/>
          <w:color w:val="0D9488"/>
          <w:sz w:val="28"/>
        </w:rPr>
        <w:t>1. Dashboard &amp; Governance</w:t>
      </w:r>
    </w:p>
    <w:p>
      <w:pPr>
        <w:spacing w:after="120" w:line="276" w:lineRule="auto"/>
      </w:pPr>
      <w:r>
        <w:rPr>
          <w:rFonts w:ascii="Arial" w:hAnsi="Arial"/>
          <w:color w:val="1E293B"/>
          <w:sz w:val="21"/>
        </w:rPr>
        <w:t>Provides real-time analytics on onboarded Pharm.D colleges, active student/preceptor accounts, total case logbooks created, and active database Master Data records.</w:t>
      </w:r>
    </w:p>
    <w:p>
      <w:pPr>
        <w:spacing w:before="280" w:after="120"/>
      </w:pPr>
      <w:r>
        <w:rPr>
          <w:rFonts w:ascii="Arial" w:hAnsi="Arial"/>
          <w:b/>
          <w:color w:val="0D9488"/>
          <w:sz w:val="28"/>
        </w:rPr>
        <w:t>2. College Management</w:t>
      </w:r>
    </w:p>
    <w:p>
      <w:pPr>
        <w:pStyle w:val="ListBullet"/>
        <w:spacing w:after="80" w:line="276" w:lineRule="auto"/>
      </w:pPr>
      <w:r>
        <w:rPr>
          <w:rFonts w:ascii="Arial" w:hAnsi="Arial"/>
          <w:b/>
          <w:color w:val="0F172A"/>
          <w:sz w:val="21"/>
        </w:rPr>
        <w:t xml:space="preserve">Registration Requests: </w:t>
      </w:r>
      <w:r>
        <w:rPr>
          <w:rFonts w:ascii="Arial" w:hAnsi="Arial"/>
          <w:color w:val="1E293B"/>
          <w:sz w:val="21"/>
        </w:rPr>
        <w:t>Review incoming institutional registration applications, verify credentials, and approve or decline access.</w:t>
      </w:r>
    </w:p>
    <w:p>
      <w:pPr>
        <w:pStyle w:val="ListBullet"/>
        <w:spacing w:after="80" w:line="276" w:lineRule="auto"/>
      </w:pPr>
      <w:r>
        <w:rPr>
          <w:rFonts w:ascii="Arial" w:hAnsi="Arial"/>
          <w:b/>
          <w:color w:val="0F172A"/>
          <w:sz w:val="21"/>
        </w:rPr>
        <w:t xml:space="preserve">Active Colleges: </w:t>
      </w:r>
      <w:r>
        <w:rPr>
          <w:rFonts w:ascii="Arial" w:hAnsi="Arial"/>
          <w:color w:val="1E293B"/>
          <w:sz w:val="21"/>
        </w:rPr>
        <w:t>Manage existing active institutions, edit institutional codes, update administrative emails.</w:t>
      </w:r>
    </w:p>
    <w:p>
      <w:pPr>
        <w:pStyle w:val="ListBullet"/>
        <w:spacing w:after="80" w:line="276" w:lineRule="auto"/>
      </w:pPr>
      <w:r>
        <w:rPr>
          <w:rFonts w:ascii="Arial" w:hAnsi="Arial"/>
          <w:b/>
          <w:color w:val="0F172A"/>
          <w:sz w:val="21"/>
        </w:rPr>
        <w:t xml:space="preserve">Inactive &amp; Expired Colleges: </w:t>
      </w:r>
      <w:r>
        <w:rPr>
          <w:rFonts w:ascii="Arial" w:hAnsi="Arial"/>
          <w:color w:val="1E293B"/>
          <w:sz w:val="21"/>
        </w:rPr>
        <w:t>Deactivate non-compliant or expired institutional subscriptions to restrict tenant access.</w:t>
      </w:r>
    </w:p>
    <w:p>
      <w:pPr>
        <w:spacing w:before="280" w:after="120"/>
      </w:pPr>
      <w:r>
        <w:rPr>
          <w:rFonts w:ascii="Arial" w:hAnsi="Arial"/>
          <w:b/>
          <w:color w:val="0D9488"/>
          <w:sz w:val="28"/>
        </w:rPr>
        <w:t>3. Clinical Master Data Center (All 5 Modules)</w:t>
      </w:r>
    </w:p>
    <w:p>
      <w:pPr>
        <w:pStyle w:val="ListBullet"/>
        <w:spacing w:after="80" w:line="276" w:lineRule="auto"/>
      </w:pPr>
      <w:r>
        <w:rPr>
          <w:rFonts w:ascii="Arial" w:hAnsi="Arial"/>
          <w:b/>
          <w:color w:val="0F172A"/>
          <w:sz w:val="21"/>
        </w:rPr>
        <w:t xml:space="preserve">1. Drug Knowledge Master: </w:t>
      </w:r>
      <w:r>
        <w:rPr>
          <w:rFonts w:ascii="Arial" w:hAnsi="Arial"/>
          <w:color w:val="1E293B"/>
          <w:sz w:val="21"/>
        </w:rPr>
        <w:t>Curate generic drug names, brand names, therapeutic classes, indications, MOA, dosing parameters, and ingredient maps. Supports single entry CRUD and bulk Excel template import.</w:t>
      </w:r>
    </w:p>
    <w:p>
      <w:pPr>
        <w:pStyle w:val="ListBullet"/>
        <w:spacing w:after="80" w:line="276" w:lineRule="auto"/>
      </w:pPr>
      <w:r>
        <w:rPr>
          <w:rFonts w:ascii="Arial" w:hAnsi="Arial"/>
          <w:b/>
          <w:color w:val="0F172A"/>
          <w:sz w:val="21"/>
        </w:rPr>
        <w:t xml:space="preserve">2. Lab Parameter Master: </w:t>
      </w:r>
      <w:r>
        <w:rPr>
          <w:rFonts w:ascii="Arial" w:hAnsi="Arial"/>
          <w:color w:val="1E293B"/>
          <w:sz w:val="21"/>
        </w:rPr>
        <w:t>Configure lab parameter names, alias strings, normal range boundaries (male/female/pediatric), and units.</w:t>
      </w:r>
    </w:p>
    <w:p>
      <w:pPr>
        <w:pStyle w:val="ListBullet"/>
        <w:spacing w:after="80" w:line="276" w:lineRule="auto"/>
      </w:pPr>
      <w:r>
        <w:rPr>
          <w:rFonts w:ascii="Arial" w:hAnsi="Arial"/>
          <w:b/>
          <w:color w:val="0F172A"/>
          <w:sz w:val="21"/>
        </w:rPr>
        <w:t xml:space="preserve">3. Other Investigation Master: </w:t>
      </w:r>
      <w:r>
        <w:rPr>
          <w:rFonts w:ascii="Arial" w:hAnsi="Arial"/>
          <w:color w:val="1E293B"/>
          <w:sz w:val="21"/>
        </w:rPr>
        <w:t>Manage non-lab diagnostic tests, clinical imaging categories, radiological procedures, and diagnostic investigation codes.</w:t>
      </w:r>
    </w:p>
    <w:p>
      <w:pPr>
        <w:pStyle w:val="ListBullet"/>
        <w:spacing w:after="80" w:line="276" w:lineRule="auto"/>
      </w:pPr>
      <w:r>
        <w:rPr>
          <w:rFonts w:ascii="Arial" w:hAnsi="Arial"/>
          <w:b/>
          <w:color w:val="0F172A"/>
          <w:sz w:val="21"/>
        </w:rPr>
        <w:t xml:space="preserve">4. Drug–Drug Interaction (DDI) Master: </w:t>
      </w:r>
      <w:r>
        <w:rPr>
          <w:rFonts w:ascii="Arial" w:hAnsi="Arial"/>
          <w:color w:val="1E293B"/>
          <w:sz w:val="21"/>
        </w:rPr>
        <w:t>Maintain pairwise DDI severity categories (Major, Severe, Critical, Moderate, Minor) and clinical mechanism warnings.</w:t>
      </w:r>
    </w:p>
    <w:p>
      <w:pPr>
        <w:pStyle w:val="ListBullet"/>
        <w:spacing w:after="80" w:line="276" w:lineRule="auto"/>
      </w:pPr>
      <w:r>
        <w:rPr>
          <w:rFonts w:ascii="Arial" w:hAnsi="Arial"/>
          <w:b/>
          <w:color w:val="0F172A"/>
          <w:sz w:val="21"/>
        </w:rPr>
        <w:t xml:space="preserve">5. Drug–Food Interaction (DFI) Master: </w:t>
      </w:r>
      <w:r>
        <w:rPr>
          <w:rFonts w:ascii="Arial" w:hAnsi="Arial"/>
          <w:color w:val="1E293B"/>
          <w:sz w:val="21"/>
        </w:rPr>
        <w:t>Manage dietary administration rules, meal timing instructions, alcohol/grapefruit juice warnings, and food precautions.</w:t>
      </w:r>
    </w:p>
    <w:p>
      <w:pPr>
        <w:spacing w:before="280" w:after="120"/>
      </w:pPr>
      <w:r>
        <w:rPr>
          <w:rFonts w:ascii="Arial" w:hAnsi="Arial"/>
          <w:b/>
          <w:color w:val="0D9488"/>
          <w:sz w:val="28"/>
        </w:rPr>
        <w:t>4. Platform Settings vs My Profile &amp; Security</w:t>
      </w:r>
    </w:p>
    <w:p>
      <w:pPr>
        <w:pStyle w:val="ListBullet"/>
        <w:spacing w:after="80" w:line="276" w:lineRule="auto"/>
      </w:pPr>
      <w:r>
        <w:rPr>
          <w:rFonts w:ascii="Arial" w:hAnsi="Arial"/>
          <w:b/>
          <w:color w:val="0F172A"/>
          <w:sz w:val="21"/>
        </w:rPr>
        <w:t xml:space="preserve">A. Platform Settings: </w:t>
      </w:r>
      <w:r>
        <w:rPr>
          <w:rFonts w:ascii="Arial" w:hAnsi="Arial"/>
          <w:color w:val="1E293B"/>
          <w:sz w:val="21"/>
        </w:rPr>
        <w:t>Configures platform-wide identity and landing environment in PlatformSettingsManagementView.jsx: Platform Name ('PharmDVerse ERP'), System Tagline, Support Contact Email, Platform Logo URL, Favicon URL, and Footer Text.</w:t>
      </w:r>
    </w:p>
    <w:p>
      <w:pPr>
        <w:pStyle w:val="ListBullet"/>
        <w:spacing w:after="80" w:line="276" w:lineRule="auto"/>
      </w:pPr>
      <w:r>
        <w:rPr>
          <w:rFonts w:ascii="Arial" w:hAnsi="Arial"/>
          <w:b/>
          <w:color w:val="0F172A"/>
          <w:sz w:val="21"/>
        </w:rPr>
        <w:t xml:space="preserve">B. My Profile &amp; Security: </w:t>
      </w:r>
      <w:r>
        <w:rPr>
          <w:rFonts w:ascii="Arial" w:hAnsi="Arial"/>
          <w:color w:val="1E293B"/>
          <w:sz w:val="21"/>
        </w:rPr>
        <w:t>Manages Super Admin administrative account security in SuperAdminProfileView.jsx: Admin Name, Primary Email, Last Login timestamp, Account Created Date, Password Change form (Current, New, Confirm Password with visibility toggles), and active session invalidation options.</w:t>
      </w:r>
    </w:p>
    <w:p>
      <w:pPr>
        <w:spacing w:before="400" w:after="160"/>
      </w:pPr>
      <w:r>
        <w:rPr>
          <w:rFonts w:ascii="Arial" w:hAnsi="Arial"/>
          <w:b/>
          <w:color w:val="0F172A"/>
          <w:sz w:val="36"/>
        </w:rPr>
        <w:t>PART III — COLLEGE ADMIN MANUAL</w:t>
      </w:r>
    </w:p>
    <w:p>
      <w:pPr>
        <w:spacing w:after="120" w:line="276" w:lineRule="auto"/>
      </w:pPr>
      <w:r>
        <w:rPr>
          <w:rFonts w:ascii="Arial" w:hAnsi="Arial"/>
          <w:color w:val="1E293B"/>
          <w:sz w:val="21"/>
        </w:rPr>
        <w:t>The College Admin portal enables institutional administrators, Deans, and ERP Coordinators to manage college operations, student rosters, faculty directories, case allocations, and document branding templates.</w:t>
      </w:r>
    </w:p>
    <w:p>
      <w:pPr>
        <w:spacing w:before="280" w:after="120"/>
      </w:pPr>
      <w:r>
        <w:rPr>
          <w:rFonts w:ascii="Arial" w:hAnsi="Arial"/>
          <w:b/>
          <w:color w:val="0D9488"/>
          <w:sz w:val="28"/>
        </w:rPr>
        <w:t>1. Student Enrollment Registry</w:t>
      </w:r>
    </w:p>
    <w:p>
      <w:pPr>
        <w:spacing w:after="120" w:line="276" w:lineRule="auto"/>
      </w:pPr>
      <w:r>
        <w:rPr>
          <w:rFonts w:ascii="Arial" w:hAnsi="Arial"/>
          <w:color w:val="1E293B"/>
          <w:sz w:val="21"/>
        </w:rPr>
        <w:t>Allows College Admins to enroll Pharm.D students individually or via batch Excel template upload. Assigns student roll numbers, academic year, batch, and status.</w:t>
      </w:r>
    </w:p>
    <w:p>
      <w:pPr>
        <w:spacing w:before="280" w:after="120"/>
      </w:pPr>
      <w:r>
        <w:rPr>
          <w:rFonts w:ascii="Arial" w:hAnsi="Arial"/>
          <w:b/>
          <w:color w:val="0D9488"/>
          <w:sz w:val="28"/>
        </w:rPr>
        <w:t>2. Faculty &amp; Preceptor Directory</w:t>
      </w:r>
    </w:p>
    <w:p>
      <w:pPr>
        <w:spacing w:after="120" w:line="276" w:lineRule="auto"/>
      </w:pPr>
      <w:r>
        <w:rPr>
          <w:rFonts w:ascii="Arial" w:hAnsi="Arial"/>
          <w:color w:val="1E293B"/>
          <w:sz w:val="21"/>
        </w:rPr>
        <w:t>Manages clinical faculty preceptors, assigns clinical hospital wards/departments, and sets preceptor review permissions.</w:t>
      </w:r>
    </w:p>
    <w:p>
      <w:pPr>
        <w:spacing w:before="280" w:after="120"/>
      </w:pPr>
      <w:r>
        <w:rPr>
          <w:rFonts w:ascii="Arial" w:hAnsi="Arial"/>
          <w:b/>
          <w:color w:val="0D9488"/>
          <w:sz w:val="28"/>
        </w:rPr>
        <w:t>3. Clinical Case Allocation</w:t>
      </w:r>
    </w:p>
    <w:p>
      <w:pPr>
        <w:spacing w:after="120" w:line="276" w:lineRule="auto"/>
      </w:pPr>
      <w:r>
        <w:rPr>
          <w:rFonts w:ascii="Arial" w:hAnsi="Arial"/>
          <w:color w:val="1E293B"/>
          <w:sz w:val="21"/>
        </w:rPr>
        <w:t>Maps student interns to preceptors and assigns clinical cases to ensure supervised logbook reviews.</w:t>
      </w:r>
    </w:p>
    <w:p>
      <w:pPr>
        <w:spacing w:before="280" w:after="120"/>
      </w:pPr>
      <w:r>
        <w:rPr>
          <w:rFonts w:ascii="Arial" w:hAnsi="Arial"/>
          <w:b/>
          <w:color w:val="0D9488"/>
          <w:sz w:val="28"/>
        </w:rPr>
        <w:t>4. Document Branding Center</w:t>
      </w:r>
    </w:p>
    <w:p>
      <w:pPr>
        <w:spacing w:after="120" w:line="276" w:lineRule="auto"/>
      </w:pPr>
      <w:r>
        <w:rPr>
          <w:rFonts w:ascii="Arial" w:hAnsi="Arial"/>
          <w:color w:val="1E293B"/>
          <w:sz w:val="21"/>
        </w:rPr>
        <w:t>Configures institutional document templates applied across all generated PDFs and PPT presentations:</w:t>
      </w:r>
    </w:p>
    <w:p>
      <w:pPr>
        <w:pStyle w:val="ListBullet"/>
        <w:spacing w:after="80" w:line="276" w:lineRule="auto"/>
      </w:pPr>
      <w:r>
        <w:rPr>
          <w:rFonts w:ascii="Arial" w:hAnsi="Arial"/>
          <w:b/>
          <w:color w:val="0F172A"/>
          <w:sz w:val="21"/>
        </w:rPr>
        <w:t xml:space="preserve">Institutional Logos: </w:t>
      </w:r>
      <w:r>
        <w:rPr>
          <w:rFonts w:ascii="Arial" w:hAnsi="Arial"/>
          <w:color w:val="1E293B"/>
          <w:sz w:val="21"/>
        </w:rPr>
        <w:t>Upload high-resolution college logo and hospital logo URLs.</w:t>
      </w:r>
    </w:p>
    <w:p>
      <w:pPr>
        <w:pStyle w:val="ListBullet"/>
        <w:spacing w:after="80" w:line="276" w:lineRule="auto"/>
      </w:pPr>
      <w:r>
        <w:rPr>
          <w:rFonts w:ascii="Arial" w:hAnsi="Arial"/>
          <w:b/>
          <w:color w:val="0F172A"/>
          <w:sz w:val="21"/>
        </w:rPr>
        <w:t xml:space="preserve">Header &amp; Subtitle: </w:t>
      </w:r>
      <w:r>
        <w:rPr>
          <w:rFonts w:ascii="Arial" w:hAnsi="Arial"/>
          <w:color w:val="1E293B"/>
          <w:sz w:val="21"/>
        </w:rPr>
        <w:t>Define exact header text, autonomous institution tags, and college address.</w:t>
      </w:r>
    </w:p>
    <w:p>
      <w:pPr>
        <w:pStyle w:val="ListBullet"/>
        <w:spacing w:after="80" w:line="276" w:lineRule="auto"/>
      </w:pPr>
      <w:r>
        <w:rPr>
          <w:rFonts w:ascii="Arial" w:hAnsi="Arial"/>
          <w:b/>
          <w:color w:val="0F172A"/>
          <w:sz w:val="21"/>
        </w:rPr>
        <w:t xml:space="preserve">Watermark Controls: </w:t>
      </w:r>
      <w:r>
        <w:rPr>
          <w:rFonts w:ascii="Arial" w:hAnsi="Arial"/>
          <w:color w:val="1E293B"/>
          <w:sz w:val="21"/>
        </w:rPr>
        <w:t>Set custom watermark text (e.g. 'AMRMCP'), position (Center / Diagonal), and opacity (10%–30%).</w:t>
      </w:r>
    </w:p>
    <w:p>
      <w:pPr>
        <w:pStyle w:val="ListBullet"/>
        <w:spacing w:after="80" w:line="276" w:lineRule="auto"/>
      </w:pPr>
      <w:r>
        <w:rPr>
          <w:rFonts w:ascii="Arial" w:hAnsi="Arial"/>
          <w:b/>
          <w:color w:val="0F172A"/>
          <w:sz w:val="21"/>
        </w:rPr>
        <w:t xml:space="preserve">Footer &amp; Signatures: </w:t>
      </w:r>
      <w:r>
        <w:rPr>
          <w:rFonts w:ascii="Arial" w:hAnsi="Arial"/>
          <w:color w:val="1E293B"/>
          <w:sz w:val="21"/>
        </w:rPr>
        <w:t>Configure footer confidentiality text, page numbers, and student/preceptor signature anchor blocks.</w:t>
      </w:r>
    </w:p>
    <w:p>
      <w:pPr>
        <w:spacing w:before="400" w:after="160"/>
      </w:pPr>
      <w:r>
        <w:rPr>
          <w:rFonts w:ascii="Arial" w:hAnsi="Arial"/>
          <w:b/>
          <w:color w:val="0F172A"/>
          <w:sz w:val="36"/>
        </w:rPr>
        <w:t>PART IV — PRECEPTOR MANUAL</w:t>
      </w:r>
    </w:p>
    <w:p>
      <w:pPr>
        <w:spacing w:after="120" w:line="276" w:lineRule="auto"/>
      </w:pPr>
      <w:r>
        <w:rPr>
          <w:rFonts w:ascii="Arial" w:hAnsi="Arial"/>
          <w:color w:val="1E293B"/>
          <w:sz w:val="21"/>
        </w:rPr>
        <w:t>The Preceptor portal is designed for clinical faculty to audit, review, and evaluate student clinical case logbooks.</w:t>
      </w:r>
    </w:p>
    <w:p>
      <w:pPr>
        <w:spacing w:before="280" w:after="120"/>
      </w:pPr>
      <w:r>
        <w:rPr>
          <w:rFonts w:ascii="Arial" w:hAnsi="Arial"/>
          <w:b/>
          <w:color w:val="0D9488"/>
          <w:sz w:val="28"/>
        </w:rPr>
        <w:t>1. Review Queue &amp; Assigned Students</w:t>
      </w:r>
    </w:p>
    <w:p>
      <w:pPr>
        <w:spacing w:after="120" w:line="276" w:lineRule="auto"/>
      </w:pPr>
      <w:r>
        <w:rPr>
          <w:rFonts w:ascii="Arial" w:hAnsi="Arial"/>
          <w:color w:val="1E293B"/>
          <w:sz w:val="21"/>
        </w:rPr>
        <w:t>Preceptors view pending logbook submissions from assigned student interns, categorized by clinical department/ward.</w:t>
      </w:r>
    </w:p>
    <w:p>
      <w:pPr>
        <w:spacing w:before="280" w:after="120"/>
      </w:pPr>
      <w:r>
        <w:rPr>
          <w:rFonts w:ascii="Arial" w:hAnsi="Arial"/>
          <w:b/>
          <w:color w:val="0D9488"/>
          <w:sz w:val="28"/>
        </w:rPr>
        <w:t>2. Case Evaluation &amp; Audit Workflow</w:t>
      </w:r>
    </w:p>
    <w:p>
      <w:pPr>
        <w:pStyle w:val="ListBullet"/>
        <w:spacing w:after="80" w:line="276" w:lineRule="auto"/>
      </w:pPr>
      <w:r>
        <w:rPr>
          <w:rFonts w:ascii="Arial" w:hAnsi="Arial"/>
          <w:b/>
          <w:color w:val="0F172A"/>
          <w:sz w:val="21"/>
        </w:rPr>
        <w:t xml:space="preserve">Module Inspection: </w:t>
      </w:r>
      <w:r>
        <w:rPr>
          <w:rFonts w:ascii="Arial" w:hAnsi="Arial"/>
          <w:color w:val="1E293B"/>
          <w:sz w:val="21"/>
        </w:rPr>
        <w:t>Inspect Patient Profile, Vitals, Labs, Prescribed Drugs, ADR, Counselling, Intervention, and DIR modules.</w:t>
      </w:r>
    </w:p>
    <w:p>
      <w:pPr>
        <w:pStyle w:val="ListBullet"/>
        <w:spacing w:after="80" w:line="276" w:lineRule="auto"/>
      </w:pPr>
      <w:r>
        <w:rPr>
          <w:rFonts w:ascii="Arial" w:hAnsi="Arial"/>
          <w:b/>
          <w:color w:val="0F172A"/>
          <w:sz w:val="21"/>
        </w:rPr>
        <w:t xml:space="preserve">AI &amp; Pre-Submission Audit: </w:t>
      </w:r>
      <w:r>
        <w:rPr>
          <w:rFonts w:ascii="Arial" w:hAnsi="Arial"/>
          <w:color w:val="1E293B"/>
          <w:sz w:val="21"/>
        </w:rPr>
        <w:t>Review Section 3–6D AI synthesis and Pre-Submission validation check results.</w:t>
      </w:r>
    </w:p>
    <w:p>
      <w:pPr>
        <w:pStyle w:val="ListBullet"/>
        <w:spacing w:after="80" w:line="276" w:lineRule="auto"/>
      </w:pPr>
      <w:r>
        <w:rPr>
          <w:rFonts w:ascii="Arial" w:hAnsi="Arial"/>
          <w:b/>
          <w:color w:val="0F172A"/>
          <w:sz w:val="21"/>
        </w:rPr>
        <w:t xml:space="preserve">Preceptor Decision: </w:t>
      </w:r>
      <w:r>
        <w:rPr>
          <w:rFonts w:ascii="Arial" w:hAnsi="Arial"/>
          <w:color w:val="1E293B"/>
          <w:sz w:val="21"/>
        </w:rPr>
        <w:t>Approve case logbook OR return case to student with mandatory revision feedback remarks.</w:t>
      </w:r>
    </w:p>
    <w:p>
      <w:pPr>
        <w:pStyle w:val="ListBullet"/>
        <w:spacing w:after="80" w:line="276" w:lineRule="auto"/>
      </w:pPr>
      <w:r>
        <w:rPr>
          <w:rFonts w:ascii="Arial" w:hAnsi="Arial"/>
          <w:b/>
          <w:color w:val="0F172A"/>
          <w:sz w:val="21"/>
        </w:rPr>
        <w:t xml:space="preserve">Official Export: </w:t>
      </w:r>
      <w:r>
        <w:rPr>
          <w:rFonts w:ascii="Arial" w:hAnsi="Arial"/>
          <w:color w:val="1E293B"/>
          <w:sz w:val="21"/>
        </w:rPr>
        <w:t>Export signed, college-branded PDF/PPT documents featuring institutional headers and signature anchors.</w:t>
      </w:r>
    </w:p>
    <w:p>
      <w:pPr>
        <w:spacing w:before="400" w:after="160"/>
      </w:pPr>
      <w:r>
        <w:rPr>
          <w:rFonts w:ascii="Arial" w:hAnsi="Arial"/>
          <w:b/>
          <w:color w:val="0F172A"/>
          <w:sz w:val="36"/>
        </w:rPr>
        <w:t>PART V — STUDENT USER MANUAL</w:t>
      </w:r>
    </w:p>
    <w:p>
      <w:pPr>
        <w:spacing w:after="120" w:line="276" w:lineRule="auto"/>
      </w:pPr>
      <w:r>
        <w:rPr>
          <w:rFonts w:ascii="Arial" w:hAnsi="Arial"/>
          <w:color w:val="1E293B"/>
          <w:sz w:val="21"/>
        </w:rPr>
        <w:t>The Student portal guides Pharm.D candidates through patient care documentation, clinical analysis, pre-flight validation, and submission.</w:t>
      </w:r>
    </w:p>
    <w:p>
      <w:pPr>
        <w:spacing w:before="280" w:after="120"/>
      </w:pPr>
      <w:r>
        <w:rPr>
          <w:rFonts w:ascii="Arial" w:hAnsi="Arial"/>
          <w:b/>
          <w:color w:val="0D9488"/>
          <w:sz w:val="28"/>
        </w:rPr>
        <w:t>1. Clinical Logbook Modules (Modules 1–5)</w:t>
      </w:r>
    </w:p>
    <w:p>
      <w:pPr>
        <w:pStyle w:val="ListBullet"/>
        <w:spacing w:after="80" w:line="276" w:lineRule="auto"/>
      </w:pPr>
      <w:r>
        <w:rPr>
          <w:rFonts w:ascii="Arial" w:hAnsi="Arial"/>
          <w:b/>
          <w:color w:val="0F172A"/>
          <w:sz w:val="21"/>
        </w:rPr>
        <w:t xml:space="preserve">Module 1 (Patient Profile): </w:t>
      </w:r>
      <w:r>
        <w:rPr>
          <w:rFonts w:ascii="Arial" w:hAnsi="Arial"/>
          <w:color w:val="1E293B"/>
          <w:sz w:val="21"/>
        </w:rPr>
        <w:t>Log patient demographics, history, chief complaints, vital signs, labs, and active prescribed drugs.</w:t>
      </w:r>
    </w:p>
    <w:p>
      <w:pPr>
        <w:pStyle w:val="ListBullet"/>
        <w:spacing w:after="80" w:line="276" w:lineRule="auto"/>
      </w:pPr>
      <w:r>
        <w:rPr>
          <w:rFonts w:ascii="Arial" w:hAnsi="Arial"/>
          <w:b/>
          <w:color w:val="0F172A"/>
          <w:sz w:val="21"/>
        </w:rPr>
        <w:t xml:space="preserve">Module 2 (ADR Documentation): </w:t>
      </w:r>
      <w:r>
        <w:rPr>
          <w:rFonts w:ascii="Arial" w:hAnsi="Arial"/>
          <w:color w:val="1E293B"/>
          <w:sz w:val="21"/>
        </w:rPr>
        <w:t>Document suspected drug reactions, Naranjo causality scoring, severity, and rechallenge outcomes.</w:t>
      </w:r>
    </w:p>
    <w:p>
      <w:pPr>
        <w:pStyle w:val="ListBullet"/>
        <w:spacing w:after="80" w:line="276" w:lineRule="auto"/>
      </w:pPr>
      <w:r>
        <w:rPr>
          <w:rFonts w:ascii="Arial" w:hAnsi="Arial"/>
          <w:b/>
          <w:color w:val="0F172A"/>
          <w:sz w:val="21"/>
        </w:rPr>
        <w:t xml:space="preserve">Module 3 (Patient Counselling): </w:t>
      </w:r>
      <w:r>
        <w:rPr>
          <w:rFonts w:ascii="Arial" w:hAnsi="Arial"/>
          <w:color w:val="1E293B"/>
          <w:sz w:val="21"/>
        </w:rPr>
        <w:t>Record patient education points, checklist items, lifestyle advice, and comprehension ratings.</w:t>
      </w:r>
    </w:p>
    <w:p>
      <w:pPr>
        <w:pStyle w:val="ListBullet"/>
        <w:spacing w:after="80" w:line="276" w:lineRule="auto"/>
      </w:pPr>
      <w:r>
        <w:rPr>
          <w:rFonts w:ascii="Arial" w:hAnsi="Arial"/>
          <w:b/>
          <w:color w:val="0F172A"/>
          <w:sz w:val="21"/>
        </w:rPr>
        <w:t xml:space="preserve">Module 4 (Pharmacist Intervention): </w:t>
      </w:r>
      <w:r>
        <w:rPr>
          <w:rFonts w:ascii="Arial" w:hAnsi="Arial"/>
          <w:color w:val="1E293B"/>
          <w:sz w:val="21"/>
        </w:rPr>
        <w:t>Identify Drug Therapy Problems (DTPs), formulate recommendations, and record physician acceptance.</w:t>
      </w:r>
    </w:p>
    <w:p>
      <w:pPr>
        <w:pStyle w:val="ListBullet"/>
        <w:spacing w:after="80" w:line="276" w:lineRule="auto"/>
      </w:pPr>
      <w:r>
        <w:rPr>
          <w:rFonts w:ascii="Arial" w:hAnsi="Arial"/>
          <w:b/>
          <w:color w:val="0F172A"/>
          <w:sz w:val="21"/>
        </w:rPr>
        <w:t xml:space="preserve">Module 5 (Drug Info Request): </w:t>
      </w:r>
      <w:r>
        <w:rPr>
          <w:rFonts w:ascii="Arial" w:hAnsi="Arial"/>
          <w:color w:val="1E293B"/>
          <w:sz w:val="21"/>
        </w:rPr>
        <w:t>Transcribe enquirer drug queries, literature search strategies, citations, and structured answers.</w:t>
      </w:r>
    </w:p>
    <w:p>
      <w:pPr>
        <w:spacing w:before="280" w:after="120"/>
      </w:pPr>
      <w:r>
        <w:rPr>
          <w:rFonts w:ascii="Arial" w:hAnsi="Arial"/>
          <w:b/>
          <w:color w:val="0D9488"/>
          <w:sz w:val="28"/>
        </w:rPr>
        <w:t>2. AI Clinical Analysis Engine</w:t>
      </w:r>
    </w:p>
    <w:p>
      <w:pPr>
        <w:spacing w:after="120" w:line="276" w:lineRule="auto"/>
      </w:pPr>
      <w:r>
        <w:rPr>
          <w:rFonts w:ascii="Arial" w:hAnsi="Arial"/>
          <w:color w:val="1E293B"/>
          <w:sz w:val="21"/>
        </w:rPr>
        <w:t>Provides a complete clinical evaluation covering Sections 3 through 6D, followed by the Overall Clinical Case Analysis Summary, Educational Disclaimer, and AI Analysis PDF.</w:t>
      </w:r>
    </w:p>
    <w:p>
      <w:pPr>
        <w:spacing w:before="280" w:after="120"/>
      </w:pPr>
      <w:r>
        <w:rPr>
          <w:rFonts w:ascii="Arial" w:hAnsi="Arial"/>
          <w:b/>
          <w:color w:val="0D9488"/>
          <w:sz w:val="28"/>
        </w:rPr>
        <w:t>3. Pre-Submission Review Gatekeeper</w:t>
      </w:r>
    </w:p>
    <w:p>
      <w:pPr>
        <w:spacing w:after="120" w:line="276" w:lineRule="auto"/>
      </w:pPr>
      <w:r>
        <w:rPr>
          <w:rFonts w:ascii="Arial" w:hAnsi="Arial"/>
          <w:color w:val="1E293B"/>
          <w:sz w:val="21"/>
        </w:rPr>
        <w:t>Executes pre-flight validation checks to identify incomplete required fields before submitting to preceptors.</w:t>
      </w:r>
    </w:p>
    <w:p>
      <w:pPr>
        <w:spacing w:before="400" w:after="160"/>
      </w:pPr>
      <w:r>
        <w:rPr>
          <w:rFonts w:ascii="Arial" w:hAnsi="Arial"/>
          <w:b/>
          <w:color w:val="0F172A"/>
          <w:sz w:val="36"/>
        </w:rPr>
        <w:t>PART VI — COMPLETE CLINICAL CASE WORKFLOW</w:t>
      </w:r>
    </w:p>
    <w:tbl>
      <w:tblPr>
        <w:tblW w:type="auto" w:w="0"/>
        <w:jc w:val="center"/>
        <w:tblLook w:firstColumn="1" w:firstRow="1" w:lastColumn="0" w:lastRow="0" w:noHBand="0" w:noVBand="1" w:val="04A0"/>
      </w:tblPr>
      <w:tblGrid>
        <w:gridCol w:w="2340"/>
        <w:gridCol w:w="2340"/>
        <w:gridCol w:w="2340"/>
        <w:gridCol w:w="2340"/>
      </w:tblGrid>
      <w:tr>
        <w:tc>
          <w:tcPr>
            <w:tcW w:type="dxa" w:w="1728"/>
            <w:shd w:val="clear" w:color="auto" w:fill="0F172A"/>
            <w:tcMar>
              <w:top w:w="100" w:type="dxa"/>
              <w:bottom w:w="100" w:type="dxa"/>
              <w:left w:w="120" w:type="dxa"/>
              <w:right w:w="120" w:type="dxa"/>
            </w:tcMar>
          </w:tcPr>
          <w:p>
            <w:pPr>
              <w:jc w:val="left"/>
            </w:pPr>
            <w:r>
              <w:rPr>
                <w:rFonts w:ascii="Arial" w:hAnsi="Arial"/>
                <w:b/>
                <w:color w:val="FFFFFF"/>
                <w:sz w:val="20"/>
              </w:rPr>
              <w:t>Step #</w:t>
            </w:r>
          </w:p>
        </w:tc>
        <w:tc>
          <w:tcPr>
            <w:tcW w:type="dxa" w:w="2592"/>
            <w:shd w:val="clear" w:color="auto" w:fill="0F172A"/>
            <w:tcMar>
              <w:top w:w="100" w:type="dxa"/>
              <w:bottom w:w="100" w:type="dxa"/>
              <w:left w:w="120" w:type="dxa"/>
              <w:right w:w="120" w:type="dxa"/>
            </w:tcMar>
          </w:tcPr>
          <w:p>
            <w:pPr>
              <w:jc w:val="left"/>
            </w:pPr>
            <w:r>
              <w:rPr>
                <w:rFonts w:ascii="Arial" w:hAnsi="Arial"/>
                <w:b/>
                <w:color w:val="FFFFFF"/>
                <w:sz w:val="20"/>
              </w:rPr>
              <w:t>Workflow Phase</w:t>
            </w:r>
          </w:p>
        </w:tc>
        <w:tc>
          <w:tcPr>
            <w:tcW w:type="dxa" w:w="2592"/>
            <w:shd w:val="clear" w:color="auto" w:fill="0F172A"/>
            <w:tcMar>
              <w:top w:w="100" w:type="dxa"/>
              <w:bottom w:w="100" w:type="dxa"/>
              <w:left w:w="120" w:type="dxa"/>
              <w:right w:w="120" w:type="dxa"/>
            </w:tcMar>
          </w:tcPr>
          <w:p>
            <w:pPr>
              <w:jc w:val="left"/>
            </w:pPr>
            <w:r>
              <w:rPr>
                <w:rFonts w:ascii="Arial" w:hAnsi="Arial"/>
                <w:b/>
                <w:color w:val="FFFFFF"/>
                <w:sz w:val="20"/>
              </w:rPr>
              <w:t>Responsible Role</w:t>
            </w:r>
          </w:p>
        </w:tc>
        <w:tc>
          <w:tcPr>
            <w:tcW w:type="dxa" w:w="2448"/>
            <w:shd w:val="clear" w:color="auto" w:fill="0F172A"/>
            <w:tcMar>
              <w:top w:w="100" w:type="dxa"/>
              <w:bottom w:w="100" w:type="dxa"/>
              <w:left w:w="120" w:type="dxa"/>
              <w:right w:w="120" w:type="dxa"/>
            </w:tcMar>
          </w:tcPr>
          <w:p>
            <w:pPr>
              <w:jc w:val="left"/>
            </w:pPr>
            <w:r>
              <w:rPr>
                <w:rFonts w:ascii="Arial" w:hAnsi="Arial"/>
                <w:b/>
                <w:color w:val="FFFFFF"/>
                <w:sz w:val="20"/>
              </w:rPr>
              <w:t>Action &amp; Output</w:t>
            </w:r>
          </w:p>
        </w:tc>
      </w:tr>
      <w:tr>
        <w:tc>
          <w:tcPr>
            <w:tcW w:type="dxa" w:w="1728"/>
            <w:shd w:val="clear" w:color="auto" w:fill="F8FAFC"/>
            <w:tcMar>
              <w:top w:w="80" w:type="dxa"/>
              <w:bottom w:w="80" w:type="dxa"/>
              <w:left w:w="120" w:type="dxa"/>
              <w:right w:w="120" w:type="dxa"/>
            </w:tcMar>
          </w:tcPr>
          <w:p>
            <w:pPr>
              <w:jc w:val="left"/>
            </w:pPr>
            <w:r>
              <w:rPr>
                <w:rFonts w:ascii="Arial" w:hAnsi="Arial"/>
                <w:color w:val="1E293B"/>
                <w:sz w:val="19"/>
              </w:rPr>
              <w:t>Step 1</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Case Initialization</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Student</w:t>
            </w:r>
          </w:p>
        </w:tc>
        <w:tc>
          <w:tcPr>
            <w:tcW w:type="dxa" w:w="2448"/>
            <w:shd w:val="clear" w:color="auto" w:fill="F8FAFC"/>
            <w:tcMar>
              <w:top w:w="80" w:type="dxa"/>
              <w:bottom w:w="80" w:type="dxa"/>
              <w:left w:w="120" w:type="dxa"/>
              <w:right w:w="120" w:type="dxa"/>
            </w:tcMar>
          </w:tcPr>
          <w:p>
            <w:pPr>
              <w:jc w:val="left"/>
            </w:pPr>
            <w:r>
              <w:rPr>
                <w:rFonts w:ascii="Arial" w:hAnsi="Arial"/>
                <w:color w:val="1E293B"/>
                <w:sz w:val="19"/>
              </w:rPr>
              <w:t>Create / Select Case Logbook</w:t>
            </w:r>
          </w:p>
        </w:tc>
      </w:tr>
      <w:tr>
        <w:tc>
          <w:tcPr>
            <w:tcW w:type="dxa" w:w="1728"/>
            <w:tcMar>
              <w:top w:w="80" w:type="dxa"/>
              <w:bottom w:w="80" w:type="dxa"/>
              <w:left w:w="120" w:type="dxa"/>
              <w:right w:w="120" w:type="dxa"/>
            </w:tcMar>
          </w:tcPr>
          <w:p>
            <w:pPr>
              <w:jc w:val="left"/>
            </w:pPr>
            <w:r>
              <w:rPr>
                <w:rFonts w:ascii="Arial" w:hAnsi="Arial"/>
                <w:color w:val="1E293B"/>
                <w:sz w:val="19"/>
              </w:rPr>
              <w:t>Step 2</w:t>
            </w:r>
          </w:p>
        </w:tc>
        <w:tc>
          <w:tcPr>
            <w:tcW w:type="dxa" w:w="2592"/>
            <w:tcMar>
              <w:top w:w="80" w:type="dxa"/>
              <w:bottom w:w="80" w:type="dxa"/>
              <w:left w:w="120" w:type="dxa"/>
              <w:right w:w="120" w:type="dxa"/>
            </w:tcMar>
          </w:tcPr>
          <w:p>
            <w:pPr>
              <w:jc w:val="left"/>
            </w:pPr>
            <w:r>
              <w:rPr>
                <w:rFonts w:ascii="Arial" w:hAnsi="Arial"/>
                <w:color w:val="1E293B"/>
                <w:sz w:val="19"/>
              </w:rPr>
              <w:t>Profile &amp; Form Entry</w:t>
            </w:r>
          </w:p>
        </w:tc>
        <w:tc>
          <w:tcPr>
            <w:tcW w:type="dxa" w:w="2592"/>
            <w:tcMar>
              <w:top w:w="80" w:type="dxa"/>
              <w:bottom w:w="80" w:type="dxa"/>
              <w:left w:w="120" w:type="dxa"/>
              <w:right w:w="120" w:type="dxa"/>
            </w:tcMar>
          </w:tcPr>
          <w:p>
            <w:pPr>
              <w:jc w:val="left"/>
            </w:pPr>
            <w:r>
              <w:rPr>
                <w:rFonts w:ascii="Arial" w:hAnsi="Arial"/>
                <w:color w:val="1E293B"/>
                <w:sz w:val="19"/>
              </w:rPr>
              <w:t>Student</w:t>
            </w:r>
          </w:p>
        </w:tc>
        <w:tc>
          <w:tcPr>
            <w:tcW w:type="dxa" w:w="2448"/>
            <w:tcMar>
              <w:top w:w="80" w:type="dxa"/>
              <w:bottom w:w="80" w:type="dxa"/>
              <w:left w:w="120" w:type="dxa"/>
              <w:right w:w="120" w:type="dxa"/>
            </w:tcMar>
          </w:tcPr>
          <w:p>
            <w:pPr>
              <w:jc w:val="left"/>
            </w:pPr>
            <w:r>
              <w:rPr>
                <w:rFonts w:ascii="Arial" w:hAnsi="Arial"/>
                <w:color w:val="1E293B"/>
                <w:sz w:val="19"/>
              </w:rPr>
              <w:t>Record Profile, ADR, Counselling, DIR</w:t>
            </w:r>
          </w:p>
        </w:tc>
      </w:tr>
      <w:tr>
        <w:tc>
          <w:tcPr>
            <w:tcW w:type="dxa" w:w="1728"/>
            <w:shd w:val="clear" w:color="auto" w:fill="F8FAFC"/>
            <w:tcMar>
              <w:top w:w="80" w:type="dxa"/>
              <w:bottom w:w="80" w:type="dxa"/>
              <w:left w:w="120" w:type="dxa"/>
              <w:right w:w="120" w:type="dxa"/>
            </w:tcMar>
          </w:tcPr>
          <w:p>
            <w:pPr>
              <w:jc w:val="left"/>
            </w:pPr>
            <w:r>
              <w:rPr>
                <w:rFonts w:ascii="Arial" w:hAnsi="Arial"/>
                <w:color w:val="1E293B"/>
                <w:sz w:val="19"/>
              </w:rPr>
              <w:t>Step 3</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AI Analysis Generation</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Student</w:t>
            </w:r>
          </w:p>
        </w:tc>
        <w:tc>
          <w:tcPr>
            <w:tcW w:type="dxa" w:w="2448"/>
            <w:shd w:val="clear" w:color="auto" w:fill="F8FAFC"/>
            <w:tcMar>
              <w:top w:w="80" w:type="dxa"/>
              <w:bottom w:w="80" w:type="dxa"/>
              <w:left w:w="120" w:type="dxa"/>
              <w:right w:w="120" w:type="dxa"/>
            </w:tcMar>
          </w:tcPr>
          <w:p>
            <w:pPr>
              <w:jc w:val="left"/>
            </w:pPr>
            <w:r>
              <w:rPr>
                <w:rFonts w:ascii="Arial" w:hAnsi="Arial"/>
                <w:color w:val="1E293B"/>
                <w:sz w:val="19"/>
              </w:rPr>
              <w:t>Synthesize Sections 3–6D + Summary</w:t>
            </w:r>
          </w:p>
        </w:tc>
      </w:tr>
      <w:tr>
        <w:tc>
          <w:tcPr>
            <w:tcW w:type="dxa" w:w="1728"/>
            <w:tcMar>
              <w:top w:w="80" w:type="dxa"/>
              <w:bottom w:w="80" w:type="dxa"/>
              <w:left w:w="120" w:type="dxa"/>
              <w:right w:w="120" w:type="dxa"/>
            </w:tcMar>
          </w:tcPr>
          <w:p>
            <w:pPr>
              <w:jc w:val="left"/>
            </w:pPr>
            <w:r>
              <w:rPr>
                <w:rFonts w:ascii="Arial" w:hAnsi="Arial"/>
                <w:color w:val="1E293B"/>
                <w:sz w:val="19"/>
              </w:rPr>
              <w:t>Step 4</w:t>
            </w:r>
          </w:p>
        </w:tc>
        <w:tc>
          <w:tcPr>
            <w:tcW w:type="dxa" w:w="2592"/>
            <w:tcMar>
              <w:top w:w="80" w:type="dxa"/>
              <w:bottom w:w="80" w:type="dxa"/>
              <w:left w:w="120" w:type="dxa"/>
              <w:right w:w="120" w:type="dxa"/>
            </w:tcMar>
          </w:tcPr>
          <w:p>
            <w:pPr>
              <w:jc w:val="left"/>
            </w:pPr>
            <w:r>
              <w:rPr>
                <w:rFonts w:ascii="Arial" w:hAnsi="Arial"/>
                <w:color w:val="1E293B"/>
                <w:sz w:val="19"/>
              </w:rPr>
              <w:t>Pre-Submission Review</w:t>
            </w:r>
          </w:p>
        </w:tc>
        <w:tc>
          <w:tcPr>
            <w:tcW w:type="dxa" w:w="2592"/>
            <w:tcMar>
              <w:top w:w="80" w:type="dxa"/>
              <w:bottom w:w="80" w:type="dxa"/>
              <w:left w:w="120" w:type="dxa"/>
              <w:right w:w="120" w:type="dxa"/>
            </w:tcMar>
          </w:tcPr>
          <w:p>
            <w:pPr>
              <w:jc w:val="left"/>
            </w:pPr>
            <w:r>
              <w:rPr>
                <w:rFonts w:ascii="Arial" w:hAnsi="Arial"/>
                <w:color w:val="1E293B"/>
                <w:sz w:val="19"/>
              </w:rPr>
              <w:t>Student</w:t>
            </w:r>
          </w:p>
        </w:tc>
        <w:tc>
          <w:tcPr>
            <w:tcW w:type="dxa" w:w="2448"/>
            <w:tcMar>
              <w:top w:w="80" w:type="dxa"/>
              <w:bottom w:w="80" w:type="dxa"/>
              <w:left w:w="120" w:type="dxa"/>
              <w:right w:w="120" w:type="dxa"/>
            </w:tcMar>
          </w:tcPr>
          <w:p>
            <w:pPr>
              <w:jc w:val="left"/>
            </w:pPr>
            <w:r>
              <w:rPr>
                <w:rFonts w:ascii="Arial" w:hAnsi="Arial"/>
                <w:color w:val="1E293B"/>
                <w:sz w:val="19"/>
              </w:rPr>
              <w:t>Pre-Flight Validation Check Pass</w:t>
            </w:r>
          </w:p>
        </w:tc>
      </w:tr>
      <w:tr>
        <w:tc>
          <w:tcPr>
            <w:tcW w:type="dxa" w:w="1728"/>
            <w:shd w:val="clear" w:color="auto" w:fill="F8FAFC"/>
            <w:tcMar>
              <w:top w:w="80" w:type="dxa"/>
              <w:bottom w:w="80" w:type="dxa"/>
              <w:left w:w="120" w:type="dxa"/>
              <w:right w:w="120" w:type="dxa"/>
            </w:tcMar>
          </w:tcPr>
          <w:p>
            <w:pPr>
              <w:jc w:val="left"/>
            </w:pPr>
            <w:r>
              <w:rPr>
                <w:rFonts w:ascii="Arial" w:hAnsi="Arial"/>
                <w:color w:val="1E293B"/>
                <w:sz w:val="19"/>
              </w:rPr>
              <w:t>Step 5</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Logbook Submission</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Student</w:t>
            </w:r>
          </w:p>
        </w:tc>
        <w:tc>
          <w:tcPr>
            <w:tcW w:type="dxa" w:w="2448"/>
            <w:shd w:val="clear" w:color="auto" w:fill="F8FAFC"/>
            <w:tcMar>
              <w:top w:w="80" w:type="dxa"/>
              <w:bottom w:w="80" w:type="dxa"/>
              <w:left w:w="120" w:type="dxa"/>
              <w:right w:w="120" w:type="dxa"/>
            </w:tcMar>
          </w:tcPr>
          <w:p>
            <w:pPr>
              <w:jc w:val="left"/>
            </w:pPr>
            <w:r>
              <w:rPr>
                <w:rFonts w:ascii="Arial" w:hAnsi="Arial"/>
                <w:color w:val="1E293B"/>
                <w:sz w:val="19"/>
              </w:rPr>
              <w:t>Submit Case to Assigned Preceptor</w:t>
            </w:r>
          </w:p>
        </w:tc>
      </w:tr>
      <w:tr>
        <w:tc>
          <w:tcPr>
            <w:tcW w:type="dxa" w:w="1728"/>
            <w:tcMar>
              <w:top w:w="80" w:type="dxa"/>
              <w:bottom w:w="80" w:type="dxa"/>
              <w:left w:w="120" w:type="dxa"/>
              <w:right w:w="120" w:type="dxa"/>
            </w:tcMar>
          </w:tcPr>
          <w:p>
            <w:pPr>
              <w:jc w:val="left"/>
            </w:pPr>
            <w:r>
              <w:rPr>
                <w:rFonts w:ascii="Arial" w:hAnsi="Arial"/>
                <w:color w:val="1E293B"/>
                <w:sz w:val="19"/>
              </w:rPr>
              <w:t>Step 6</w:t>
            </w:r>
          </w:p>
        </w:tc>
        <w:tc>
          <w:tcPr>
            <w:tcW w:type="dxa" w:w="2592"/>
            <w:tcMar>
              <w:top w:w="80" w:type="dxa"/>
              <w:bottom w:w="80" w:type="dxa"/>
              <w:left w:w="120" w:type="dxa"/>
              <w:right w:w="120" w:type="dxa"/>
            </w:tcMar>
          </w:tcPr>
          <w:p>
            <w:pPr>
              <w:jc w:val="left"/>
            </w:pPr>
            <w:r>
              <w:rPr>
                <w:rFonts w:ascii="Arial" w:hAnsi="Arial"/>
                <w:color w:val="1E293B"/>
                <w:sz w:val="19"/>
              </w:rPr>
              <w:t>Preceptor Evaluation</w:t>
            </w:r>
          </w:p>
        </w:tc>
        <w:tc>
          <w:tcPr>
            <w:tcW w:type="dxa" w:w="2592"/>
            <w:tcMar>
              <w:top w:w="80" w:type="dxa"/>
              <w:bottom w:w="80" w:type="dxa"/>
              <w:left w:w="120" w:type="dxa"/>
              <w:right w:w="120" w:type="dxa"/>
            </w:tcMar>
          </w:tcPr>
          <w:p>
            <w:pPr>
              <w:jc w:val="left"/>
            </w:pPr>
            <w:r>
              <w:rPr>
                <w:rFonts w:ascii="Arial" w:hAnsi="Arial"/>
                <w:color w:val="1E293B"/>
                <w:sz w:val="19"/>
              </w:rPr>
              <w:t>Preceptor</w:t>
            </w:r>
          </w:p>
        </w:tc>
        <w:tc>
          <w:tcPr>
            <w:tcW w:type="dxa" w:w="2448"/>
            <w:tcMar>
              <w:top w:w="80" w:type="dxa"/>
              <w:bottom w:w="80" w:type="dxa"/>
              <w:left w:w="120" w:type="dxa"/>
              <w:right w:w="120" w:type="dxa"/>
            </w:tcMar>
          </w:tcPr>
          <w:p>
            <w:pPr>
              <w:jc w:val="left"/>
            </w:pPr>
            <w:r>
              <w:rPr>
                <w:rFonts w:ascii="Arial" w:hAnsi="Arial"/>
                <w:color w:val="1E293B"/>
                <w:sz w:val="19"/>
              </w:rPr>
              <w:t>Audit Logbook &amp; Issue Decision</w:t>
            </w:r>
          </w:p>
        </w:tc>
      </w:tr>
      <w:tr>
        <w:tc>
          <w:tcPr>
            <w:tcW w:type="dxa" w:w="1728"/>
            <w:shd w:val="clear" w:color="auto" w:fill="F8FAFC"/>
            <w:tcMar>
              <w:top w:w="80" w:type="dxa"/>
              <w:bottom w:w="80" w:type="dxa"/>
              <w:left w:w="120" w:type="dxa"/>
              <w:right w:w="120" w:type="dxa"/>
            </w:tcMar>
          </w:tcPr>
          <w:p>
            <w:pPr>
              <w:jc w:val="left"/>
            </w:pPr>
            <w:r>
              <w:rPr>
                <w:rFonts w:ascii="Arial" w:hAnsi="Arial"/>
                <w:color w:val="1E293B"/>
                <w:sz w:val="19"/>
              </w:rPr>
              <w:t>Step 7</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Approval / Rejection</w:t>
            </w:r>
          </w:p>
        </w:tc>
        <w:tc>
          <w:tcPr>
            <w:tcW w:type="dxa" w:w="2592"/>
            <w:shd w:val="clear" w:color="auto" w:fill="F8FAFC"/>
            <w:tcMar>
              <w:top w:w="80" w:type="dxa"/>
              <w:bottom w:w="80" w:type="dxa"/>
              <w:left w:w="120" w:type="dxa"/>
              <w:right w:w="120" w:type="dxa"/>
            </w:tcMar>
          </w:tcPr>
          <w:p>
            <w:pPr>
              <w:jc w:val="left"/>
            </w:pPr>
            <w:r>
              <w:rPr>
                <w:rFonts w:ascii="Arial" w:hAnsi="Arial"/>
                <w:color w:val="1E293B"/>
                <w:sz w:val="19"/>
              </w:rPr>
              <w:t>Preceptor / Student</w:t>
            </w:r>
          </w:p>
        </w:tc>
        <w:tc>
          <w:tcPr>
            <w:tcW w:type="dxa" w:w="2448"/>
            <w:shd w:val="clear" w:color="auto" w:fill="F8FAFC"/>
            <w:tcMar>
              <w:top w:w="80" w:type="dxa"/>
              <w:bottom w:w="80" w:type="dxa"/>
              <w:left w:w="120" w:type="dxa"/>
              <w:right w:w="120" w:type="dxa"/>
            </w:tcMar>
          </w:tcPr>
          <w:p>
            <w:pPr>
              <w:jc w:val="left"/>
            </w:pPr>
            <w:r>
              <w:rPr>
                <w:rFonts w:ascii="Arial" w:hAnsi="Arial"/>
                <w:color w:val="1E293B"/>
                <w:sz w:val="19"/>
              </w:rPr>
              <w:t>Approved OR Revision Returned</w:t>
            </w:r>
          </w:p>
        </w:tc>
      </w:tr>
      <w:tr>
        <w:tc>
          <w:tcPr>
            <w:tcW w:type="dxa" w:w="1728"/>
            <w:tcMar>
              <w:top w:w="80" w:type="dxa"/>
              <w:bottom w:w="80" w:type="dxa"/>
              <w:left w:w="120" w:type="dxa"/>
              <w:right w:w="120" w:type="dxa"/>
            </w:tcMar>
          </w:tcPr>
          <w:p>
            <w:pPr>
              <w:jc w:val="left"/>
            </w:pPr>
            <w:r>
              <w:rPr>
                <w:rFonts w:ascii="Arial" w:hAnsi="Arial"/>
                <w:color w:val="1E293B"/>
                <w:sz w:val="19"/>
              </w:rPr>
              <w:t>Step 8</w:t>
            </w:r>
          </w:p>
        </w:tc>
        <w:tc>
          <w:tcPr>
            <w:tcW w:type="dxa" w:w="2592"/>
            <w:tcMar>
              <w:top w:w="80" w:type="dxa"/>
              <w:bottom w:w="80" w:type="dxa"/>
              <w:left w:w="120" w:type="dxa"/>
              <w:right w:w="120" w:type="dxa"/>
            </w:tcMar>
          </w:tcPr>
          <w:p>
            <w:pPr>
              <w:jc w:val="left"/>
            </w:pPr>
            <w:r>
              <w:rPr>
                <w:rFonts w:ascii="Arial" w:hAnsi="Arial"/>
                <w:color w:val="1E293B"/>
                <w:sz w:val="19"/>
              </w:rPr>
              <w:t>Official Export</w:t>
            </w:r>
          </w:p>
        </w:tc>
        <w:tc>
          <w:tcPr>
            <w:tcW w:type="dxa" w:w="2592"/>
            <w:tcMar>
              <w:top w:w="80" w:type="dxa"/>
              <w:bottom w:w="80" w:type="dxa"/>
              <w:left w:w="120" w:type="dxa"/>
              <w:right w:w="120" w:type="dxa"/>
            </w:tcMar>
          </w:tcPr>
          <w:p>
            <w:pPr>
              <w:jc w:val="left"/>
            </w:pPr>
            <w:r>
              <w:rPr>
                <w:rFonts w:ascii="Arial" w:hAnsi="Arial"/>
                <w:color w:val="1E293B"/>
                <w:sz w:val="19"/>
              </w:rPr>
              <w:t>Preceptor / Student</w:t>
            </w:r>
          </w:p>
        </w:tc>
        <w:tc>
          <w:tcPr>
            <w:tcW w:type="dxa" w:w="2448"/>
            <w:tcMar>
              <w:top w:w="80" w:type="dxa"/>
              <w:bottom w:w="80" w:type="dxa"/>
              <w:left w:w="120" w:type="dxa"/>
              <w:right w:w="120" w:type="dxa"/>
            </w:tcMar>
          </w:tcPr>
          <w:p>
            <w:pPr>
              <w:jc w:val="left"/>
            </w:pPr>
            <w:r>
              <w:rPr>
                <w:rFonts w:ascii="Arial" w:hAnsi="Arial"/>
                <w:color w:val="1E293B"/>
                <w:sz w:val="19"/>
              </w:rPr>
              <w:t>College-Branded PDF / PPT Export</w:t>
            </w:r>
          </w:p>
        </w:tc>
      </w:tr>
    </w:tbl>
    <w:p>
      <w:pPr>
        <w:spacing w:after="240"/>
      </w:pPr>
    </w:p>
    <w:p>
      <w:pPr>
        <w:spacing w:before="400" w:after="160"/>
      </w:pPr>
      <w:r>
        <w:rPr>
          <w:rFonts w:ascii="Arial" w:hAnsi="Arial"/>
          <w:b/>
          <w:color w:val="0F172A"/>
          <w:sz w:val="36"/>
        </w:rPr>
        <w:t>PART VII — AI CLINICAL CASE ANALYSIS MANUAL</w:t>
      </w:r>
    </w:p>
    <w:p>
      <w:pPr>
        <w:spacing w:after="120" w:line="276" w:lineRule="auto"/>
      </w:pPr>
      <w:r>
        <w:rPr>
          <w:rFonts w:ascii="Arial" w:hAnsi="Arial"/>
          <w:color w:val="1E293B"/>
          <w:sz w:val="21"/>
        </w:rPr>
        <w:t>The AI Clinical Case Analysis engine delivers a complete clinical evaluation covering Sections 3 through 6D, followed by the Overall Clinical Case Analysis Summary, Educational Disclaimer, and AI Analysis PDF:</w:t>
      </w:r>
    </w:p>
    <w:p>
      <w:pPr>
        <w:pStyle w:val="ListBullet"/>
        <w:spacing w:after="80" w:line="276" w:lineRule="auto"/>
      </w:pPr>
      <w:r>
        <w:rPr>
          <w:rFonts w:ascii="Arial" w:hAnsi="Arial"/>
          <w:b/>
          <w:color w:val="0F172A"/>
          <w:sz w:val="21"/>
        </w:rPr>
        <w:t xml:space="preserve">Section 3 — </w:t>
      </w:r>
      <w:r>
        <w:rPr>
          <w:rFonts w:ascii="Arial" w:hAnsi="Arial"/>
          <w:color w:val="1E293B"/>
          <w:sz w:val="21"/>
        </w:rPr>
        <w:t>Disease–Medication Indication Matrix (Drug vs Diagnosis alignment).</w:t>
      </w:r>
    </w:p>
    <w:p>
      <w:pPr>
        <w:pStyle w:val="ListBullet"/>
        <w:spacing w:after="80" w:line="276" w:lineRule="auto"/>
      </w:pPr>
      <w:r>
        <w:rPr>
          <w:rFonts w:ascii="Arial" w:hAnsi="Arial"/>
          <w:b/>
          <w:color w:val="0F172A"/>
          <w:sz w:val="21"/>
        </w:rPr>
        <w:t xml:space="preserve">Section 4A — </w:t>
      </w:r>
      <w:r>
        <w:rPr>
          <w:rFonts w:ascii="Arial" w:hAnsi="Arial"/>
          <w:color w:val="1E293B"/>
          <w:sz w:val="21"/>
        </w:rPr>
        <w:t>Drug Identity, Dosing &amp; Safety Verification (Dose safety vs Master Data).</w:t>
      </w:r>
    </w:p>
    <w:p>
      <w:pPr>
        <w:pStyle w:val="ListBullet"/>
        <w:spacing w:after="80" w:line="276" w:lineRule="auto"/>
      </w:pPr>
      <w:r>
        <w:rPr>
          <w:rFonts w:ascii="Arial" w:hAnsi="Arial"/>
          <w:b/>
          <w:color w:val="0F172A"/>
          <w:sz w:val="21"/>
        </w:rPr>
        <w:t xml:space="preserve">Section 4B — </w:t>
      </w:r>
      <w:r>
        <w:rPr>
          <w:rFonts w:ascii="Arial" w:hAnsi="Arial"/>
          <w:color w:val="1E293B"/>
          <w:sz w:val="21"/>
        </w:rPr>
        <w:t>Diagnostic &amp; Laboratory Investigation Risks (Lab toxicity monitoring).</w:t>
      </w:r>
    </w:p>
    <w:p>
      <w:pPr>
        <w:pStyle w:val="ListBullet"/>
        <w:spacing w:after="80" w:line="276" w:lineRule="auto"/>
      </w:pPr>
      <w:r>
        <w:rPr>
          <w:rFonts w:ascii="Arial" w:hAnsi="Arial"/>
          <w:b/>
          <w:color w:val="0F172A"/>
          <w:sz w:val="21"/>
        </w:rPr>
        <w:t xml:space="preserve">Section 5A — </w:t>
      </w:r>
      <w:r>
        <w:rPr>
          <w:rFonts w:ascii="Arial" w:hAnsi="Arial"/>
          <w:color w:val="1E293B"/>
          <w:sz w:val="21"/>
        </w:rPr>
        <w:t>Drug–Drug Interaction (DDI) Matrix (Pairwise DDI severity: Major, Severe, Critical, Moderate, Minor).</w:t>
      </w:r>
    </w:p>
    <w:p>
      <w:pPr>
        <w:pStyle w:val="ListBullet"/>
        <w:spacing w:after="80" w:line="276" w:lineRule="auto"/>
      </w:pPr>
      <w:r>
        <w:rPr>
          <w:rFonts w:ascii="Arial" w:hAnsi="Arial"/>
          <w:b/>
          <w:color w:val="0F172A"/>
          <w:sz w:val="21"/>
        </w:rPr>
        <w:t xml:space="preserve">Section 5B — </w:t>
      </w:r>
      <w:r>
        <w:rPr>
          <w:rFonts w:ascii="Arial" w:hAnsi="Arial"/>
          <w:color w:val="1E293B"/>
          <w:sz w:val="21"/>
        </w:rPr>
        <w:t>Drug–Food Interaction &amp; Dietary Precautions (Dietary administration rules).</w:t>
      </w:r>
    </w:p>
    <w:p>
      <w:pPr>
        <w:pStyle w:val="ListBullet"/>
        <w:spacing w:after="80" w:line="276" w:lineRule="auto"/>
      </w:pPr>
      <w:r>
        <w:rPr>
          <w:rFonts w:ascii="Arial" w:hAnsi="Arial"/>
          <w:b/>
          <w:color w:val="0F172A"/>
          <w:sz w:val="21"/>
        </w:rPr>
        <w:t xml:space="preserve">Section 6A — </w:t>
      </w:r>
      <w:r>
        <w:rPr>
          <w:rFonts w:ascii="Arial" w:hAnsi="Arial"/>
          <w:color w:val="1E293B"/>
          <w:sz w:val="21"/>
        </w:rPr>
        <w:t>Adverse Drug Reaction (ADR) Causality Synthesis (Naranjo evaluation).</w:t>
      </w:r>
    </w:p>
    <w:p>
      <w:pPr>
        <w:pStyle w:val="ListBullet"/>
        <w:spacing w:after="80" w:line="276" w:lineRule="auto"/>
      </w:pPr>
      <w:r>
        <w:rPr>
          <w:rFonts w:ascii="Arial" w:hAnsi="Arial"/>
          <w:b/>
          <w:color w:val="0F172A"/>
          <w:sz w:val="21"/>
        </w:rPr>
        <w:t xml:space="preserve">Section 6B — </w:t>
      </w:r>
      <w:r>
        <w:rPr>
          <w:rFonts w:ascii="Arial" w:hAnsi="Arial"/>
          <w:color w:val="1E293B"/>
          <w:sz w:val="21"/>
        </w:rPr>
        <w:t>Patient Counselling Audit (Education points &amp; compliance audit).</w:t>
      </w:r>
    </w:p>
    <w:p>
      <w:pPr>
        <w:pStyle w:val="ListBullet"/>
        <w:spacing w:after="80" w:line="276" w:lineRule="auto"/>
      </w:pPr>
      <w:r>
        <w:rPr>
          <w:rFonts w:ascii="Arial" w:hAnsi="Arial"/>
          <w:b/>
          <w:color w:val="0F172A"/>
          <w:sz w:val="21"/>
        </w:rPr>
        <w:t xml:space="preserve">Section 6C — </w:t>
      </w:r>
      <w:r>
        <w:rPr>
          <w:rFonts w:ascii="Arial" w:hAnsi="Arial"/>
          <w:color w:val="1E293B"/>
          <w:sz w:val="21"/>
        </w:rPr>
        <w:t>Pharmacist Intervention Evaluation (DTP identification &amp; physician acceptance).</w:t>
      </w:r>
    </w:p>
    <w:p>
      <w:pPr>
        <w:pStyle w:val="ListBullet"/>
        <w:spacing w:after="80" w:line="276" w:lineRule="auto"/>
      </w:pPr>
      <w:r>
        <w:rPr>
          <w:rFonts w:ascii="Arial" w:hAnsi="Arial"/>
          <w:b/>
          <w:color w:val="0F172A"/>
          <w:sz w:val="21"/>
        </w:rPr>
        <w:t xml:space="preserve">Section 6D — </w:t>
      </w:r>
      <w:r>
        <w:rPr>
          <w:rFonts w:ascii="Arial" w:hAnsi="Arial"/>
          <w:color w:val="1E293B"/>
          <w:sz w:val="21"/>
        </w:rPr>
        <w:t>Drug Information Query Review (Question category &amp; literature strategy).</w:t>
      </w:r>
    </w:p>
    <w:p>
      <w:pPr>
        <w:pStyle w:val="ListBullet"/>
        <w:spacing w:after="80" w:line="276" w:lineRule="auto"/>
      </w:pPr>
      <w:r>
        <w:rPr>
          <w:rFonts w:ascii="Arial" w:hAnsi="Arial"/>
          <w:b/>
          <w:color w:val="0F172A"/>
          <w:sz w:val="21"/>
        </w:rPr>
        <w:t xml:space="preserve">Overall Summary — </w:t>
      </w:r>
      <w:r>
        <w:rPr>
          <w:rFonts w:ascii="Arial" w:hAnsi="Arial"/>
          <w:color w:val="1E293B"/>
          <w:sz w:val="21"/>
        </w:rPr>
        <w:t>ONE short, clear synthesis paragraph summarizing overall case findings.</w:t>
      </w:r>
    </w:p>
    <w:tbl>
      <w:tblPr>
        <w:tblW w:type="auto" w:w="0"/>
        <w:jc w:val="center"/>
        <w:tblLook w:firstColumn="1" w:firstRow="1" w:lastColumn="0" w:lastRow="0" w:noHBand="0" w:noVBand="1" w:val="04A0"/>
      </w:tblPr>
      <w:tblGrid>
        <w:gridCol w:w="9360"/>
      </w:tblGrid>
      <w:tr>
        <w:tc>
          <w:tcPr>
            <w:tcW w:type="dxa" w:w="9360"/>
            <w:shd w:val="clear" w:color="auto" w:fill="FFF1F2"/>
            <w:tcMar>
              <w:top w:w="120" w:type="dxa"/>
              <w:bottom w:w="120" w:type="dxa"/>
              <w:left w:w="180" w:type="dxa"/>
              <w:right w:w="180" w:type="dxa"/>
            </w:tcMar>
          </w:tcPr>
          <w:p>
            <w:pPr>
              <w:spacing w:after="80"/>
            </w:pPr>
            <w:r>
              <w:rPr>
                <w:rFonts w:ascii="Arial" w:hAnsi="Arial"/>
                <w:b/>
                <w:color w:val="E11D48"/>
                <w:sz w:val="22"/>
              </w:rPr>
              <w:t>AI-GENERATED ANALYSIS — EDUCATIONAL REFERENCE ONLY</w:t>
            </w:r>
          </w:p>
          <w:p>
            <w:pPr>
              <w:spacing w:after="0"/>
            </w:pPr>
            <w:r>
              <w:rPr>
                <w:rFonts w:ascii="Arial" w:hAnsi="Arial"/>
                <w:color w:val="9F1239"/>
                <w:sz w:val="20"/>
              </w:rPr>
              <w:t>AI-generated analysis is provided for educational and reference purposes and does not replace clinical judgment, preceptor review, or professional patient-care decisions.</w:t>
            </w:r>
          </w:p>
        </w:tc>
      </w:tr>
    </w:tbl>
    <w:p>
      <w:pPr>
        <w:spacing w:after="120"/>
      </w:pPr>
    </w:p>
    <w:p>
      <w:pPr>
        <w:spacing w:before="280" w:after="120"/>
      </w:pPr>
      <w:r>
        <w:rPr>
          <w:rFonts w:ascii="Arial" w:hAnsi="Arial"/>
          <w:b/>
          <w:color w:val="0D9488"/>
          <w:sz w:val="28"/>
        </w:rPr>
        <w:t>AI Analysis PDF Output</w:t>
      </w:r>
    </w:p>
    <w:p>
      <w:pPr>
        <w:spacing w:after="120" w:line="276" w:lineRule="auto"/>
      </w:pPr>
      <w:r>
        <w:rPr>
          <w:rFonts w:ascii="Arial" w:hAnsi="Arial"/>
          <w:color w:val="1E293B"/>
          <w:sz w:val="21"/>
        </w:rPr>
        <w:t>The AI Clinical Case Analysis view provides a direct 'Download AI Analysis PDF' action (a direct PDF download action, not a separate 'Save Analysis' feature). The generated AI Analysis PDF automatically follows the respective college's existing document branding/template configuration (logos, header, watermark, footer, and signature blocks) and prominently retains the Educational Disclaimer.</w:t>
      </w:r>
    </w:p>
    <w:p>
      <w:pPr>
        <w:spacing w:before="400" w:after="160"/>
      </w:pPr>
      <w:r>
        <w:rPr>
          <w:rFonts w:ascii="Arial" w:hAnsi="Arial"/>
          <w:b/>
          <w:color w:val="0F172A"/>
          <w:sz w:val="36"/>
        </w:rPr>
        <w:t>PART VIII — PRE-SUBMISSION REVIEW MANUAL</w:t>
      </w:r>
    </w:p>
    <w:p>
      <w:pPr>
        <w:spacing w:after="120" w:line="276" w:lineRule="auto"/>
      </w:pPr>
      <w:r>
        <w:rPr>
          <w:rFonts w:ascii="Arial" w:hAnsi="Arial"/>
          <w:color w:val="1E293B"/>
          <w:sz w:val="21"/>
        </w:rPr>
        <w:t>Pre-Submission Review serves strictly as a documentation pre-flight validation gatekeeper before case submission. It identifies required fields, missing fields/information, incomplete documentation, form completion/saved status, 'Correction Required' alerts, 'Please Verify' notices, 'Documentation Gap' warnings, and provides direct Review Field navigation back to relevant form fields. It does not perform Master Data analysis, AI analysis, or act as a clinical decision engine.</w:t>
      </w:r>
    </w:p>
    <w:p>
      <w:pPr>
        <w:spacing w:before="400" w:after="160"/>
      </w:pPr>
      <w:r>
        <w:rPr>
          <w:rFonts w:ascii="Arial" w:hAnsi="Arial"/>
          <w:b/>
          <w:color w:val="0F172A"/>
          <w:sz w:val="36"/>
        </w:rPr>
        <w:t>PART IX — MASTER DATA MANUAL</w:t>
      </w:r>
    </w:p>
    <w:p>
      <w:pPr>
        <w:spacing w:after="120" w:line="276" w:lineRule="auto"/>
      </w:pPr>
      <w:r>
        <w:rPr>
          <w:rFonts w:ascii="Arial" w:hAnsi="Arial"/>
          <w:color w:val="1E293B"/>
          <w:sz w:val="21"/>
        </w:rPr>
        <w:t>Super Admins curate 5 core Master Data repositories:</w:t>
      </w:r>
    </w:p>
    <w:p>
      <w:pPr>
        <w:pStyle w:val="ListBullet"/>
        <w:spacing w:after="80" w:line="276" w:lineRule="auto"/>
      </w:pPr>
      <w:r>
        <w:rPr>
          <w:rFonts w:ascii="Arial" w:hAnsi="Arial"/>
          <w:b/>
          <w:color w:val="0F172A"/>
          <w:sz w:val="21"/>
        </w:rPr>
        <w:t xml:space="preserve">1. Drug Knowledge Master: </w:t>
      </w:r>
      <w:r>
        <w:rPr>
          <w:rFonts w:ascii="Arial" w:hAnsi="Arial"/>
          <w:color w:val="1E293B"/>
          <w:sz w:val="21"/>
        </w:rPr>
        <w:t>Generic/brand drugs, dosage ranges, MOA, indications, ingredient maps.</w:t>
      </w:r>
    </w:p>
    <w:p>
      <w:pPr>
        <w:pStyle w:val="ListBullet"/>
        <w:spacing w:after="80" w:line="276" w:lineRule="auto"/>
      </w:pPr>
      <w:r>
        <w:rPr>
          <w:rFonts w:ascii="Arial" w:hAnsi="Arial"/>
          <w:b/>
          <w:color w:val="0F172A"/>
          <w:sz w:val="21"/>
        </w:rPr>
        <w:t xml:space="preserve">2. Lab Parameter Master: </w:t>
      </w:r>
      <w:r>
        <w:rPr>
          <w:rFonts w:ascii="Arial" w:hAnsi="Arial"/>
          <w:color w:val="1E293B"/>
          <w:sz w:val="21"/>
        </w:rPr>
        <w:t>Lab parameter names, normal range boundaries, unit aliases, organ risk flags.</w:t>
      </w:r>
    </w:p>
    <w:p>
      <w:pPr>
        <w:pStyle w:val="ListBullet"/>
        <w:spacing w:after="80" w:line="276" w:lineRule="auto"/>
      </w:pPr>
      <w:r>
        <w:rPr>
          <w:rFonts w:ascii="Arial" w:hAnsi="Arial"/>
          <w:b/>
          <w:color w:val="0F172A"/>
          <w:sz w:val="21"/>
        </w:rPr>
        <w:t xml:space="preserve">3. Other Investigation Master: </w:t>
      </w:r>
      <w:r>
        <w:rPr>
          <w:rFonts w:ascii="Arial" w:hAnsi="Arial"/>
          <w:color w:val="1E293B"/>
          <w:sz w:val="21"/>
        </w:rPr>
        <w:t>Non-lab diagnostic tests, clinical imaging categories, radiological procedures, diagnostic codes.</w:t>
      </w:r>
    </w:p>
    <w:p>
      <w:pPr>
        <w:pStyle w:val="ListBullet"/>
        <w:spacing w:after="80" w:line="276" w:lineRule="auto"/>
      </w:pPr>
      <w:r>
        <w:rPr>
          <w:rFonts w:ascii="Arial" w:hAnsi="Arial"/>
          <w:b/>
          <w:color w:val="0F172A"/>
          <w:sz w:val="21"/>
        </w:rPr>
        <w:t xml:space="preserve">4. DDI Master: </w:t>
      </w:r>
      <w:r>
        <w:rPr>
          <w:rFonts w:ascii="Arial" w:hAnsi="Arial"/>
          <w:color w:val="1E293B"/>
          <w:sz w:val="21"/>
        </w:rPr>
        <w:t>Pairwise interaction pairs, severity ratings (Major, Severe, Critical, Moderate, Minor), clinical mechanisms.</w:t>
      </w:r>
    </w:p>
    <w:p>
      <w:pPr>
        <w:pStyle w:val="ListBullet"/>
        <w:spacing w:after="80" w:line="276" w:lineRule="auto"/>
      </w:pPr>
      <w:r>
        <w:rPr>
          <w:rFonts w:ascii="Arial" w:hAnsi="Arial"/>
          <w:b/>
          <w:color w:val="0F172A"/>
          <w:sz w:val="21"/>
        </w:rPr>
        <w:t xml:space="preserve">5. DFI Master: </w:t>
      </w:r>
      <w:r>
        <w:rPr>
          <w:rFonts w:ascii="Arial" w:hAnsi="Arial"/>
          <w:color w:val="1E293B"/>
          <w:sz w:val="21"/>
        </w:rPr>
        <w:t>Food interaction rules, administration timing, dietary restrictions, alcohol/grapefruit warnings.</w:t>
      </w:r>
    </w:p>
    <w:p>
      <w:pPr>
        <w:spacing w:before="400" w:after="160"/>
      </w:pPr>
      <w:r>
        <w:rPr>
          <w:rFonts w:ascii="Arial" w:hAnsi="Arial"/>
          <w:b/>
          <w:color w:val="0F172A"/>
          <w:sz w:val="36"/>
        </w:rPr>
        <w:t>PART X — BRANDING &amp; DOCUMENTATION MANUAL</w:t>
      </w:r>
    </w:p>
    <w:p>
      <w:pPr>
        <w:spacing w:after="120" w:line="276" w:lineRule="auto"/>
      </w:pPr>
      <w:r>
        <w:rPr>
          <w:rFonts w:ascii="Arial" w:hAnsi="Arial"/>
          <w:color w:val="1E293B"/>
          <w:sz w:val="21"/>
        </w:rPr>
        <w:t>PharmDVerse ERP enforces a strict distinction between platform branding and college document branding:</w:t>
      </w:r>
    </w:p>
    <w:p>
      <w:pPr>
        <w:pStyle w:val="ListBullet"/>
        <w:spacing w:after="80" w:line="276" w:lineRule="auto"/>
      </w:pPr>
      <w:r>
        <w:rPr>
          <w:rFonts w:ascii="Arial" w:hAnsi="Arial"/>
          <w:b/>
          <w:color w:val="0F172A"/>
          <w:sz w:val="21"/>
        </w:rPr>
        <w:t xml:space="preserve">Platform Branding: </w:t>
      </w:r>
      <w:r>
        <w:rPr>
          <w:rFonts w:ascii="Arial" w:hAnsi="Arial"/>
          <w:color w:val="1E293B"/>
          <w:sz w:val="21"/>
        </w:rPr>
        <w:t>PharmDVerse ERP logo, tagline, global application theme.</w:t>
      </w:r>
    </w:p>
    <w:p>
      <w:pPr>
        <w:pStyle w:val="ListBullet"/>
        <w:spacing w:after="80" w:line="276" w:lineRule="auto"/>
      </w:pPr>
      <w:r>
        <w:rPr>
          <w:rFonts w:ascii="Arial" w:hAnsi="Arial"/>
          <w:b/>
          <w:color w:val="0F172A"/>
          <w:sz w:val="21"/>
        </w:rPr>
        <w:t xml:space="preserve">College Document Branding: </w:t>
      </w:r>
      <w:r>
        <w:rPr>
          <w:rFonts w:ascii="Arial" w:hAnsi="Arial"/>
          <w:color w:val="1E293B"/>
          <w:sz w:val="21"/>
        </w:rPr>
        <w:t>Institutional logo, hospital logo, header text, autonomous tag, custom watermark text/opacity, footer text, and student/preceptor signature anchors configured in College Admin portal and automatically applied to all PDF/PPT exports.</w:t>
      </w:r>
    </w:p>
    <w:p>
      <w:pPr>
        <w:spacing w:before="400" w:after="160"/>
      </w:pPr>
      <w:r>
        <w:rPr>
          <w:rFonts w:ascii="Arial" w:hAnsi="Arial"/>
          <w:b/>
          <w:color w:val="0F172A"/>
          <w:sz w:val="36"/>
        </w:rPr>
        <w:t>PART XI — NOTIFICATIONS &amp; STATUS WORKFLOW</w:t>
      </w:r>
    </w:p>
    <w:p>
      <w:pPr>
        <w:spacing w:after="120" w:line="276" w:lineRule="auto"/>
      </w:pPr>
      <w:r>
        <w:rPr>
          <w:rFonts w:ascii="Arial" w:hAnsi="Arial"/>
          <w:color w:val="1E293B"/>
          <w:sz w:val="21"/>
        </w:rPr>
        <w:t>Implemented workflow notification events in public.notifications:</w:t>
      </w:r>
    </w:p>
    <w:p>
      <w:pPr>
        <w:pStyle w:val="ListBullet"/>
        <w:spacing w:after="80" w:line="276" w:lineRule="auto"/>
      </w:pPr>
      <w:r>
        <w:rPr>
          <w:rFonts w:ascii="Arial" w:hAnsi="Arial"/>
          <w:b/>
          <w:color w:val="0F172A"/>
          <w:sz w:val="21"/>
        </w:rPr>
        <w:t xml:space="preserve">Case Logbook Submission: </w:t>
      </w:r>
      <w:r>
        <w:rPr>
          <w:rFonts w:ascii="Arial" w:hAnsi="Arial"/>
          <w:color w:val="1E293B"/>
          <w:sz w:val="21"/>
        </w:rPr>
        <w:t>Case submission by a student inserts a notification record for the assigned Preceptor (recipient_role: 'Preceptor').</w:t>
      </w:r>
    </w:p>
    <w:p>
      <w:pPr>
        <w:pStyle w:val="ListBullet"/>
        <w:spacing w:after="80" w:line="276" w:lineRule="auto"/>
      </w:pPr>
      <w:r>
        <w:rPr>
          <w:rFonts w:ascii="Arial" w:hAnsi="Arial"/>
          <w:b/>
          <w:color w:val="0F172A"/>
          <w:sz w:val="21"/>
        </w:rPr>
        <w:t xml:space="preserve">Preceptor Decision: </w:t>
      </w:r>
      <w:r>
        <w:rPr>
          <w:rFonts w:ascii="Arial" w:hAnsi="Arial"/>
          <w:color w:val="1E293B"/>
          <w:sz w:val="21"/>
        </w:rPr>
        <w:t>Case approval or revision request by a preceptor inserts a notification record for the student (recipient_role: 'Student').</w:t>
      </w:r>
    </w:p>
    <w:p>
      <w:pPr>
        <w:spacing w:after="120" w:line="276" w:lineRule="auto"/>
      </w:pPr>
      <w:r>
        <w:rPr>
          <w:rFonts w:ascii="Arial" w:hAnsi="Arial"/>
          <w:color w:val="1E293B"/>
          <w:sz w:val="21"/>
        </w:rPr>
        <w:t>Notifications feature 60-second deduplication guards, unread counter badges, and role-based action routes.</w:t>
      </w:r>
    </w:p>
    <w:p>
      <w:pPr>
        <w:spacing w:before="400" w:after="160"/>
      </w:pPr>
      <w:r>
        <w:rPr>
          <w:rFonts w:ascii="Arial" w:hAnsi="Arial"/>
          <w:b/>
          <w:color w:val="0F172A"/>
          <w:sz w:val="36"/>
        </w:rPr>
        <w:t>PART XII — MOBILE / TABLET / DESKTOP GUIDE</w:t>
      </w:r>
    </w:p>
    <w:p>
      <w:pPr>
        <w:spacing w:after="120" w:line="276" w:lineRule="auto"/>
      </w:pPr>
      <w:r>
        <w:rPr>
          <w:rFonts w:ascii="Arial" w:hAnsi="Arial"/>
          <w:color w:val="1E293B"/>
          <w:sz w:val="21"/>
        </w:rPr>
        <w:t>Features a fully responsive design supporting Desktop, Tablet, Android, and iOS devices. Includes collapsible sidebars, mobile drawer navigation, dark backdrop overlays, scrollable data tables, and dark mode support.</w:t>
      </w:r>
    </w:p>
    <w:p>
      <w:pPr>
        <w:spacing w:before="400" w:after="160"/>
      </w:pPr>
      <w:r>
        <w:rPr>
          <w:rFonts w:ascii="Arial" w:hAnsi="Arial"/>
          <w:b/>
          <w:color w:val="0F172A"/>
          <w:sz w:val="36"/>
        </w:rPr>
        <w:t>PART XIII — QUICK REFERENCE GUIDES</w:t>
      </w:r>
    </w:p>
    <w:p>
      <w:pPr>
        <w:pStyle w:val="ListBullet"/>
        <w:spacing w:after="80" w:line="276" w:lineRule="auto"/>
      </w:pPr>
      <w:r>
        <w:rPr>
          <w:rFonts w:ascii="Arial" w:hAnsi="Arial"/>
          <w:b/>
          <w:color w:val="0F172A"/>
          <w:sz w:val="21"/>
        </w:rPr>
        <w:t xml:space="preserve">Super Admin Quick Start: </w:t>
      </w:r>
      <w:r>
        <w:rPr>
          <w:rFonts w:ascii="Arial" w:hAnsi="Arial"/>
          <w:color w:val="1E293B"/>
          <w:sz w:val="21"/>
        </w:rPr>
        <w:t>Log in → Onboard College → Curate Master Data → Configure Platform Settings.</w:t>
      </w:r>
    </w:p>
    <w:p>
      <w:pPr>
        <w:pStyle w:val="ListBullet"/>
        <w:spacing w:after="80" w:line="276" w:lineRule="auto"/>
      </w:pPr>
      <w:r>
        <w:rPr>
          <w:rFonts w:ascii="Arial" w:hAnsi="Arial"/>
          <w:b/>
          <w:color w:val="0F172A"/>
          <w:sz w:val="21"/>
        </w:rPr>
        <w:t xml:space="preserve">College Admin Quick Start: </w:t>
      </w:r>
      <w:r>
        <w:rPr>
          <w:rFonts w:ascii="Arial" w:hAnsi="Arial"/>
          <w:color w:val="1E293B"/>
          <w:sz w:val="21"/>
        </w:rPr>
        <w:t>Log in → Enroll Students → Add Preceptors → Allocate Cases → Configure Branding.</w:t>
      </w:r>
    </w:p>
    <w:p>
      <w:pPr>
        <w:pStyle w:val="ListBullet"/>
        <w:spacing w:after="80" w:line="276" w:lineRule="auto"/>
      </w:pPr>
      <w:r>
        <w:rPr>
          <w:rFonts w:ascii="Arial" w:hAnsi="Arial"/>
          <w:b/>
          <w:color w:val="0F172A"/>
          <w:sz w:val="21"/>
        </w:rPr>
        <w:t xml:space="preserve">Preceptor Quick Start: </w:t>
      </w:r>
      <w:r>
        <w:rPr>
          <w:rFonts w:ascii="Arial" w:hAnsi="Arial"/>
          <w:color w:val="1E293B"/>
          <w:sz w:val="21"/>
        </w:rPr>
        <w:t>Log in → Open Assigned Cases → Perform Pre-Submission Audit → Approve or Reject.</w:t>
      </w:r>
    </w:p>
    <w:p>
      <w:pPr>
        <w:pStyle w:val="ListBullet"/>
        <w:spacing w:after="80" w:line="276" w:lineRule="auto"/>
      </w:pPr>
      <w:r>
        <w:rPr>
          <w:rFonts w:ascii="Arial" w:hAnsi="Arial"/>
          <w:b/>
          <w:color w:val="0F172A"/>
          <w:sz w:val="21"/>
        </w:rPr>
        <w:t xml:space="preserve">Student Quick Start: </w:t>
      </w:r>
      <w:r>
        <w:rPr>
          <w:rFonts w:ascii="Arial" w:hAnsi="Arial"/>
          <w:color w:val="1E293B"/>
          <w:sz w:val="21"/>
        </w:rPr>
        <w:t>Log in → Create Case → Document Profile &amp; Modules → Run AI Analysis → Run Pre-Submission → Submit.</w:t>
      </w:r>
    </w:p>
    <w:p>
      <w:pPr>
        <w:spacing w:before="400" w:after="160"/>
      </w:pPr>
      <w:r>
        <w:rPr>
          <w:rFonts w:ascii="Arial" w:hAnsi="Arial"/>
          <w:b/>
          <w:color w:val="0F172A"/>
          <w:sz w:val="36"/>
        </w:rPr>
        <w:t>PART XIV — TROUBLESHOOTING &amp; FAQ</w:t>
      </w:r>
    </w:p>
    <w:p>
      <w:pPr>
        <w:pStyle w:val="ListBullet"/>
        <w:spacing w:after="80" w:line="276" w:lineRule="auto"/>
      </w:pPr>
      <w:r>
        <w:rPr>
          <w:rFonts w:ascii="Arial" w:hAnsi="Arial"/>
          <w:b/>
          <w:color w:val="0F172A"/>
          <w:sz w:val="21"/>
        </w:rPr>
        <w:t xml:space="preserve">Submission Button Disabled: </w:t>
      </w:r>
      <w:r>
        <w:rPr>
          <w:rFonts w:ascii="Arial" w:hAnsi="Arial"/>
          <w:color w:val="1E293B"/>
          <w:sz w:val="21"/>
        </w:rPr>
        <w:t>Ensure profile and required clinical fields are filled; complete Pre-Submission Review.</w:t>
      </w:r>
    </w:p>
    <w:p>
      <w:pPr>
        <w:pStyle w:val="ListBullet"/>
        <w:spacing w:after="80" w:line="276" w:lineRule="auto"/>
      </w:pPr>
      <w:r>
        <w:rPr>
          <w:rFonts w:ascii="Arial" w:hAnsi="Arial"/>
          <w:b/>
          <w:color w:val="0F172A"/>
          <w:sz w:val="21"/>
        </w:rPr>
        <w:t xml:space="preserve">Case Not Appearing: </w:t>
      </w:r>
      <w:r>
        <w:rPr>
          <w:rFonts w:ascii="Arial" w:hAnsi="Arial"/>
          <w:color w:val="1E293B"/>
          <w:sz w:val="21"/>
        </w:rPr>
        <w:t>Verify college_id match and active student enrollment in College Admin registry.</w:t>
      </w:r>
    </w:p>
    <w:p>
      <w:pPr>
        <w:pStyle w:val="ListBullet"/>
        <w:spacing w:after="80" w:line="276" w:lineRule="auto"/>
      </w:pPr>
      <w:r>
        <w:rPr>
          <w:rFonts w:ascii="Arial" w:hAnsi="Arial"/>
          <w:b/>
          <w:color w:val="0F172A"/>
          <w:sz w:val="21"/>
        </w:rPr>
        <w:t xml:space="preserve">PDF Logo Missing: </w:t>
      </w:r>
      <w:r>
        <w:rPr>
          <w:rFonts w:ascii="Arial" w:hAnsi="Arial"/>
          <w:color w:val="1E293B"/>
          <w:sz w:val="21"/>
        </w:rPr>
        <w:t>Check Document Branding configuration in College Admin portal; re-upload logo asset.</w:t>
      </w:r>
    </w:p>
    <w:p>
      <w:pPr>
        <w:spacing w:before="400" w:after="160"/>
      </w:pPr>
      <w:r>
        <w:rPr>
          <w:rFonts w:ascii="Arial" w:hAnsi="Arial"/>
          <w:b/>
          <w:color w:val="0F172A"/>
          <w:sz w:val="36"/>
        </w:rPr>
        <w:t>PART XV — SYSTEM MAINTENANCE REFERENCE</w:t>
      </w:r>
    </w:p>
    <w:p>
      <w:pPr>
        <w:pStyle w:val="ListBullet"/>
        <w:spacing w:after="80" w:line="276" w:lineRule="auto"/>
      </w:pPr>
      <w:r>
        <w:rPr>
          <w:rFonts w:ascii="Arial" w:hAnsi="Arial"/>
          <w:b/>
          <w:color w:val="0F172A"/>
          <w:sz w:val="21"/>
        </w:rPr>
        <w:t xml:space="preserve">Frontend Stack: </w:t>
      </w:r>
      <w:r>
        <w:rPr>
          <w:rFonts w:ascii="Arial" w:hAnsi="Arial"/>
          <w:color w:val="1E293B"/>
          <w:sz w:val="21"/>
        </w:rPr>
        <w:t>React 18, Vite 8, Tailwind CSS, Lucide Icons, jsPDF, html2canvas.</w:t>
      </w:r>
    </w:p>
    <w:p>
      <w:pPr>
        <w:pStyle w:val="ListBullet"/>
        <w:spacing w:after="80" w:line="276" w:lineRule="auto"/>
      </w:pPr>
      <w:r>
        <w:rPr>
          <w:rFonts w:ascii="Arial" w:hAnsi="Arial"/>
          <w:b/>
          <w:color w:val="0F172A"/>
          <w:sz w:val="21"/>
        </w:rPr>
        <w:t xml:space="preserve">Authentication Architecture: </w:t>
      </w:r>
      <w:r>
        <w:rPr>
          <w:rFonts w:ascii="Arial" w:hAnsi="Arial"/>
          <w:color w:val="1E293B"/>
          <w:sz w:val="21"/>
        </w:rPr>
        <w:t>Database-backed super_admin authentication via authService.js for Super Admins; Supabase Auth (supabase.auth) for College Admins, Preceptors, and Students with Row-Level Security (RLS) and college_id isolation.</w:t>
      </w:r>
    </w:p>
    <w:p>
      <w:pPr>
        <w:pStyle w:val="ListBullet"/>
        <w:spacing w:after="80" w:line="276" w:lineRule="auto"/>
      </w:pPr>
      <w:r>
        <w:rPr>
          <w:rFonts w:ascii="Arial" w:hAnsi="Arial"/>
          <w:b/>
          <w:color w:val="0F172A"/>
          <w:sz w:val="21"/>
        </w:rPr>
        <w:t xml:space="preserve">Key Directories: </w:t>
      </w:r>
      <w:r>
        <w:rPr>
          <w:rFonts w:ascii="Arial" w:hAnsi="Arial"/>
          <w:color w:val="1E293B"/>
          <w:sz w:val="21"/>
        </w:rPr>
        <w:t>src/components/, src/services/supabaseService.js, src/services/aiAnalysisService.js, src/utils/generateOfficialClinicalCasePDF.js.</w:t>
      </w:r>
    </w:p>
    <w:p>
      <w:pPr>
        <w:spacing w:before="400" w:after="160"/>
      </w:pPr>
      <w:r>
        <w:rPr>
          <w:rFonts w:ascii="Arial" w:hAnsi="Arial"/>
          <w:b/>
          <w:color w:val="0F172A"/>
          <w:sz w:val="36"/>
        </w:rPr>
        <w:t>PART XVI — FINAL SYSTEM MAP</w:t>
      </w:r>
    </w:p>
    <w:p>
      <w:pPr>
        <w:spacing w:after="120" w:line="276" w:lineRule="auto"/>
      </w:pPr>
      <w:r>
        <w:rPr>
          <w:rFonts w:ascii="Arial" w:hAnsi="Arial"/>
          <w:color w:val="1E293B"/>
          <w:sz w:val="21"/>
        </w:rPr>
        <w:t>LANDING PAGE ──► AUTHENTICATION (Database / Supabase Auth) ──► ROLE PORTAL (Super Admin / College Admin / Preceptor / Student) ──► CLINICAL MODULES ──► AI CASE ANALYSIS (Sec 3–6D + Summary) ──► PRE-SUBMISSION REVIEW ──► PRECEPTOR REVIEW ──► COLLEGE-BRANDED PDF/PPT EXPORT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PharmDVerse ERP Clinical Pharmacotherapy Education Platform • Confidential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PHARMDVERSE ERP — SYSTEM BLUEPRINT &amp;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