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CREDIT ASSESSMENT MEMORANDUM</w:t>
      </w:r>
    </w:p>
    <w:p>
      <w:pPr>
        <w:jc w:val="center"/>
      </w:pPr>
      <w:r>
        <w:rPr>
          <w:rFonts w:ascii="Calibri" w:hAnsi="Calibri"/>
          <w:b/>
          <w:sz w:val="36"/>
        </w:rPr>
        <w:t>Think &amp; Learn Private Limited</w:t>
      </w:r>
    </w:p>
    <w:p/>
    <w:p>
      <w:pPr>
        <w:jc w:val="center"/>
      </w:pPr>
      <w:r>
        <w:rPr>
          <w:rFonts w:ascii="Calibri" w:hAnsi="Calibri"/>
          <w:sz w:val="22"/>
        </w:rPr>
        <w:t>CIN: U80903KA2011PTC061427</w:t>
      </w:r>
    </w:p>
    <w:p/>
    <w:p>
      <w:pPr>
        <w:jc w:val="center"/>
      </w:pPr>
      <w:r>
        <w:rPr>
          <w:rFonts w:ascii="Calibri" w:hAnsi="Calibri"/>
          <w:sz w:val="22"/>
        </w:rPr>
        <w:t>Generated: 2026-03-10</w:t>
      </w:r>
    </w:p>
    <w:p>
      <w:pPr>
        <w:pStyle w:val="Heading1"/>
      </w:pPr>
      <w:r>
        <w:rPr>
          <w:rFonts w:ascii="Calibri" w:hAnsi="Calibri"/>
          <w:sz w:val="22"/>
        </w:rPr>
        <w:t>EXECUTIVE SUMMARY</w:t>
      </w:r>
    </w:p>
    <w:p>
      <w:pPr>
        <w:jc w:val="center"/>
      </w:pPr>
      <w:r>
        <w:rPr>
          <w:rFonts w:ascii="Calibri" w:hAnsi="Calibri"/>
          <w:b/>
          <w:color w:val="FF0000"/>
          <w:sz w:val="32"/>
        </w:rPr>
        <w:t>CREDIT DECISION: REJECT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20.0/100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Requested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800.00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Approved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Think &amp; Learn Private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U80903KA2011PTC061427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 Technology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2"/>
        </w:rPr>
        <w:t>Decision Summary</w:t>
      </w:r>
    </w:p>
    <w:p>
      <w:r>
        <w:rPr>
          <w:rFonts w:ascii="Calibri" w:hAnsi="Calibri"/>
          <w:sz w:val="22"/>
        </w:rPr>
        <w:t>Key factors: Personal guarantee provided; 2 DRT case(s) found; Qualified audit opinion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COMPANY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Think &amp; Learn Private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U80903KA2011PTC061427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Promoter of Think &amp; Learn Private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 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MCA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Listed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FINANCIAL ANALYSIS</w:t>
      </w:r>
    </w:p>
    <w:p>
      <w:pPr>
        <w:pStyle w:val="Heading2"/>
      </w:pPr>
      <w:r>
        <w:rPr>
          <w:rFonts w:ascii="Calibri" w:hAnsi="Calibri"/>
          <w:sz w:val="22"/>
        </w:rPr>
        <w:t>Revenue and Profitability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2,200.00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2,800.00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2,400.00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-1,800.00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-1,200.00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-800.00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-900.00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Key Financial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Ratio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DSCR (Debt Service Coverage Ratio)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Debt/Equity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Coverage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Debt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8,500.00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Worth (Current)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-2,500.00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Banking Conduct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Cheque Bounces (12 months)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OD Utilization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 Bank Credits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3,500.00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Promoter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Contribution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Pledge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85.0%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FIVE Cs CREDIT ASSESSMENT</w:t>
      </w:r>
    </w:p>
    <w:p>
      <w:pPr>
        <w:pStyle w:val="Heading2"/>
      </w:pPr>
      <w:r>
        <w:rPr>
          <w:rFonts w:ascii="Calibri" w:hAnsi="Calibri"/>
          <w:sz w:val="22"/>
        </w:rPr>
        <w:t>Score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Score (/100)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Weighted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COLLATERAL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WEIGHTED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Detailed Findings and Flags</w:t>
      </w:r>
    </w:p>
    <w:p>
      <w:pPr>
        <w:pStyle w:val="Heading3"/>
      </w:pPr>
      <w:r>
        <w:rPr>
          <w:rFonts w:ascii="Calibri" w:hAnsi="Calibri"/>
          <w:sz w:val="22"/>
        </w:rPr>
        <w:t>CHARACTER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DRT case(s) found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SEBI enforcement action(s):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Regulatory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Rating downgraded 3 months ago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 Rating Agency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Going concern flag raised by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audit opinion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promoter pledge: 85.0%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Exchange Filing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CAPACITY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DSCR 0.35 (insufficient coverage)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declined 21.4%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cheque bounces in 12 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 utilization 98.0% (overextended)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-25.0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CAPITAL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D/E ratio 12.50 (excessive leverage)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net worth: ₹-2500.00 Cr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Promoter contribution 15.0%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Promoter pledge 85.0% (high distress signal)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Exchange Filing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COLLATERAL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Coverage ratio 1.41x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Collateral 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Collateral type: Receivables (collection risk)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Collateral 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 guarantee provided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Guarantee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CONDITIONS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Sector outlook: DECLINING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Research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Sector NPA rate: 12.3% (high risk)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RBI Sector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-20.0</w:t>
            </w:r>
          </w:p>
        </w:tc>
      </w:tr>
    </w:tbl>
    <w:p/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GST FRAUD ANALYSIS</w:t>
      </w:r>
    </w:p>
    <w:p>
      <w:r>
        <w:rPr>
          <w:rFonts w:ascii="Calibri" w:hAnsi="Calibri"/>
          <w:sz w:val="22"/>
        </w:rPr>
        <w:t>No GST fraud indicators detected.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RESEARCH FINDINGS</w:t>
      </w:r>
    </w:p>
    <w:p>
      <w:pPr>
        <w:pStyle w:val="Heading2"/>
      </w:pPr>
      <w:r>
        <w:rPr>
          <w:rFonts w:ascii="Calibri" w:hAnsi="Calibri"/>
          <w:sz w:val="22"/>
        </w:rPr>
        <w:t>Sector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 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Outlook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DECLINING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NPA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12.3%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MCA Status</w:t>
      </w:r>
    </w:p>
    <w:p>
      <w:r>
        <w:rPr>
          <w:rFonts w:ascii="Calibri" w:hAnsi="Calibri"/>
          <w:sz w:val="22"/>
        </w:rPr>
        <w:t>MCA Status: Active</w:t>
      </w:r>
    </w:p>
    <w:p>
      <w:pPr>
        <w:pStyle w:val="Heading2"/>
      </w:pPr>
      <w:r>
        <w:rPr>
          <w:rFonts w:ascii="Calibri" w:hAnsi="Calibri"/>
          <w:sz w:val="22"/>
        </w:rPr>
        <w:t>Recent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Byju's Faces Funding Crunch, Delays Employee Salaries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Economic Times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2023-10-01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Byju's Valuation Drops to $5.1 Billion from Peak of $22 Billion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2023-09-18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Byju's Faces Regulatory Scrutiny Over Business Practices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2023-08-30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OFFICER QUALITATIVE ASSESSMENTS</w:t>
      </w:r>
    </w:p>
    <w:p>
      <w:r>
        <w:rPr>
          <w:rFonts w:ascii="Calibri" w:hAnsi="Calibri"/>
          <w:sz w:val="22"/>
        </w:rPr>
        <w:t>The following qualitative assessments were made by the credit officer: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Affected 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Adjustment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Aggressive accounting practices and frequent auditor changes raise governance concerns.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model sustainability questioned due to high customer acquisition costs and churn.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Rapid expansion funded through debt has created significant leverage. Refinancing risk high.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FINAL RECOMMENDATION</w:t>
      </w:r>
    </w:p>
    <w:p>
      <w:pPr>
        <w:jc w:val="center"/>
      </w:pPr>
      <w:r>
        <w:rPr>
          <w:rFonts w:ascii="Calibri" w:hAnsi="Calibri"/>
          <w:b/>
          <w:color w:val="FF0000"/>
          <w:sz w:val="28"/>
        </w:rPr>
        <w:t>RECOMMENDATION: REJECT</w:t>
      </w:r>
    </w:p>
    <w:p/>
    <w:p>
      <w:pPr>
        <w:pStyle w:val="Heading2"/>
      </w:pPr>
      <w:r>
        <w:rPr>
          <w:rFonts w:ascii="Calibri" w:hAnsi="Calibri"/>
          <w:sz w:val="22"/>
        </w:rPr>
        <w:t>Loan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Approved Loan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20.0/100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Decision Rationale</w:t>
      </w:r>
    </w:p>
    <w:p>
      <w:r>
        <w:rPr>
          <w:rFonts w:ascii="Calibri" w:hAnsi="Calibri"/>
          <w:sz w:val="22"/>
        </w:rPr>
        <w:t>Key factors: Personal guarantee provided; 2 DRT case(s) found; Qualified audit opinion</w:t>
      </w:r>
    </w:p>
    <w:p/>
    <w:p>
      <w:pPr>
        <w:pStyle w:val="Heading2"/>
      </w:pPr>
      <w:r>
        <w:rPr>
          <w:rFonts w:ascii="Calibri" w:hAnsi="Calibri"/>
          <w:sz w:val="22"/>
        </w:rPr>
        <w:t>Detailed Reasoning</w:t>
      </w:r>
    </w:p>
    <w:p>
      <w:r>
        <w:rPr>
          <w:rFonts w:ascii="Calibri" w:hAnsi="Calibri"/>
          <w:sz w:val="22"/>
        </w:rPr>
        <w:t>Total Credit Score: 20.0/100</w:t>
        <w:br/>
        <w:br/>
        <w:t>Component Scores:</w:t>
        <w:br/>
        <w:t xml:space="preserve">  CHARACTER (25%): 10.0/100</w:t>
        <w:br/>
        <w:t xml:space="preserve">  CAPACITY (30%): 10.0/100</w:t>
        <w:br/>
        <w:t xml:space="preserve">  CAPITAL (20%): 10.0/100</w:t>
        <w:br/>
        <w:t xml:space="preserve">  COLLATERAL (15%): 60.0/100</w:t>
        <w:br/>
        <w:t xml:space="preserve">  CONDITIONS (10%): 35.0/100</w:t>
        <w:br/>
        <w:br/>
        <w:t>Key Findings:</w:t>
        <w:br/>
        <w:t xml:space="preserve">  [GREEN] Personal guarantee provided (Source: Guarantee Documents)</w:t>
        <w:br/>
        <w:t xml:space="preserve">  [MEDIUM] 2 DRT case(s) found (Source: Legal Records)</w:t>
        <w:br/>
        <w:t xml:space="preserve">  [MEDIUM] Qualified audit opinion (Source: Audit Report)</w:t>
        <w:br/>
        <w:t xml:space="preserve">  [MEDIUM] Promoter contribution 15.0% (low) (Source: Financial Statements)</w:t>
        <w:br/>
        <w:t xml:space="preserve">  [MEDIUM] Coverage ratio 1.41x (moderate) (Source: Collateral Valuation)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Assessment Memorandum - Think &amp; Learn Private Limited</dc:title>
  <dc:subject>Credit Assessment</dc:subject>
  <dc:creator>Intelli-Credit 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