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D1FA" w14:textId="2260BBB0" w:rsidR="009439E2" w:rsidRPr="00D200ED" w:rsidRDefault="00B13AAD">
      <w:pPr>
        <w:rPr>
          <w:sz w:val="28"/>
          <w:szCs w:val="28"/>
        </w:rPr>
      </w:pPr>
      <w:r w:rsidRPr="00D200ED">
        <w:rPr>
          <w:sz w:val="28"/>
          <w:szCs w:val="28"/>
        </w:rPr>
        <w:t>Chinook Salmon Spring-Run Juvenile Production Estimate (JPE) Methods</w:t>
      </w:r>
    </w:p>
    <w:p w14:paraId="34335662" w14:textId="5B0FB604" w:rsidR="00B13AAD" w:rsidRPr="00D200ED" w:rsidRDefault="00B13AAD">
      <w:pPr>
        <w:rPr>
          <w:iCs/>
        </w:rPr>
      </w:pPr>
      <w:r w:rsidRPr="00D200ED">
        <w:rPr>
          <w:i/>
        </w:rPr>
        <w:t>Water Year (WY) 2022</w:t>
      </w:r>
    </w:p>
    <w:p w14:paraId="2650DF8F" w14:textId="69EEB7FB" w:rsidR="00B13AAD" w:rsidRDefault="00B13AAD">
      <w:pPr>
        <w:rPr>
          <w:iCs/>
        </w:rPr>
      </w:pPr>
      <w:r>
        <w:rPr>
          <w:i/>
        </w:rPr>
        <w:t>Sample Collection</w:t>
      </w:r>
    </w:p>
    <w:p w14:paraId="72583F81" w14:textId="4C095D50" w:rsidR="00B13AAD" w:rsidRDefault="00B13AAD">
      <w:r>
        <w:t xml:space="preserve">Juvenile Chinook salmon were captured at rotary screw-traps (RSTs) positioned at 10 sites throughout the Sacramento River Basin </w:t>
      </w:r>
      <w:r w:rsidR="008B707A">
        <w:t>from</w:t>
      </w:r>
      <w:r>
        <w:t xml:space="preserve"> </w:t>
      </w:r>
      <w:r w:rsidR="007E4D2C">
        <w:t>January 2022</w:t>
      </w:r>
      <w:r w:rsidRPr="00F1096C">
        <w:t xml:space="preserve"> </w:t>
      </w:r>
      <w:r w:rsidR="008B707A">
        <w:t>until</w:t>
      </w:r>
      <w:r w:rsidRPr="00F1096C">
        <w:t xml:space="preserve"> </w:t>
      </w:r>
      <w:r w:rsidR="007E4D2C">
        <w:t>May 2022</w:t>
      </w:r>
      <w:r>
        <w:t xml:space="preserve">. Date of capture was documented and fork-length (millimeters) measured for each fish. </w:t>
      </w:r>
      <w:r w:rsidR="00B44BEE">
        <w:t>Mucus samples for genetic analysis were collected by running a sterile R</w:t>
      </w:r>
      <w:r>
        <w:t xml:space="preserve">ayon-tipped swab along the </w:t>
      </w:r>
      <w:r w:rsidR="00B44BEE">
        <w:t>lateral surface</w:t>
      </w:r>
      <w:r>
        <w:t xml:space="preserve"> above the lateral line</w:t>
      </w:r>
      <w:r w:rsidR="00B44BEE">
        <w:t xml:space="preserve"> 5-15 times. Swabs were then dipped and swirled into a 1.5 mL microcentrifuge tube containing 1x Phosphate Buffered Saline (PBS) for 5-10 seconds, and the swab was discarded. Fin-clips for genetic analysis were obtained from the upper caudal lobe using sterile dissecting scissors</w:t>
      </w:r>
      <w:r w:rsidR="007B3984">
        <w:t>, placed in</w:t>
      </w:r>
      <w:r w:rsidR="00EA6562">
        <w:t xml:space="preserve"> individually labeled</w:t>
      </w:r>
      <w:r w:rsidR="007B3984">
        <w:t xml:space="preserve"> coin envelopes, and allowed to dry</w:t>
      </w:r>
      <w:r w:rsidR="00B44BEE">
        <w:t xml:space="preserve">. Fish were released </w:t>
      </w:r>
      <w:r w:rsidR="00E014C1">
        <w:t>following</w:t>
      </w:r>
      <w:r w:rsidR="00B44BEE">
        <w:t xml:space="preserve"> </w:t>
      </w:r>
      <w:r w:rsidR="00776DAB">
        <w:t>tissue collection.</w:t>
      </w:r>
    </w:p>
    <w:p w14:paraId="66FE535C" w14:textId="2988B7FC" w:rsidR="00B44BEE" w:rsidRDefault="00B44BEE">
      <w:pPr>
        <w:rPr>
          <w:iCs/>
        </w:rPr>
      </w:pPr>
      <w:r>
        <w:rPr>
          <w:i/>
        </w:rPr>
        <w:t>DNA Extraction</w:t>
      </w:r>
    </w:p>
    <w:p w14:paraId="1325AC50" w14:textId="4FB7E46F" w:rsidR="00B44BEE" w:rsidRDefault="00D21C8B">
      <w:pPr>
        <w:rPr>
          <w:iCs/>
        </w:rPr>
      </w:pPr>
      <w:r>
        <w:rPr>
          <w:iCs/>
        </w:rPr>
        <w:t>Mucus samples (in PBS buffer) were not subjected to any further processing before genotyping. DNA was extracted from fin-clips using the Qiagen DNeasy 96 Blood and Tissue Kit according to the manufacturer’s instructions (Qiagen, Hilden, Germany).</w:t>
      </w:r>
    </w:p>
    <w:p w14:paraId="4C4048EC" w14:textId="3546F6B2" w:rsidR="00D21C8B" w:rsidRDefault="00D21C8B">
      <w:pPr>
        <w:rPr>
          <w:iCs/>
        </w:rPr>
      </w:pPr>
      <w:r>
        <w:rPr>
          <w:i/>
        </w:rPr>
        <w:t>SHERLOCK Genotyping</w:t>
      </w:r>
    </w:p>
    <w:p w14:paraId="186A3DE6" w14:textId="4724EAFB" w:rsidR="00D21C8B" w:rsidRDefault="00D21C8B">
      <w:pPr>
        <w:rPr>
          <w:iCs/>
        </w:rPr>
      </w:pPr>
      <w:r>
        <w:rPr>
          <w:iCs/>
        </w:rPr>
        <w:t xml:space="preserve">Mucus samples were subjected to SHERLOCK genotyping assays described </w:t>
      </w:r>
      <w:r w:rsidR="00647CA9">
        <w:rPr>
          <w:iCs/>
        </w:rPr>
        <w:t>by</w:t>
      </w:r>
      <w:r>
        <w:rPr>
          <w:iCs/>
        </w:rPr>
        <w:t xml:space="preserve"> Baerwald et al. (2023). First, individuals were genotyped </w:t>
      </w:r>
      <w:r w:rsidRPr="00D21C8B">
        <w:rPr>
          <w:iCs/>
        </w:rPr>
        <w:t xml:space="preserve">at a portion of the </w:t>
      </w:r>
      <w:r w:rsidRPr="0081314F">
        <w:rPr>
          <w:i/>
        </w:rPr>
        <w:t>Greb1L</w:t>
      </w:r>
      <w:r w:rsidRPr="00D21C8B">
        <w:rPr>
          <w:iCs/>
        </w:rPr>
        <w:t xml:space="preserve"> locus on chromosome 28</w:t>
      </w:r>
      <w:r w:rsidR="007D0D90">
        <w:rPr>
          <w:iCs/>
        </w:rPr>
        <w:t xml:space="preserve"> (Ots28)</w:t>
      </w:r>
      <w:r w:rsidRPr="00D21C8B">
        <w:rPr>
          <w:iCs/>
        </w:rPr>
        <w:t xml:space="preserve"> to determine whether they </w:t>
      </w:r>
      <w:r w:rsidR="00B35367">
        <w:rPr>
          <w:iCs/>
        </w:rPr>
        <w:t>were</w:t>
      </w:r>
      <w:r w:rsidRPr="00D21C8B">
        <w:rPr>
          <w:iCs/>
        </w:rPr>
        <w:t xml:space="preserve"> early-migrating (spring or winter adult return migration timing) or late-migrating (fall or late-fall adult return migration timing) (Prince et al., 2017; Thompson et al., 2020). Salmon with early-migrating genotypes were subjected to subsequent SHERLOCK assays</w:t>
      </w:r>
      <w:r w:rsidR="0081314F">
        <w:rPr>
          <w:iCs/>
        </w:rPr>
        <w:t xml:space="preserve"> targeting loci on chromosome 16</w:t>
      </w:r>
      <w:r w:rsidR="007D0D90">
        <w:rPr>
          <w:iCs/>
        </w:rPr>
        <w:t xml:space="preserve"> (Ots16)</w:t>
      </w:r>
      <w:r w:rsidRPr="00D21C8B">
        <w:rPr>
          <w:iCs/>
        </w:rPr>
        <w:t xml:space="preserve"> to differentiate spring-run and winter-run individuals.</w:t>
      </w:r>
      <w:r w:rsidR="002B13A2">
        <w:rPr>
          <w:iCs/>
        </w:rPr>
        <w:t xml:space="preserve"> </w:t>
      </w:r>
    </w:p>
    <w:p w14:paraId="2184316A" w14:textId="4C795FF0" w:rsidR="002B13A2" w:rsidRPr="00B1098E" w:rsidRDefault="002B13A2" w:rsidP="0FA5B6A0">
      <w:r w:rsidRPr="0FA5B6A0">
        <w:rPr>
          <w:i/>
          <w:iCs/>
        </w:rPr>
        <w:t>GT-seq Genotyping</w:t>
      </w:r>
    </w:p>
    <w:p w14:paraId="0172AF1D" w14:textId="73F63926" w:rsidR="00C06A57" w:rsidRDefault="002B13A2" w:rsidP="002B13A2">
      <w:r>
        <w:t xml:space="preserve">Genotyping-in-thousands by sequencing (GT-seq; Campbell et al., 2015) was performed on fin-clip extracted DNA from all sampled individuals. </w:t>
      </w:r>
      <w:r w:rsidR="00C06A57" w:rsidRPr="00C06A57">
        <w:t>Individuals were genotyped using the “Transition panel,” an earl</w:t>
      </w:r>
      <w:r w:rsidR="002B0E6B">
        <w:t>y</w:t>
      </w:r>
      <w:r w:rsidR="00C06A57" w:rsidRPr="00C06A57">
        <w:t xml:space="preserve"> version of the panel described </w:t>
      </w:r>
      <w:r w:rsidR="003B6543">
        <w:t>by</w:t>
      </w:r>
      <w:r w:rsidR="00C06A57" w:rsidRPr="00C06A57">
        <w:t xml:space="preserve"> Anderson et al. (2025). This panel consists of genetic markers specifically selected to differentiate run types within the California Central Valley. </w:t>
      </w:r>
      <w:r w:rsidR="005E6F4A">
        <w:t>The Transition panel</w:t>
      </w:r>
      <w:r w:rsidR="00C06A57" w:rsidRPr="00C06A57">
        <w:t xml:space="preserve"> includes seven markers linked to </w:t>
      </w:r>
      <w:r w:rsidR="00C06A57" w:rsidRPr="00C06A57">
        <w:rPr>
          <w:i/>
          <w:iCs/>
        </w:rPr>
        <w:t>Greb1L</w:t>
      </w:r>
      <w:r w:rsidR="00C06A57" w:rsidRPr="00C06A57">
        <w:t xml:space="preserve"> and 201 additional markers distributed throughout the Chinook salmon genome</w:t>
      </w:r>
      <w:r w:rsidR="00C06A57">
        <w:t>.</w:t>
      </w:r>
    </w:p>
    <w:p w14:paraId="445F8A3D" w14:textId="5B9B9D98" w:rsidR="002B13A2" w:rsidRDefault="002B13A2" w:rsidP="002B13A2">
      <w:r>
        <w:t xml:space="preserve">Early- vs. late-migration phenotypes were inferred by analyzing the set of seven genetic markers associated with the </w:t>
      </w:r>
      <w:r w:rsidRPr="565DECB4">
        <w:rPr>
          <w:i/>
          <w:iCs/>
        </w:rPr>
        <w:t>Greb1L</w:t>
      </w:r>
      <w:r>
        <w:t xml:space="preserve"> locus using the program STRUCTURE (Pritchard et al., </w:t>
      </w:r>
      <w:r>
        <w:lastRenderedPageBreak/>
        <w:t xml:space="preserve">2000). Individuals identified as early-migrating were assigned to either spring- or winter-run populations, and all individuals (regardless of early vs. late migration genotype) were assigned to one of the four Central Valley populations – fall, late-fall, spring, or winter – using the full suite of genetic markers in the R package </w:t>
      </w:r>
      <w:r w:rsidRPr="565DECB4">
        <w:rPr>
          <w:i/>
          <w:iCs/>
        </w:rPr>
        <w:t>RUBIAS</w:t>
      </w:r>
      <w:r>
        <w:t xml:space="preserve"> v 0.3.4 (Moran and Anderson, 201</w:t>
      </w:r>
      <w:r w:rsidR="002C1FDA">
        <w:t>9</w:t>
      </w:r>
      <w:r>
        <w:t xml:space="preserve">). </w:t>
      </w:r>
    </w:p>
    <w:p w14:paraId="12A313CD" w14:textId="61413626" w:rsidR="003A693D" w:rsidRPr="00EB7330" w:rsidRDefault="001564C9" w:rsidP="002B13A2">
      <w:r w:rsidRPr="00757CAD">
        <w:t>Individuals did not receive an early- or late-</w:t>
      </w:r>
      <w:r w:rsidR="00C2114E" w:rsidRPr="00757CAD">
        <w:t>mig</w:t>
      </w:r>
      <w:r w:rsidR="00757C37" w:rsidRPr="00757CAD">
        <w:t xml:space="preserve">ration </w:t>
      </w:r>
      <w:r w:rsidRPr="00757CAD">
        <w:t>assignment if more than</w:t>
      </w:r>
      <w:r>
        <w:t xml:space="preserve"> </w:t>
      </w:r>
      <w:r w:rsidR="00067E92">
        <w:t>five</w:t>
      </w:r>
      <w:r w:rsidR="00757CAD">
        <w:t xml:space="preserve"> </w:t>
      </w:r>
      <w:r w:rsidR="002E3A1B">
        <w:t xml:space="preserve">out </w:t>
      </w:r>
      <w:r w:rsidR="00EB7330">
        <w:t xml:space="preserve">of seven </w:t>
      </w:r>
      <w:r w:rsidR="00EB7330">
        <w:rPr>
          <w:i/>
          <w:iCs/>
        </w:rPr>
        <w:t>Greb1L</w:t>
      </w:r>
      <w:r w:rsidR="00EB7330">
        <w:t xml:space="preserve"> loci were missing</w:t>
      </w:r>
      <w:r w:rsidR="009F152B">
        <w:t xml:space="preserve"> from the</w:t>
      </w:r>
      <w:r w:rsidR="005520DC">
        <w:t xml:space="preserve"> final genotype</w:t>
      </w:r>
      <w:r w:rsidR="009F152B">
        <w:t xml:space="preserve"> dataset. </w:t>
      </w:r>
      <w:r w:rsidR="00CB0348">
        <w:t>Likewise, i</w:t>
      </w:r>
      <w:r w:rsidR="00801248">
        <w:t xml:space="preserve">ndividuals did not receive population-level assignments </w:t>
      </w:r>
      <w:r w:rsidR="00793822">
        <w:t>if more than 80% of</w:t>
      </w:r>
      <w:r w:rsidR="00981AD1">
        <w:t xml:space="preserve"> the remaining</w:t>
      </w:r>
      <w:r w:rsidR="00793822">
        <w:t xml:space="preserve"> loci</w:t>
      </w:r>
      <w:r w:rsidR="00766552">
        <w:t xml:space="preserve"> (</w:t>
      </w:r>
      <w:r w:rsidR="00FD4F53">
        <w:t xml:space="preserve">greater than </w:t>
      </w:r>
      <w:r w:rsidR="00766552">
        <w:t>160</w:t>
      </w:r>
      <w:r w:rsidR="002E3A1B">
        <w:t xml:space="preserve"> out of 201</w:t>
      </w:r>
      <w:r w:rsidR="00766552">
        <w:t xml:space="preserve"> loci)</w:t>
      </w:r>
      <w:r w:rsidR="00793822">
        <w:t xml:space="preserve"> </w:t>
      </w:r>
      <w:r w:rsidR="00CB0348">
        <w:t>were missing from the final genotype dataset.</w:t>
      </w:r>
    </w:p>
    <w:p w14:paraId="1F0C297A" w14:textId="5DF74528" w:rsidR="002B13A2" w:rsidRDefault="002B13A2" w:rsidP="002B13A2">
      <w:r w:rsidRPr="1E6A7B8B">
        <w:rPr>
          <w:i/>
          <w:iCs/>
        </w:rPr>
        <w:t>Final Run Assignment</w:t>
      </w:r>
    </w:p>
    <w:p w14:paraId="21B66960" w14:textId="6094592C" w:rsidR="004D2B93" w:rsidRPr="00836112" w:rsidRDefault="002B13A2" w:rsidP="002B13A2">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w:t>
      </w:r>
      <w:r w:rsidR="004D16E4">
        <w:t xml:space="preserve">In the event of disagreement between SHERLOCK and GT-seq with respect to </w:t>
      </w:r>
      <w:r w:rsidR="004D16E4">
        <w:rPr>
          <w:i/>
          <w:iCs/>
        </w:rPr>
        <w:t>Greb1L</w:t>
      </w:r>
      <w:r w:rsidR="004D16E4">
        <w:t xml:space="preserve"> assignments (e.g., an individual was determined to be late-migrating via SHERLOCK and early-migrating via GT-seq), </w:t>
      </w:r>
      <w:r w:rsidR="005F6224">
        <w:t>the GT-seq</w:t>
      </w:r>
      <w:r w:rsidR="005E21C8">
        <w:t xml:space="preserve"> </w:t>
      </w:r>
      <w:r w:rsidR="005E21C8">
        <w:rPr>
          <w:i/>
          <w:iCs/>
        </w:rPr>
        <w:t>Greb1L</w:t>
      </w:r>
      <w:r w:rsidR="005F6224">
        <w:t xml:space="preserve"> assignment was used.</w:t>
      </w:r>
      <w:r w:rsidR="00836112">
        <w:t xml:space="preserve"> </w:t>
      </w:r>
    </w:p>
    <w:p w14:paraId="115B222C" w14:textId="4EEAB7C1" w:rsidR="002B13A2" w:rsidRDefault="002B13A2" w:rsidP="002B13A2">
      <w:r>
        <w:t xml:space="preserve">Individuals that displayed a heterozygous genotype at </w:t>
      </w:r>
      <w:r>
        <w:rPr>
          <w:i/>
          <w:iCs/>
        </w:rPr>
        <w:t>Greb1L</w:t>
      </w:r>
      <w:r w:rsidR="00360E78">
        <w:t xml:space="preserve"> loci</w:t>
      </w:r>
      <w:r>
        <w:t xml:space="preserve"> (i.e., displayed genotypes characteristic of both early- and late-migrating populations) were assigned to the run associated with the highest posterior probability reported by RUBIAS</w:t>
      </w:r>
      <w:r w:rsidR="00137F26">
        <w:t>.</w:t>
      </w:r>
      <w:r w:rsidR="00360E78">
        <w:t xml:space="preserve"> </w:t>
      </w:r>
      <w:r w:rsidR="005C3CE4">
        <w:t>If</w:t>
      </w:r>
      <w:r w:rsidR="00360E78">
        <w:t xml:space="preserve"> the highest posterior probability was less than 0.80</w:t>
      </w:r>
      <w:r w:rsidR="00C03BDE">
        <w:t xml:space="preserve">, or if no </w:t>
      </w:r>
      <w:r w:rsidR="006A6970">
        <w:t>RUBIAS assignment was available</w:t>
      </w:r>
      <w:r w:rsidR="00D75DD4">
        <w:t xml:space="preserve">, </w:t>
      </w:r>
      <w:r w:rsidR="00D75DD4">
        <w:rPr>
          <w:i/>
          <w:iCs/>
        </w:rPr>
        <w:t>Greb1L</w:t>
      </w:r>
      <w:r w:rsidR="00D75DD4">
        <w:t xml:space="preserve"> heterozygous individuals received a final </w:t>
      </w:r>
      <w:r w:rsidR="005C3CE4">
        <w:t>call of “</w:t>
      </w:r>
      <w:r w:rsidR="00F902CD">
        <w:t>GREB1L</w:t>
      </w:r>
      <w:r w:rsidR="000C2CCB">
        <w:t>_HETEROZYGOTE</w:t>
      </w:r>
      <w:r w:rsidR="005C3CE4">
        <w:t>.”</w:t>
      </w:r>
    </w:p>
    <w:p w14:paraId="7B9BCACA" w14:textId="069CF100" w:rsidR="00011665" w:rsidRPr="00E02745" w:rsidRDefault="005D01AF" w:rsidP="007E5E25">
      <w:r>
        <w:t xml:space="preserve">Individuals </w:t>
      </w:r>
      <w:r w:rsidR="00F96C9F">
        <w:t xml:space="preserve">were removed from the final dataset </w:t>
      </w:r>
      <w:r w:rsidR="00350CED">
        <w:t>if</w:t>
      </w:r>
      <w:r w:rsidR="00F96C9F">
        <w:t xml:space="preserve"> </w:t>
      </w:r>
      <w:r w:rsidR="00A85353">
        <w:t>any</w:t>
      </w:r>
      <w:r w:rsidR="00F96C9F">
        <w:t xml:space="preserve"> of the following conditions</w:t>
      </w:r>
      <w:r w:rsidR="00350CED">
        <w:t xml:space="preserve"> were met</w:t>
      </w:r>
      <w:r w:rsidR="00F96C9F">
        <w:t>:</w:t>
      </w:r>
      <w:r w:rsidR="00E02745">
        <w:t xml:space="preserve"> 1) </w:t>
      </w:r>
      <w:r w:rsidR="00E569AE">
        <w:t xml:space="preserve">No </w:t>
      </w:r>
      <w:r w:rsidR="00E569AE" w:rsidRPr="00E02745">
        <w:rPr>
          <w:i/>
          <w:iCs/>
        </w:rPr>
        <w:t>Greb1L</w:t>
      </w:r>
      <w:r w:rsidR="00E569AE">
        <w:t xml:space="preserve"> assignment</w:t>
      </w:r>
      <w:r w:rsidR="006270F8">
        <w:t xml:space="preserve"> (SHERLOCK or GT-seq)</w:t>
      </w:r>
      <w:r w:rsidR="00E02745">
        <w:t xml:space="preserve">, 2) </w:t>
      </w:r>
      <w:r w:rsidR="00DF5094" w:rsidRPr="00E74770">
        <w:t xml:space="preserve">Population assignment (RUBIAS) with no </w:t>
      </w:r>
      <w:r w:rsidR="004B4753" w:rsidRPr="00E74770">
        <w:t>GT-seq Greb1L assignment</w:t>
      </w:r>
      <w:r w:rsidR="00142A8A" w:rsidRPr="00E74770">
        <w:t xml:space="preserve"> and indeterminate SHERLOCK assignment</w:t>
      </w:r>
      <w:r w:rsidR="00E02745">
        <w:t xml:space="preserve">, 3) </w:t>
      </w:r>
      <w:r w:rsidR="00A337C9" w:rsidRPr="00E02745">
        <w:rPr>
          <w:i/>
          <w:iCs/>
        </w:rPr>
        <w:t>Greb1L</w:t>
      </w:r>
      <w:r w:rsidR="00A337C9">
        <w:t xml:space="preserve"> early-migration assignment with </w:t>
      </w:r>
      <w:r w:rsidR="009204CE">
        <w:t xml:space="preserve">no (or </w:t>
      </w:r>
      <w:r w:rsidR="00DE2CF7">
        <w:t>indeterminate</w:t>
      </w:r>
      <w:r w:rsidR="009204CE">
        <w:t>)</w:t>
      </w:r>
      <w:r w:rsidR="001068C9">
        <w:t xml:space="preserve"> Ots16 SHERLOCK result and no population assignment</w:t>
      </w:r>
      <w:r w:rsidR="00CC65F9">
        <w:t xml:space="preserve"> (RUBIAS)</w:t>
      </w:r>
      <w:r w:rsidR="00E02745">
        <w:t xml:space="preserve">, 4) </w:t>
      </w:r>
      <w:r w:rsidR="00C4677B">
        <w:t xml:space="preserve">SHERLOCK </w:t>
      </w:r>
      <w:r w:rsidR="00C4677B" w:rsidRPr="00E02745">
        <w:rPr>
          <w:i/>
        </w:rPr>
        <w:t>Greb1L</w:t>
      </w:r>
      <w:r w:rsidR="00C4677B" w:rsidRPr="00E02745">
        <w:rPr>
          <w:iCs/>
        </w:rPr>
        <w:t xml:space="preserve"> </w:t>
      </w:r>
      <w:r w:rsidR="00CD57FE" w:rsidRPr="00E02745">
        <w:rPr>
          <w:iCs/>
        </w:rPr>
        <w:t>h</w:t>
      </w:r>
      <w:r w:rsidR="004921E3" w:rsidRPr="00E02745">
        <w:rPr>
          <w:iCs/>
        </w:rPr>
        <w:t xml:space="preserve">eterozygote assignment with no GT-seq </w:t>
      </w:r>
      <w:r w:rsidR="004921E3" w:rsidRPr="00E02745">
        <w:rPr>
          <w:i/>
        </w:rPr>
        <w:t xml:space="preserve">Greb1L </w:t>
      </w:r>
      <w:r w:rsidR="004921E3" w:rsidRPr="00E02745">
        <w:rPr>
          <w:iCs/>
        </w:rPr>
        <w:t>assignment</w:t>
      </w:r>
      <w:r w:rsidR="00E02745">
        <w:t xml:space="preserve">, and 5) </w:t>
      </w:r>
      <w:r w:rsidR="00CD57FE" w:rsidRPr="00E02745">
        <w:rPr>
          <w:iCs/>
        </w:rPr>
        <w:t>No</w:t>
      </w:r>
      <w:r w:rsidR="00511FD5" w:rsidRPr="00E02745">
        <w:rPr>
          <w:iCs/>
        </w:rPr>
        <w:t xml:space="preserve"> recorded</w:t>
      </w:r>
      <w:r w:rsidR="00CD57FE" w:rsidRPr="00E02745">
        <w:rPr>
          <w:iCs/>
        </w:rPr>
        <w:t xml:space="preserve"> </w:t>
      </w:r>
      <w:r w:rsidR="00F87B0A" w:rsidRPr="00E02745">
        <w:rPr>
          <w:iCs/>
        </w:rPr>
        <w:t>capture date or length measurement</w:t>
      </w:r>
      <w:r w:rsidR="00E02745">
        <w:rPr>
          <w:iCs/>
        </w:rPr>
        <w:t>.</w:t>
      </w:r>
    </w:p>
    <w:p w14:paraId="5D2C6A4C" w14:textId="77777777" w:rsidR="0043062B" w:rsidRDefault="0043062B" w:rsidP="007E5E25">
      <w:pPr>
        <w:rPr>
          <w:b/>
          <w:bCs/>
          <w:i/>
        </w:rPr>
      </w:pPr>
    </w:p>
    <w:p w14:paraId="3FC8D2E9" w14:textId="10E6A6DB" w:rsidR="007E5E25" w:rsidRPr="00D200ED" w:rsidRDefault="007E5E25" w:rsidP="007E5E25">
      <w:pPr>
        <w:rPr>
          <w:iCs/>
        </w:rPr>
      </w:pPr>
      <w:r w:rsidRPr="00D200ED">
        <w:rPr>
          <w:i/>
        </w:rPr>
        <w:t>Water Year (WY) 2023</w:t>
      </w:r>
    </w:p>
    <w:p w14:paraId="165012D5" w14:textId="77777777" w:rsidR="007E5E25" w:rsidRDefault="007E5E25" w:rsidP="007E5E25">
      <w:pPr>
        <w:rPr>
          <w:iCs/>
        </w:rPr>
      </w:pPr>
      <w:r>
        <w:rPr>
          <w:i/>
        </w:rPr>
        <w:t>Sample Collection</w:t>
      </w:r>
    </w:p>
    <w:p w14:paraId="18EF3538" w14:textId="7952DD4D" w:rsidR="007E5E25" w:rsidRDefault="007E5E25" w:rsidP="007E5E25">
      <w:r>
        <w:t xml:space="preserve">Juvenile Chinook salmon were captured at rotary screw-traps (RSTs) positioned at </w:t>
      </w:r>
      <w:r w:rsidRPr="007768D8">
        <w:t>1</w:t>
      </w:r>
      <w:r w:rsidR="008F0C48" w:rsidRPr="007768D8">
        <w:t>1</w:t>
      </w:r>
      <w:r w:rsidRPr="007768D8">
        <w:t xml:space="preserve"> sites</w:t>
      </w:r>
      <w:r>
        <w:t xml:space="preserve"> throughout the Sacramento River Basin </w:t>
      </w:r>
      <w:r w:rsidR="008B707A">
        <w:t>from</w:t>
      </w:r>
      <w:r>
        <w:t xml:space="preserve"> </w:t>
      </w:r>
      <w:r w:rsidR="009A42A4">
        <w:t>November 2022</w:t>
      </w:r>
      <w:r>
        <w:t xml:space="preserve"> </w:t>
      </w:r>
      <w:r w:rsidR="008B707A">
        <w:t>until</w:t>
      </w:r>
      <w:r>
        <w:t xml:space="preserve"> </w:t>
      </w:r>
      <w:r w:rsidR="009A42A4">
        <w:t>May 2023</w:t>
      </w:r>
      <w:r>
        <w:t xml:space="preserve">. Date of </w:t>
      </w:r>
      <w:r>
        <w:lastRenderedPageBreak/>
        <w:t xml:space="preserve">capture was documented and fork-length (millimeters) measured for each fish. Mucus samples for genetic analysis were collected by running a sterile Rayon-tipped swab along the lateral surface above the lateral line </w:t>
      </w:r>
      <w:r w:rsidR="003039D7">
        <w:t>2-5</w:t>
      </w:r>
      <w:r>
        <w:t xml:space="preserve"> times</w:t>
      </w:r>
      <w:r w:rsidR="00447A7A">
        <w:t xml:space="preserve"> </w:t>
      </w:r>
      <w:r w:rsidR="001B489B">
        <w:t>in the head-to-tail direction</w:t>
      </w:r>
      <w:r>
        <w:t>. Swabs were then dipped and swirled into a 1.5 mL microcentrifuge tube containing 1x Phosphate Buffered Saline (PBS)</w:t>
      </w:r>
      <w:r w:rsidR="00F57E6E">
        <w:t xml:space="preserve"> or Low-EDTA Tris</w:t>
      </w:r>
      <w:r w:rsidR="00134B27">
        <w:t>-HCl (pH 8.0)</w:t>
      </w:r>
      <w:r>
        <w:t xml:space="preserve"> for 5-10 seconds, and the swab was discarded. Fin-clips for genetic analysis were obtained from the upper caudal lobe using sterile dissecting scissors, placed in individually labeled coin envelopes, and allowed to dry. Fish were released following tissue collection.</w:t>
      </w:r>
    </w:p>
    <w:p w14:paraId="2BD975E5" w14:textId="77777777" w:rsidR="007E5E25" w:rsidRDefault="007E5E25" w:rsidP="007E5E25">
      <w:pPr>
        <w:rPr>
          <w:iCs/>
        </w:rPr>
      </w:pPr>
      <w:r>
        <w:rPr>
          <w:i/>
        </w:rPr>
        <w:t>DNA Extraction</w:t>
      </w:r>
    </w:p>
    <w:p w14:paraId="508C8FC8" w14:textId="407784C7" w:rsidR="007E5E25" w:rsidRDefault="007E5E25" w:rsidP="007E5E25">
      <w:pPr>
        <w:rPr>
          <w:iCs/>
        </w:rPr>
      </w:pPr>
      <w:r>
        <w:rPr>
          <w:iCs/>
        </w:rPr>
        <w:t xml:space="preserve">Mucus samples (in PBS </w:t>
      </w:r>
      <w:r w:rsidR="008C706C">
        <w:rPr>
          <w:iCs/>
        </w:rPr>
        <w:t>or Low-EDTA Tris-HCl buffer</w:t>
      </w:r>
      <w:r>
        <w:rPr>
          <w:iCs/>
        </w:rPr>
        <w:t xml:space="preserve">) were </w:t>
      </w:r>
      <w:r w:rsidR="00F17A13">
        <w:rPr>
          <w:iCs/>
        </w:rPr>
        <w:t xml:space="preserve">incubated at 95°C for </w:t>
      </w:r>
      <w:r w:rsidR="001230D7">
        <w:rPr>
          <w:iCs/>
        </w:rPr>
        <w:t>15-</w:t>
      </w:r>
      <w:r w:rsidR="00F17A13">
        <w:rPr>
          <w:iCs/>
        </w:rPr>
        <w:t>20 minutes and</w:t>
      </w:r>
      <w:r w:rsidR="00BD3F98">
        <w:rPr>
          <w:iCs/>
        </w:rPr>
        <w:t xml:space="preserve"> subsequently</w:t>
      </w:r>
      <w:r w:rsidR="00F17A13">
        <w:rPr>
          <w:iCs/>
        </w:rPr>
        <w:t xml:space="preserve"> cooled to 4°C prior to</w:t>
      </w:r>
      <w:r>
        <w:rPr>
          <w:iCs/>
        </w:rPr>
        <w:t xml:space="preserve"> genotyping. DNA was extracted from fin-clips using the Qiagen DNeasy 96 Blood and Tissue Kit according to the manufacturer’s instructions (Qiagen, Hilden, Germany).</w:t>
      </w:r>
    </w:p>
    <w:p w14:paraId="3B74D156" w14:textId="77777777" w:rsidR="007E5E25" w:rsidRDefault="007E5E25" w:rsidP="007E5E25">
      <w:pPr>
        <w:rPr>
          <w:iCs/>
        </w:rPr>
      </w:pPr>
      <w:r>
        <w:rPr>
          <w:i/>
        </w:rPr>
        <w:t>SHERLOCK Genotyping</w:t>
      </w:r>
    </w:p>
    <w:p w14:paraId="0B8F9661" w14:textId="68E07931" w:rsidR="007E5E25" w:rsidRDefault="00015ABB" w:rsidP="007E5E25">
      <w:pPr>
        <w:rPr>
          <w:iCs/>
        </w:rPr>
      </w:pPr>
      <w:r>
        <w:rPr>
          <w:iCs/>
        </w:rPr>
        <w:t>A randomly-selected subset of mucus samples</w:t>
      </w:r>
      <w:r w:rsidR="007E5E25">
        <w:rPr>
          <w:iCs/>
        </w:rPr>
        <w:t xml:space="preserve"> </w:t>
      </w:r>
      <w:r w:rsidR="006809BA">
        <w:rPr>
          <w:iCs/>
        </w:rPr>
        <w:t xml:space="preserve">from each site </w:t>
      </w:r>
      <w:r w:rsidR="007E5E25">
        <w:rPr>
          <w:iCs/>
        </w:rPr>
        <w:t>w</w:t>
      </w:r>
      <w:r w:rsidR="00DC06EB">
        <w:rPr>
          <w:iCs/>
        </w:rPr>
        <w:t>as</w:t>
      </w:r>
      <w:r w:rsidR="007E5E25">
        <w:rPr>
          <w:iCs/>
        </w:rPr>
        <w:t xml:space="preserve"> subjected to SHERLOCK genotyping assays described by Baerwald et al. (2023). First, individuals were genotyped </w:t>
      </w:r>
      <w:r w:rsidR="007E5E25" w:rsidRPr="00D21C8B">
        <w:rPr>
          <w:iCs/>
        </w:rPr>
        <w:t xml:space="preserve">at a portion of the </w:t>
      </w:r>
      <w:r w:rsidR="007E5E25" w:rsidRPr="0081314F">
        <w:rPr>
          <w:i/>
        </w:rPr>
        <w:t>Greb1L</w:t>
      </w:r>
      <w:r w:rsidR="007E5E25" w:rsidRPr="00D21C8B">
        <w:rPr>
          <w:iCs/>
        </w:rPr>
        <w:t xml:space="preserve"> locus on chromosome 28</w:t>
      </w:r>
      <w:r w:rsidR="007E5E25">
        <w:rPr>
          <w:iCs/>
        </w:rPr>
        <w:t xml:space="preserve"> (Ots28)</w:t>
      </w:r>
      <w:r w:rsidR="007E5E25" w:rsidRPr="00D21C8B">
        <w:rPr>
          <w:iCs/>
        </w:rPr>
        <w:t xml:space="preserve"> to determine whether they </w:t>
      </w:r>
      <w:r w:rsidR="007E5E25">
        <w:rPr>
          <w:iCs/>
        </w:rPr>
        <w:t>were</w:t>
      </w:r>
      <w:r w:rsidR="007E5E25" w:rsidRPr="00D21C8B">
        <w:rPr>
          <w:iCs/>
        </w:rPr>
        <w:t xml:space="preserve"> early-migrating (spring or winter adult return migration timing) or late-migrating (fall or late-fall adult return migration timing) (Prince et al., 2017; Thompson et al., 2020). Salmon with early-migrating genotypes were subjected to subsequent SHERLOCK assays</w:t>
      </w:r>
      <w:r w:rsidR="007E5E25">
        <w:rPr>
          <w:iCs/>
        </w:rPr>
        <w:t xml:space="preserve"> targeting loci on chromosome 16 (Ots16)</w:t>
      </w:r>
      <w:r w:rsidR="007E5E25" w:rsidRPr="00D21C8B">
        <w:rPr>
          <w:iCs/>
        </w:rPr>
        <w:t xml:space="preserve"> to differentiate spring-run and winter-run individuals.</w:t>
      </w:r>
      <w:r w:rsidR="007E5E25">
        <w:rPr>
          <w:iCs/>
        </w:rPr>
        <w:t xml:space="preserve"> </w:t>
      </w:r>
    </w:p>
    <w:p w14:paraId="1E88BB51" w14:textId="77777777" w:rsidR="007E5E25" w:rsidRPr="00B1098E" w:rsidRDefault="007E5E25" w:rsidP="007E5E25">
      <w:r w:rsidRPr="0FA5B6A0">
        <w:rPr>
          <w:i/>
          <w:iCs/>
        </w:rPr>
        <w:t>GT-seq Genotyping</w:t>
      </w:r>
    </w:p>
    <w:p w14:paraId="7E86CF1D" w14:textId="20040547" w:rsidR="007E5E25" w:rsidRDefault="007E5E25" w:rsidP="007E5E25">
      <w:r>
        <w:t xml:space="preserve">Genotyping-in-thousands by sequencing (GT-seq; Campbell et al., 2015) was performed on fin-clip extracted DNA from all sampled individuals. </w:t>
      </w:r>
      <w:r w:rsidRPr="00C06A57">
        <w:t>Individuals were genotyped using the “Transition panel,” an earl</w:t>
      </w:r>
      <w:r w:rsidR="002B0E6B">
        <w:t>y</w:t>
      </w:r>
      <w:r w:rsidRPr="00C06A57">
        <w:t xml:space="preserve"> version of the panel described </w:t>
      </w:r>
      <w:r>
        <w:t>by</w:t>
      </w:r>
      <w:r w:rsidRPr="00C06A57">
        <w:t xml:space="preserve"> Anderson et al. (2025). This panel consists of genetic markers specifically selected to differentiate run types within the California Central Valley. </w:t>
      </w:r>
      <w:r>
        <w:t>The Transition panel</w:t>
      </w:r>
      <w:r w:rsidRPr="00C06A57">
        <w:t xml:space="preserve"> includes seven markers linked to </w:t>
      </w:r>
      <w:r w:rsidRPr="00C06A57">
        <w:rPr>
          <w:i/>
          <w:iCs/>
        </w:rPr>
        <w:t>Greb1L</w:t>
      </w:r>
      <w:r w:rsidRPr="00C06A57">
        <w:t xml:space="preserve"> and 201 additional markers distributed throughout the Chinook salmon genome</w:t>
      </w:r>
      <w:r>
        <w:t>.</w:t>
      </w:r>
    </w:p>
    <w:p w14:paraId="14C490B0" w14:textId="77777777" w:rsidR="007E5E25" w:rsidRDefault="007E5E25" w:rsidP="007E5E25">
      <w:r>
        <w:t xml:space="preserve">Early- vs. late-migration phenotypes were inferred by analyzing the set of seven genetic markers associated with the </w:t>
      </w:r>
      <w:r w:rsidRPr="565DECB4">
        <w:rPr>
          <w:i/>
          <w:iCs/>
        </w:rPr>
        <w:t>Greb1L</w:t>
      </w:r>
      <w:r>
        <w:t xml:space="preserve"> locus using the program STRUCTURE (Pritchard et al., 2000). Individuals identified as early-migrating were assigned to either spring- or winter-run populations, and all individuals (regardless of early vs. late migration genotype) were assigned to one of the four Central Valley populations – fall, late-fall, spring, or winter – </w:t>
      </w:r>
      <w:r>
        <w:lastRenderedPageBreak/>
        <w:t xml:space="preserve">using the full suite of genetic markers in the R package </w:t>
      </w:r>
      <w:r w:rsidRPr="565DECB4">
        <w:rPr>
          <w:i/>
          <w:iCs/>
        </w:rPr>
        <w:t>RUBIAS</w:t>
      </w:r>
      <w:r>
        <w:t xml:space="preserve"> v 0.3.4 (Moran and Anderson, 2019). </w:t>
      </w:r>
    </w:p>
    <w:p w14:paraId="53EF5ADF" w14:textId="49B860DB" w:rsidR="007E5E25" w:rsidRPr="00EB7330" w:rsidRDefault="007E5E25" w:rsidP="007E5E25">
      <w:r w:rsidRPr="00757CAD">
        <w:t>Individuals did not receive an early- or late-migration assignment if more than</w:t>
      </w:r>
      <w:r>
        <w:t xml:space="preserve"> five out of seven </w:t>
      </w:r>
      <w:r>
        <w:rPr>
          <w:i/>
          <w:iCs/>
        </w:rPr>
        <w:t>Greb1L</w:t>
      </w:r>
      <w:r>
        <w:t xml:space="preserve"> loci were missing from the final genotype dataset. Likewise, individuals did not receive population-level assignments if more than 80% of the remaining loci (</w:t>
      </w:r>
      <w:r w:rsidR="00FD4F53">
        <w:t xml:space="preserve">greater than </w:t>
      </w:r>
      <w:r>
        <w:t>160 out of 201 loci) were missing from the final genotype dataset.</w:t>
      </w:r>
    </w:p>
    <w:p w14:paraId="207DF9ED" w14:textId="77777777" w:rsidR="007E5E25" w:rsidRDefault="007E5E25" w:rsidP="007E5E25">
      <w:r w:rsidRPr="1E6A7B8B">
        <w:rPr>
          <w:i/>
          <w:iCs/>
        </w:rPr>
        <w:t>Final Run Assignment</w:t>
      </w:r>
    </w:p>
    <w:p w14:paraId="1BE9B591" w14:textId="77777777" w:rsidR="007E5E25" w:rsidRPr="00836112" w:rsidRDefault="007E5E25" w:rsidP="007E5E25">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In the event of disagreement between SHERLOCK and GT-seq with respect to </w:t>
      </w:r>
      <w:r>
        <w:rPr>
          <w:i/>
          <w:iCs/>
        </w:rPr>
        <w:t>Greb1L</w:t>
      </w:r>
      <w:r>
        <w:t xml:space="preserve"> assignments (e.g., an individual was determined to be late-migrating via SHERLOCK and early-migrating via GT-seq), the GT-seq </w:t>
      </w:r>
      <w:r>
        <w:rPr>
          <w:i/>
          <w:iCs/>
        </w:rPr>
        <w:t>Greb1L</w:t>
      </w:r>
      <w:r>
        <w:t xml:space="preserve"> assignment was used. </w:t>
      </w:r>
    </w:p>
    <w:p w14:paraId="6FE7458D" w14:textId="77777777" w:rsidR="007E5E25" w:rsidRDefault="007E5E25" w:rsidP="007E5E25">
      <w:r>
        <w:t xml:space="preserve">Individuals that displayed a heterozygous genotype at </w:t>
      </w:r>
      <w:r>
        <w:rPr>
          <w:i/>
          <w:iCs/>
        </w:rPr>
        <w:t>Greb1L</w:t>
      </w:r>
      <w:r>
        <w:t xml:space="preserve"> loci (i.e., displayed genotypes characteristic of both early- and late-migrating populations) were assigned to the run associated with the highest posterior probability reported by RUBIAS. If the highest posterior probability was less than 0.80, or if no RUBIAS assignment was available, </w:t>
      </w:r>
      <w:r>
        <w:rPr>
          <w:i/>
          <w:iCs/>
        </w:rPr>
        <w:t>Greb1L</w:t>
      </w:r>
      <w:r>
        <w:t xml:space="preserve"> heterozygous individuals received a final call of “UNKNOWN.”</w:t>
      </w:r>
    </w:p>
    <w:p w14:paraId="1845E079" w14:textId="70BAE13D" w:rsidR="0043062B" w:rsidRPr="00E74770" w:rsidRDefault="007E5E25" w:rsidP="00E02745">
      <w:r>
        <w:t xml:space="preserve">Individuals were removed from the final dataset if </w:t>
      </w:r>
      <w:r w:rsidR="00A85353">
        <w:t>any</w:t>
      </w:r>
      <w:r>
        <w:t xml:space="preserve"> of the following conditions were met:</w:t>
      </w:r>
      <w:r w:rsidR="00E02745">
        <w:t xml:space="preserve"> 1) </w:t>
      </w:r>
      <w:r w:rsidR="00E74770">
        <w:t xml:space="preserve">No </w:t>
      </w:r>
      <w:r w:rsidR="00E74770" w:rsidRPr="00E02745">
        <w:rPr>
          <w:i/>
          <w:iCs/>
        </w:rPr>
        <w:t>Greb1L</w:t>
      </w:r>
      <w:r w:rsidR="00E74770">
        <w:t xml:space="preserve"> assignment (SHERLOCK or GT-seq)</w:t>
      </w:r>
      <w:r w:rsidR="00E02745">
        <w:t xml:space="preserve">, 2) </w:t>
      </w:r>
      <w:r w:rsidR="00E74770" w:rsidRPr="00E74770">
        <w:t>Population assignment (RUBIAS) with no GT-seq Greb1L assignment and indeterminate SHERLOCK assignment</w:t>
      </w:r>
      <w:r w:rsidR="00E02745">
        <w:t xml:space="preserve">, 3) </w:t>
      </w:r>
      <w:r w:rsidR="00E74770" w:rsidRPr="00E02745">
        <w:rPr>
          <w:i/>
          <w:iCs/>
        </w:rPr>
        <w:t>Greb1L</w:t>
      </w:r>
      <w:r w:rsidR="00E74770">
        <w:t xml:space="preserve"> early-migration assignment with no (or indeterminate) Ots16 SHERLOCK result and no population assignment (RUBIAS)</w:t>
      </w:r>
      <w:r w:rsidR="00E02745">
        <w:t xml:space="preserve">, 4) </w:t>
      </w:r>
      <w:r w:rsidR="00E74770">
        <w:t xml:space="preserve">SHERLOCK </w:t>
      </w:r>
      <w:r w:rsidR="00E74770" w:rsidRPr="00E02745">
        <w:rPr>
          <w:i/>
        </w:rPr>
        <w:t>Greb1L</w:t>
      </w:r>
      <w:r w:rsidR="00E74770" w:rsidRPr="00E02745">
        <w:rPr>
          <w:iCs/>
        </w:rPr>
        <w:t xml:space="preserve"> heterozygote assignment with no GT-seq </w:t>
      </w:r>
      <w:r w:rsidR="00E74770" w:rsidRPr="00E02745">
        <w:rPr>
          <w:i/>
        </w:rPr>
        <w:t xml:space="preserve">Greb1L </w:t>
      </w:r>
      <w:r w:rsidR="00E74770" w:rsidRPr="00E02745">
        <w:rPr>
          <w:iCs/>
        </w:rPr>
        <w:t>assignment</w:t>
      </w:r>
      <w:r w:rsidR="00E02745">
        <w:t xml:space="preserve">, and 5) </w:t>
      </w:r>
      <w:r w:rsidR="00E74770" w:rsidRPr="00E02745">
        <w:rPr>
          <w:iCs/>
        </w:rPr>
        <w:t>No recorded capture date or length measurement</w:t>
      </w:r>
    </w:p>
    <w:p w14:paraId="7D46AB78" w14:textId="77777777" w:rsidR="00E74770" w:rsidRPr="00E74770" w:rsidRDefault="00E74770" w:rsidP="00E74770">
      <w:pPr>
        <w:pStyle w:val="ListParagraph"/>
      </w:pPr>
    </w:p>
    <w:p w14:paraId="1A79B4AE" w14:textId="22BFA02B" w:rsidR="00D31535" w:rsidRPr="00D200ED" w:rsidRDefault="00D31535" w:rsidP="00D31535">
      <w:pPr>
        <w:rPr>
          <w:iCs/>
        </w:rPr>
      </w:pPr>
      <w:r w:rsidRPr="00D200ED">
        <w:rPr>
          <w:i/>
        </w:rPr>
        <w:t>Water Year (WY) 2024</w:t>
      </w:r>
    </w:p>
    <w:p w14:paraId="4A152BA9" w14:textId="77777777" w:rsidR="00D31535" w:rsidRDefault="00D31535" w:rsidP="00D31535">
      <w:pPr>
        <w:rPr>
          <w:iCs/>
        </w:rPr>
      </w:pPr>
      <w:r>
        <w:rPr>
          <w:i/>
        </w:rPr>
        <w:t>Sample Collection</w:t>
      </w:r>
    </w:p>
    <w:p w14:paraId="2938D1EE" w14:textId="0D63831A" w:rsidR="00D31535" w:rsidRDefault="00D31535" w:rsidP="00D31535">
      <w:r>
        <w:t xml:space="preserve">Juvenile Chinook salmon were captured at rotary screw-traps (RSTs) positioned at </w:t>
      </w:r>
      <w:r w:rsidRPr="006D55CE">
        <w:t>11 sites</w:t>
      </w:r>
      <w:r>
        <w:t xml:space="preserve"> throughout the Sacramento River Basin </w:t>
      </w:r>
      <w:r w:rsidR="008B707A">
        <w:t>from</w:t>
      </w:r>
      <w:r>
        <w:t xml:space="preserve"> </w:t>
      </w:r>
      <w:r w:rsidR="00684711">
        <w:t>November 2023</w:t>
      </w:r>
      <w:r>
        <w:t xml:space="preserve"> </w:t>
      </w:r>
      <w:r w:rsidR="008B707A">
        <w:t>until</w:t>
      </w:r>
      <w:r>
        <w:t xml:space="preserve"> </w:t>
      </w:r>
      <w:r w:rsidR="00684711">
        <w:t>May 2024</w:t>
      </w:r>
      <w:r>
        <w:t>. Date of capture was documented and fork-length (millimeters) measured for each fish. Fin-clips for genetic analysis were obtained from the upper caudal lobe using sterile dissecting scissors</w:t>
      </w:r>
      <w:r w:rsidR="00163809">
        <w:t xml:space="preserve"> and</w:t>
      </w:r>
      <w:r>
        <w:t xml:space="preserve"> placed in </w:t>
      </w:r>
      <w:r w:rsidR="004A7151">
        <w:t>individually labeled 1.5 mL microcentrifuge tubes containing</w:t>
      </w:r>
      <w:r w:rsidR="00AC2F28">
        <w:t xml:space="preserve"> 98%</w:t>
      </w:r>
      <w:r w:rsidR="004A7151">
        <w:t xml:space="preserve"> </w:t>
      </w:r>
      <w:r w:rsidR="008C0333">
        <w:lastRenderedPageBreak/>
        <w:t xml:space="preserve">Low-EDTA Tris-HCl (pH 8.0) and </w:t>
      </w:r>
      <w:r w:rsidR="00AC2F28">
        <w:t>2% Proteinase K (20 mg/mL</w:t>
      </w:r>
      <w:r w:rsidR="00E760B6">
        <w:t>; Qiagen</w:t>
      </w:r>
      <w:r w:rsidR="00AC2F28">
        <w:t>).</w:t>
      </w:r>
      <w:r w:rsidR="000B1B6F">
        <w:t xml:space="preserve"> </w:t>
      </w:r>
      <w:r>
        <w:t>Fish were released following tissue collection.</w:t>
      </w:r>
    </w:p>
    <w:p w14:paraId="03DA61A5" w14:textId="77777777" w:rsidR="00D31535" w:rsidRDefault="00D31535" w:rsidP="00D31535">
      <w:pPr>
        <w:rPr>
          <w:iCs/>
        </w:rPr>
      </w:pPr>
      <w:r>
        <w:rPr>
          <w:i/>
        </w:rPr>
        <w:t>DNA Extraction</w:t>
      </w:r>
    </w:p>
    <w:p w14:paraId="6BE0A3AC" w14:textId="13BE43AA" w:rsidR="00D31535" w:rsidRDefault="002F5364" w:rsidP="00D31535">
      <w:pPr>
        <w:rPr>
          <w:iCs/>
        </w:rPr>
      </w:pPr>
      <w:r>
        <w:rPr>
          <w:iCs/>
        </w:rPr>
        <w:t xml:space="preserve">Microcentrifuge tubes </w:t>
      </w:r>
      <w:r w:rsidR="0046455F">
        <w:rPr>
          <w:iCs/>
        </w:rPr>
        <w:t>containing Low-EDTA Tris-HCl, Proteinase K, and fin-clips were incubated at 56°C</w:t>
      </w:r>
      <w:r w:rsidR="00994CB1">
        <w:rPr>
          <w:iCs/>
        </w:rPr>
        <w:t xml:space="preserve"> </w:t>
      </w:r>
      <w:r w:rsidR="006B08A3">
        <w:rPr>
          <w:iCs/>
        </w:rPr>
        <w:t xml:space="preserve">overnight. </w:t>
      </w:r>
      <w:r w:rsidR="005149FB">
        <w:rPr>
          <w:iCs/>
        </w:rPr>
        <w:t xml:space="preserve">DNA extracts were then </w:t>
      </w:r>
      <w:r w:rsidR="003772DE">
        <w:rPr>
          <w:iCs/>
        </w:rPr>
        <w:t>transferred to 96-well PCR plates, and Proteinase K was heat-</w:t>
      </w:r>
      <w:r w:rsidR="00A3134B">
        <w:rPr>
          <w:iCs/>
        </w:rPr>
        <w:t>inactivated</w:t>
      </w:r>
      <w:r w:rsidR="003772DE">
        <w:rPr>
          <w:iCs/>
        </w:rPr>
        <w:t xml:space="preserve"> via incubation</w:t>
      </w:r>
      <w:r w:rsidR="00A3134B">
        <w:rPr>
          <w:iCs/>
        </w:rPr>
        <w:t xml:space="preserve"> at</w:t>
      </w:r>
      <w:r w:rsidR="003772DE">
        <w:rPr>
          <w:iCs/>
        </w:rPr>
        <w:t xml:space="preserve"> 95°C</w:t>
      </w:r>
      <w:r w:rsidR="00A3134B">
        <w:rPr>
          <w:iCs/>
        </w:rPr>
        <w:t xml:space="preserve"> for 20 minutes.</w:t>
      </w:r>
    </w:p>
    <w:p w14:paraId="23F3E82F" w14:textId="77777777" w:rsidR="00D31535" w:rsidRDefault="00D31535" w:rsidP="00D31535">
      <w:pPr>
        <w:rPr>
          <w:iCs/>
        </w:rPr>
      </w:pPr>
      <w:r>
        <w:rPr>
          <w:i/>
        </w:rPr>
        <w:t>SHERLOCK Genotyping</w:t>
      </w:r>
    </w:p>
    <w:p w14:paraId="5F1F1FB9" w14:textId="4B2BD163" w:rsidR="00D31535" w:rsidRDefault="00D31535" w:rsidP="00D31535">
      <w:pPr>
        <w:rPr>
          <w:iCs/>
        </w:rPr>
      </w:pPr>
      <w:r>
        <w:rPr>
          <w:iCs/>
        </w:rPr>
        <w:t xml:space="preserve">A randomly-selected subset of samples from each site was subjected to SHERLOCK genotyping assays described by Baerwald et al. (2023). First, individuals were genotyped </w:t>
      </w:r>
      <w:r w:rsidRPr="00D21C8B">
        <w:rPr>
          <w:iCs/>
        </w:rPr>
        <w:t xml:space="preserve">at a portion of the </w:t>
      </w:r>
      <w:r w:rsidRPr="0081314F">
        <w:rPr>
          <w:i/>
        </w:rPr>
        <w:t>Greb1L</w:t>
      </w:r>
      <w:r w:rsidRPr="00D21C8B">
        <w:rPr>
          <w:iCs/>
        </w:rPr>
        <w:t xml:space="preserve"> locus on chromosome 28</w:t>
      </w:r>
      <w:r>
        <w:rPr>
          <w:iCs/>
        </w:rPr>
        <w:t xml:space="preserve"> (Ots28)</w:t>
      </w:r>
      <w:r w:rsidRPr="00D21C8B">
        <w:rPr>
          <w:iCs/>
        </w:rPr>
        <w:t xml:space="preserve"> to determine whether they </w:t>
      </w:r>
      <w:r>
        <w:rPr>
          <w:iCs/>
        </w:rPr>
        <w:t>were</w:t>
      </w:r>
      <w:r w:rsidRPr="00D21C8B">
        <w:rPr>
          <w:iCs/>
        </w:rPr>
        <w:t xml:space="preserve"> early-migrating (spring or winter adult return migration timing) or late-migrating (fall or late-fall adult return migration timing) (Prince et al., 2017; Thompson et al., 2020). Salmon with early-migrating genotypes were subjected to subsequent SHERLOCK assays</w:t>
      </w:r>
      <w:r>
        <w:rPr>
          <w:iCs/>
        </w:rPr>
        <w:t xml:space="preserve"> targeting loci on chromosome 16 (Ots16)</w:t>
      </w:r>
      <w:r w:rsidRPr="00D21C8B">
        <w:rPr>
          <w:iCs/>
        </w:rPr>
        <w:t xml:space="preserve"> to differentiate spring-run and winter-run individuals.</w:t>
      </w:r>
      <w:r>
        <w:rPr>
          <w:iCs/>
        </w:rPr>
        <w:t xml:space="preserve"> </w:t>
      </w:r>
    </w:p>
    <w:p w14:paraId="4810F571" w14:textId="77777777" w:rsidR="00D31535" w:rsidRPr="00B1098E" w:rsidRDefault="00D31535" w:rsidP="00D31535">
      <w:r w:rsidRPr="0FA5B6A0">
        <w:rPr>
          <w:i/>
          <w:iCs/>
        </w:rPr>
        <w:t>GT-seq Genotyping</w:t>
      </w:r>
    </w:p>
    <w:p w14:paraId="4DA4C5D8" w14:textId="55647659" w:rsidR="00D31535" w:rsidRDefault="00D31535" w:rsidP="00D31535">
      <w:r>
        <w:t xml:space="preserve">Genotyping-in-thousands by sequencing (GT-seq; Campbell et al., 2015) was performed on fin-clip extracted DNA from all sampled individuals. </w:t>
      </w:r>
      <w:r w:rsidRPr="00C06A57">
        <w:t>Individuals were genotyped using the “Transition panel,” an earl</w:t>
      </w:r>
      <w:r w:rsidR="009B41C6">
        <w:t>y</w:t>
      </w:r>
      <w:r w:rsidRPr="00C06A57">
        <w:t xml:space="preserve"> version of the panel described </w:t>
      </w:r>
      <w:r>
        <w:t>by</w:t>
      </w:r>
      <w:r w:rsidRPr="00C06A57">
        <w:t xml:space="preserve"> Anderson et al. (2025). This panel consists of genetic markers specifically selected to differentiate run types within the California Central Valley. </w:t>
      </w:r>
      <w:r>
        <w:t>The Transition panel</w:t>
      </w:r>
      <w:r w:rsidRPr="00C06A57">
        <w:t xml:space="preserve"> includes seven markers linked to </w:t>
      </w:r>
      <w:r w:rsidRPr="00C06A57">
        <w:rPr>
          <w:i/>
          <w:iCs/>
        </w:rPr>
        <w:t>Greb1L</w:t>
      </w:r>
      <w:r w:rsidRPr="00C06A57">
        <w:t xml:space="preserve"> and 201 additional markers distributed throughout the Chinook salmon genome</w:t>
      </w:r>
      <w:r>
        <w:t>.</w:t>
      </w:r>
    </w:p>
    <w:p w14:paraId="4546C87C" w14:textId="77777777" w:rsidR="00D31535" w:rsidRDefault="00D31535" w:rsidP="00D31535">
      <w:r>
        <w:t xml:space="preserve">Early- vs. late-migration phenotypes were inferred by analyzing the set of seven genetic markers associated with the </w:t>
      </w:r>
      <w:r w:rsidRPr="565DECB4">
        <w:rPr>
          <w:i/>
          <w:iCs/>
        </w:rPr>
        <w:t>Greb1L</w:t>
      </w:r>
      <w:r>
        <w:t xml:space="preserve"> locus using the program STRUCTURE (Pritchard et al., 2000). Individuals identified as early-migrating were assigned to either spring- or winter-run populations, and all individuals (regardless of early vs. late migration genotype) were assigned to one of the four Central Valley populations – fall, late-fall, spring, or winter – using the full suite of genetic markers in the R package </w:t>
      </w:r>
      <w:r w:rsidRPr="565DECB4">
        <w:rPr>
          <w:i/>
          <w:iCs/>
        </w:rPr>
        <w:t>RUBIAS</w:t>
      </w:r>
      <w:r>
        <w:t xml:space="preserve"> v 0.3.4 (Moran and Anderson, 2019). </w:t>
      </w:r>
    </w:p>
    <w:p w14:paraId="47860ECB" w14:textId="3CB119FA" w:rsidR="00D31535" w:rsidRPr="00EB7330" w:rsidRDefault="00D31535" w:rsidP="00D31535">
      <w:r w:rsidRPr="00757CAD">
        <w:t>Individuals did not receive an early- or late-migration assignment if more than</w:t>
      </w:r>
      <w:r>
        <w:t xml:space="preserve"> five out of seven </w:t>
      </w:r>
      <w:r>
        <w:rPr>
          <w:i/>
          <w:iCs/>
        </w:rPr>
        <w:t>Greb1L</w:t>
      </w:r>
      <w:r>
        <w:t xml:space="preserve"> loci were missing from the final genotype dataset. Likewise, individuals did not receive population-level assignments if more than 80% of the remaining loci (</w:t>
      </w:r>
      <w:r w:rsidR="00FD4F53">
        <w:t xml:space="preserve">greater than </w:t>
      </w:r>
      <w:r>
        <w:t>160 out of 201 loci) were missing from the final genotype dataset.</w:t>
      </w:r>
    </w:p>
    <w:p w14:paraId="7CF2621A" w14:textId="77777777" w:rsidR="00D31535" w:rsidRDefault="00D31535" w:rsidP="00D31535">
      <w:r w:rsidRPr="1E6A7B8B">
        <w:rPr>
          <w:i/>
          <w:iCs/>
        </w:rPr>
        <w:t>Final Run Assignment</w:t>
      </w:r>
    </w:p>
    <w:p w14:paraId="79AA6FE9" w14:textId="77777777" w:rsidR="00D31535" w:rsidRPr="00836112" w:rsidRDefault="00D31535" w:rsidP="00D31535">
      <w:r>
        <w:lastRenderedPageBreak/>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In the event of disagreement between SHERLOCK and GT-seq with respect to </w:t>
      </w:r>
      <w:r>
        <w:rPr>
          <w:i/>
          <w:iCs/>
        </w:rPr>
        <w:t>Greb1L</w:t>
      </w:r>
      <w:r>
        <w:t xml:space="preserve"> assignments (e.g., an individual was determined to be late-migrating via SHERLOCK and early-migrating via GT-seq), the GT-seq </w:t>
      </w:r>
      <w:r>
        <w:rPr>
          <w:i/>
          <w:iCs/>
        </w:rPr>
        <w:t>Greb1L</w:t>
      </w:r>
      <w:r>
        <w:t xml:space="preserve"> assignment was used. </w:t>
      </w:r>
    </w:p>
    <w:p w14:paraId="1A943036" w14:textId="77777777" w:rsidR="00D31535" w:rsidRDefault="00D31535" w:rsidP="00D31535">
      <w:r>
        <w:t xml:space="preserve">Individuals that displayed a heterozygous genotype at </w:t>
      </w:r>
      <w:r>
        <w:rPr>
          <w:i/>
          <w:iCs/>
        </w:rPr>
        <w:t>Greb1L</w:t>
      </w:r>
      <w:r>
        <w:t xml:space="preserve"> loci (i.e., displayed genotypes characteristic of both early- and late-migrating populations) were assigned to the run associated with the highest posterior probability reported by RUBIAS. If the highest posterior probability was less than 0.80, or if no RUBIAS assignment was available, </w:t>
      </w:r>
      <w:r>
        <w:rPr>
          <w:i/>
          <w:iCs/>
        </w:rPr>
        <w:t>Greb1L</w:t>
      </w:r>
      <w:r>
        <w:t xml:space="preserve"> heterozygous individuals received a final call of “UNKNOWN.”</w:t>
      </w:r>
    </w:p>
    <w:p w14:paraId="20F10EF9" w14:textId="6DDEEE7E" w:rsidR="00E74770" w:rsidRPr="00E74770" w:rsidRDefault="00D31535" w:rsidP="00E02745">
      <w:r>
        <w:t xml:space="preserve">Individuals were removed from the final dataset if </w:t>
      </w:r>
      <w:r w:rsidR="00A85353">
        <w:t>any</w:t>
      </w:r>
      <w:r>
        <w:t xml:space="preserve"> of the following conditions were met:</w:t>
      </w:r>
      <w:r w:rsidR="00E02745">
        <w:t xml:space="preserve"> 1) </w:t>
      </w:r>
      <w:r w:rsidR="00E74770">
        <w:t xml:space="preserve">No </w:t>
      </w:r>
      <w:r w:rsidR="00E74770" w:rsidRPr="00E02745">
        <w:rPr>
          <w:i/>
          <w:iCs/>
        </w:rPr>
        <w:t>Greb1L</w:t>
      </w:r>
      <w:r w:rsidR="00E74770">
        <w:t xml:space="preserve"> assignment (SHERLOCK or GT-seq)</w:t>
      </w:r>
      <w:r w:rsidR="00E02745">
        <w:t xml:space="preserve">, 2) </w:t>
      </w:r>
      <w:r w:rsidR="00E74770" w:rsidRPr="00E74770">
        <w:t>Population assignment (RUBIAS) with no GT-seq Greb1L assignment and indeterminate SHERLOCK assignment</w:t>
      </w:r>
      <w:r w:rsidR="00E02745">
        <w:t xml:space="preserve">, 3) </w:t>
      </w:r>
      <w:r w:rsidR="00E74770" w:rsidRPr="00E02745">
        <w:rPr>
          <w:i/>
          <w:iCs/>
        </w:rPr>
        <w:t>Greb1L</w:t>
      </w:r>
      <w:r w:rsidR="00E74770">
        <w:t xml:space="preserve"> early-migration assignment with no (or indeterminate) Ots16 SHERLOCK result and no population assignment (RUBIAS)</w:t>
      </w:r>
      <w:r w:rsidR="00E02745">
        <w:t xml:space="preserve">, 4) </w:t>
      </w:r>
      <w:r w:rsidR="00E74770">
        <w:t xml:space="preserve">SHERLOCK </w:t>
      </w:r>
      <w:r w:rsidR="00E74770" w:rsidRPr="00E02745">
        <w:rPr>
          <w:i/>
        </w:rPr>
        <w:t>Greb1L</w:t>
      </w:r>
      <w:r w:rsidR="00E74770" w:rsidRPr="00E02745">
        <w:rPr>
          <w:iCs/>
        </w:rPr>
        <w:t xml:space="preserve"> heterozygote assignment with no GT-seq </w:t>
      </w:r>
      <w:r w:rsidR="00E74770" w:rsidRPr="00E02745">
        <w:rPr>
          <w:i/>
        </w:rPr>
        <w:t xml:space="preserve">Greb1L </w:t>
      </w:r>
      <w:r w:rsidR="00E74770" w:rsidRPr="00E02745">
        <w:rPr>
          <w:iCs/>
        </w:rPr>
        <w:t>assignment</w:t>
      </w:r>
      <w:r w:rsidR="00E02745">
        <w:t xml:space="preserve">, and 5) </w:t>
      </w:r>
      <w:r w:rsidR="00E74770" w:rsidRPr="00E02745">
        <w:rPr>
          <w:iCs/>
        </w:rPr>
        <w:t>No recorded capture date or length measurement</w:t>
      </w:r>
      <w:r w:rsidR="00E02745">
        <w:rPr>
          <w:iCs/>
        </w:rPr>
        <w:t>.</w:t>
      </w:r>
    </w:p>
    <w:p w14:paraId="4EF20C12" w14:textId="77777777" w:rsidR="0043062B" w:rsidRDefault="0043062B" w:rsidP="0050540F">
      <w:pPr>
        <w:rPr>
          <w:b/>
          <w:bCs/>
        </w:rPr>
      </w:pPr>
    </w:p>
    <w:p w14:paraId="3F02380F" w14:textId="102CC8A1" w:rsidR="000F5965" w:rsidRPr="00D200ED" w:rsidRDefault="000F5965" w:rsidP="000F5965">
      <w:pPr>
        <w:rPr>
          <w:iCs/>
        </w:rPr>
      </w:pPr>
      <w:r w:rsidRPr="00D200ED">
        <w:rPr>
          <w:i/>
        </w:rPr>
        <w:t>Water Year (WY) 2025</w:t>
      </w:r>
    </w:p>
    <w:p w14:paraId="532D5DBB" w14:textId="77777777" w:rsidR="000F5965" w:rsidRDefault="000F5965" w:rsidP="000F5965">
      <w:pPr>
        <w:rPr>
          <w:iCs/>
        </w:rPr>
      </w:pPr>
      <w:r>
        <w:rPr>
          <w:i/>
        </w:rPr>
        <w:t>Sample Collection</w:t>
      </w:r>
    </w:p>
    <w:p w14:paraId="0E71B750" w14:textId="3B4A2F12" w:rsidR="000F5965" w:rsidRDefault="000F5965" w:rsidP="000F5965">
      <w:r>
        <w:t xml:space="preserve">Juvenile Chinook salmon were captured at rotary screw-traps (RSTs) positioned at </w:t>
      </w:r>
      <w:r w:rsidRPr="006D55CE">
        <w:t>11 sites</w:t>
      </w:r>
      <w:r>
        <w:t xml:space="preserve"> throughout the Sacramento River Basin </w:t>
      </w:r>
      <w:r w:rsidR="008B707A">
        <w:t>from</w:t>
      </w:r>
      <w:r>
        <w:t xml:space="preserve"> </w:t>
      </w:r>
      <w:r w:rsidR="0018309C">
        <w:t>November 2024</w:t>
      </w:r>
      <w:r>
        <w:t xml:space="preserve"> </w:t>
      </w:r>
      <w:r w:rsidR="008B707A">
        <w:t>until</w:t>
      </w:r>
      <w:r>
        <w:t xml:space="preserve"> </w:t>
      </w:r>
      <w:r w:rsidR="0018309C">
        <w:t>May 2025</w:t>
      </w:r>
      <w:r>
        <w:t>. Date of capture was documented and fork-length (millimeters) measured for each fish. Fin-clips for genetic analysis were obtained from the upper caudal lobe using sterile dissecting scissors and placed in individually labeled 1.5 mL microcentrifuge tubes containing 98% Low-EDTA Tris-HCl (pH 8.0) and 2% Proteinase K (20 mg/mL; Qiagen). Fish were released following tissue collection.</w:t>
      </w:r>
    </w:p>
    <w:p w14:paraId="3B922C83" w14:textId="77777777" w:rsidR="000F5965" w:rsidRDefault="000F5965" w:rsidP="000F5965">
      <w:pPr>
        <w:rPr>
          <w:iCs/>
        </w:rPr>
      </w:pPr>
      <w:r>
        <w:rPr>
          <w:i/>
        </w:rPr>
        <w:t>DNA Extraction</w:t>
      </w:r>
    </w:p>
    <w:p w14:paraId="71C27D1F" w14:textId="77777777" w:rsidR="000F5965" w:rsidRDefault="000F5965" w:rsidP="000F5965">
      <w:pPr>
        <w:rPr>
          <w:iCs/>
        </w:rPr>
      </w:pPr>
      <w:r>
        <w:rPr>
          <w:iCs/>
        </w:rPr>
        <w:t>Microcentrifuge tubes containing Low-EDTA Tris-HCl, Proteinase K, and fin-clips were incubated at 56°C overnight. DNA extracts were then transferred to 96-well PCR plates, and Proteinase K was heat-inactivated via incubation at 95°C for 20 minutes.</w:t>
      </w:r>
    </w:p>
    <w:p w14:paraId="4D46FECE" w14:textId="77777777" w:rsidR="000F5965" w:rsidRDefault="000F5965" w:rsidP="000F5965">
      <w:pPr>
        <w:rPr>
          <w:iCs/>
        </w:rPr>
      </w:pPr>
      <w:r>
        <w:rPr>
          <w:i/>
        </w:rPr>
        <w:t>SHERLOCK Genotyping</w:t>
      </w:r>
    </w:p>
    <w:p w14:paraId="37A9F815" w14:textId="7C84E69E" w:rsidR="000F5965" w:rsidRDefault="00302505" w:rsidP="000F5965">
      <w:pPr>
        <w:rPr>
          <w:iCs/>
        </w:rPr>
      </w:pPr>
      <w:r>
        <w:rPr>
          <w:iCs/>
        </w:rPr>
        <w:lastRenderedPageBreak/>
        <w:t>All samples were</w:t>
      </w:r>
      <w:r w:rsidR="000F5965">
        <w:rPr>
          <w:iCs/>
        </w:rPr>
        <w:t xml:space="preserve"> subjected to SHERLOCK genotyping assays described by Baerwald et al. (2023). First, individuals were genotyped </w:t>
      </w:r>
      <w:r w:rsidR="000F5965" w:rsidRPr="00D21C8B">
        <w:rPr>
          <w:iCs/>
        </w:rPr>
        <w:t xml:space="preserve">at a portion of the </w:t>
      </w:r>
      <w:r w:rsidR="000F5965" w:rsidRPr="0081314F">
        <w:rPr>
          <w:i/>
        </w:rPr>
        <w:t>Greb1L</w:t>
      </w:r>
      <w:r w:rsidR="000F5965" w:rsidRPr="00D21C8B">
        <w:rPr>
          <w:iCs/>
        </w:rPr>
        <w:t xml:space="preserve"> locus on chromosome 28</w:t>
      </w:r>
      <w:r w:rsidR="000F5965">
        <w:rPr>
          <w:iCs/>
        </w:rPr>
        <w:t xml:space="preserve"> (Ots28)</w:t>
      </w:r>
      <w:r w:rsidR="000F5965" w:rsidRPr="00D21C8B">
        <w:rPr>
          <w:iCs/>
        </w:rPr>
        <w:t xml:space="preserve"> to determine whether they </w:t>
      </w:r>
      <w:r w:rsidR="000F5965">
        <w:rPr>
          <w:iCs/>
        </w:rPr>
        <w:t>were</w:t>
      </w:r>
      <w:r w:rsidR="000F5965" w:rsidRPr="00D21C8B">
        <w:rPr>
          <w:iCs/>
        </w:rPr>
        <w:t xml:space="preserve"> early-migrating (spring or winter adult return migration timing) or late-migrating (fall or late-fall adult return migration timing) (Prince et al., 2017; Thompson et al., 2020). Salmon with early-migrating genotypes</w:t>
      </w:r>
      <w:r w:rsidR="007A779A">
        <w:rPr>
          <w:iCs/>
        </w:rPr>
        <w:t xml:space="preserve"> (except those from </w:t>
      </w:r>
      <w:r w:rsidR="00310AA3">
        <w:rPr>
          <w:iCs/>
        </w:rPr>
        <w:t>Tisdale (TIS), Knights Landing (KNL), and Delta Entry (DEL))</w:t>
      </w:r>
      <w:r w:rsidR="000F5965" w:rsidRPr="00D21C8B">
        <w:rPr>
          <w:iCs/>
        </w:rPr>
        <w:t xml:space="preserve"> were subjected to subsequent SHERLOCK assays</w:t>
      </w:r>
      <w:r w:rsidR="000F5965">
        <w:rPr>
          <w:iCs/>
        </w:rPr>
        <w:t xml:space="preserve"> targeting loci on chromosome 16 (Ots16)</w:t>
      </w:r>
      <w:r w:rsidR="000F5965" w:rsidRPr="00D21C8B">
        <w:rPr>
          <w:iCs/>
        </w:rPr>
        <w:t xml:space="preserve"> to differentiate spring-run and winter-run individuals.</w:t>
      </w:r>
      <w:r w:rsidR="000F5965">
        <w:rPr>
          <w:iCs/>
        </w:rPr>
        <w:t xml:space="preserve"> </w:t>
      </w:r>
    </w:p>
    <w:p w14:paraId="0E9F0FE7" w14:textId="77777777" w:rsidR="000F5965" w:rsidRPr="00B1098E" w:rsidRDefault="000F5965" w:rsidP="000F5965">
      <w:r w:rsidRPr="0FA5B6A0">
        <w:rPr>
          <w:i/>
          <w:iCs/>
        </w:rPr>
        <w:t>GT-seq Genotyping</w:t>
      </w:r>
    </w:p>
    <w:p w14:paraId="4BE5036A" w14:textId="4F6C9480" w:rsidR="00021DCA" w:rsidRDefault="00BB1944" w:rsidP="00E02745">
      <w:r>
        <w:t>Following SHERLOCK genotyping, g</w:t>
      </w:r>
      <w:r w:rsidR="000F5965">
        <w:t xml:space="preserve">enotyping-in-thousands by sequencing (GT-seq; Campbell et al., 2015) was performed on fin-clip extracted DNA </w:t>
      </w:r>
      <w:r w:rsidR="00AC5A39">
        <w:t xml:space="preserve">from </w:t>
      </w:r>
      <w:r w:rsidR="0058518F">
        <w:t xml:space="preserve">individuals meeting </w:t>
      </w:r>
      <w:r w:rsidR="00B7258B">
        <w:t>any</w:t>
      </w:r>
      <w:r w:rsidR="003406B5">
        <w:t xml:space="preserve"> of </w:t>
      </w:r>
      <w:r w:rsidR="0058518F">
        <w:t>the following criteria:</w:t>
      </w:r>
      <w:r w:rsidR="00E02745">
        <w:t xml:space="preserve"> 1) </w:t>
      </w:r>
      <w:r w:rsidR="00D15339">
        <w:t>Ots28 (</w:t>
      </w:r>
      <w:r w:rsidR="00D15339" w:rsidRPr="00E02745">
        <w:rPr>
          <w:i/>
          <w:iCs/>
        </w:rPr>
        <w:t>Greb1L</w:t>
      </w:r>
      <w:r w:rsidR="00D15339">
        <w:t xml:space="preserve">) </w:t>
      </w:r>
      <w:r w:rsidR="00616B8E">
        <w:t>homozygous early from TIS, KNL, or DEL</w:t>
      </w:r>
      <w:r w:rsidR="00E02745">
        <w:t xml:space="preserve">, 2) </w:t>
      </w:r>
      <w:r w:rsidR="00616B8E">
        <w:t>Ots28 (</w:t>
      </w:r>
      <w:r w:rsidR="00616B8E" w:rsidRPr="00E02745">
        <w:rPr>
          <w:i/>
          <w:iCs/>
        </w:rPr>
        <w:t>Greb1L</w:t>
      </w:r>
      <w:r w:rsidR="00616B8E">
        <w:t xml:space="preserve">) </w:t>
      </w:r>
      <w:r w:rsidR="00364C82">
        <w:t>heterozygous early/late</w:t>
      </w:r>
      <w:r w:rsidR="00E02745">
        <w:t xml:space="preserve">, 3) </w:t>
      </w:r>
      <w:r w:rsidR="00021DCA">
        <w:t xml:space="preserve">Ots16 </w:t>
      </w:r>
      <w:r w:rsidR="00FD7791">
        <w:t>positive for both spring and winter variant</w:t>
      </w:r>
      <w:r w:rsidR="001053AE">
        <w:t>s</w:t>
      </w:r>
      <w:r w:rsidR="00E02745">
        <w:t>.</w:t>
      </w:r>
    </w:p>
    <w:p w14:paraId="0731D555" w14:textId="7D009577" w:rsidR="000F5965" w:rsidRDefault="000F5965" w:rsidP="000F5965">
      <w:r w:rsidRPr="00C06A57">
        <w:t xml:space="preserve">Individuals were genotyped using the </w:t>
      </w:r>
      <w:r w:rsidR="00A90BB4">
        <w:t xml:space="preserve">Anderson panel (Anderson et al., 2025). </w:t>
      </w:r>
      <w:r w:rsidRPr="00C06A57">
        <w:t xml:space="preserve">This panel consists of genetic markers specifically selected to differentiate run types within the California Central Valley. </w:t>
      </w:r>
      <w:r>
        <w:t xml:space="preserve">The </w:t>
      </w:r>
      <w:r w:rsidR="008A0726">
        <w:t>Anderson</w:t>
      </w:r>
      <w:r>
        <w:t xml:space="preserve"> panel</w:t>
      </w:r>
      <w:r w:rsidRPr="00C06A57">
        <w:t xml:space="preserve"> includes </w:t>
      </w:r>
      <w:r w:rsidR="00F872CD">
        <w:t>nine</w:t>
      </w:r>
      <w:r w:rsidRPr="00C06A57">
        <w:t xml:space="preserve"> markers linked to </w:t>
      </w:r>
      <w:r w:rsidRPr="00C06A57">
        <w:rPr>
          <w:i/>
          <w:iCs/>
        </w:rPr>
        <w:t>Greb1L</w:t>
      </w:r>
      <w:r w:rsidRPr="00C06A57">
        <w:t xml:space="preserve"> and </w:t>
      </w:r>
      <w:r w:rsidR="005D69FF">
        <w:t>1</w:t>
      </w:r>
      <w:r w:rsidR="00BE1D11">
        <w:t>97</w:t>
      </w:r>
      <w:r w:rsidRPr="00C06A57">
        <w:t xml:space="preserve"> additional markers distributed throughout the Chinook salmon genome</w:t>
      </w:r>
      <w:r>
        <w:t>.</w:t>
      </w:r>
    </w:p>
    <w:p w14:paraId="1DD1CB23" w14:textId="620D01A0" w:rsidR="000F5965" w:rsidRDefault="000F5965" w:rsidP="000F5965">
      <w:r>
        <w:t xml:space="preserve">Early- vs. late-migration phenotypes were inferred by analyzing the set of seven genetic markers associated with the </w:t>
      </w:r>
      <w:r w:rsidRPr="565DECB4">
        <w:rPr>
          <w:i/>
          <w:iCs/>
        </w:rPr>
        <w:t>Greb1L</w:t>
      </w:r>
      <w:r>
        <w:t xml:space="preserve"> locus using </w:t>
      </w:r>
      <w:r w:rsidR="00001BCC">
        <w:t xml:space="preserve">a custom </w:t>
      </w:r>
      <w:r w:rsidR="004A4865">
        <w:t>script in R</w:t>
      </w:r>
      <w:r w:rsidR="00F12736">
        <w:t xml:space="preserve"> v4.4.1</w:t>
      </w:r>
      <w:r w:rsidR="004A4865">
        <w:t xml:space="preserve"> (</w:t>
      </w:r>
      <w:r w:rsidR="00B62E66">
        <w:t>R Core Team</w:t>
      </w:r>
      <w:r w:rsidR="003A3E42">
        <w:t>, 202</w:t>
      </w:r>
      <w:r w:rsidR="00272F84">
        <w:t>4</w:t>
      </w:r>
      <w:r w:rsidR="003A3E42">
        <w:t>).</w:t>
      </w:r>
      <w:r>
        <w:t xml:space="preserve"> Individuals identified as early-migrating were assigned to either spring- or winter-run populations, and all individuals (regardless of early vs. late migration genotype) were assigned to one of the four Central Valley populations – fall, late-fall, spring, or winter – using the full suite of genetic markers in the R package </w:t>
      </w:r>
      <w:r w:rsidRPr="565DECB4">
        <w:rPr>
          <w:i/>
          <w:iCs/>
        </w:rPr>
        <w:t>RUBIAS</w:t>
      </w:r>
      <w:r>
        <w:t xml:space="preserve"> v 0.3.4 (Moran and Anderson, 2019). </w:t>
      </w:r>
    </w:p>
    <w:p w14:paraId="146ACC78" w14:textId="3E417AAF" w:rsidR="000F5965" w:rsidRPr="00EB7330" w:rsidRDefault="000F5965" w:rsidP="000F5965">
      <w:r w:rsidRPr="00757CAD">
        <w:t>Individuals did not receive an early- or late-migration assignment if more than</w:t>
      </w:r>
      <w:r>
        <w:t xml:space="preserve"> </w:t>
      </w:r>
      <w:r w:rsidR="00E106C4">
        <w:t>three</w:t>
      </w:r>
      <w:r>
        <w:t xml:space="preserve"> out of </w:t>
      </w:r>
      <w:r w:rsidR="00F872CD">
        <w:t>nine</w:t>
      </w:r>
      <w:r>
        <w:t xml:space="preserve"> </w:t>
      </w:r>
      <w:r>
        <w:rPr>
          <w:i/>
          <w:iCs/>
        </w:rPr>
        <w:t>Greb1L</w:t>
      </w:r>
      <w:r>
        <w:t xml:space="preserve"> loci were missing from the final genotype dataset. Likewise, individuals did not receive population-level assignments if more than 80% of the remaining loci (</w:t>
      </w:r>
      <w:r w:rsidR="00FD4F53">
        <w:t xml:space="preserve">greater than </w:t>
      </w:r>
      <w:r>
        <w:t>1</w:t>
      </w:r>
      <w:r w:rsidR="00E2655D">
        <w:t>57</w:t>
      </w:r>
      <w:r>
        <w:t xml:space="preserve"> out of </w:t>
      </w:r>
      <w:r w:rsidR="006B4B84">
        <w:t>197</w:t>
      </w:r>
      <w:r>
        <w:t xml:space="preserve"> loci) were missing from the final genotype dataset.</w:t>
      </w:r>
    </w:p>
    <w:p w14:paraId="6032C765" w14:textId="77777777" w:rsidR="000F5965" w:rsidRDefault="000F5965" w:rsidP="000F5965">
      <w:r w:rsidRPr="1E6A7B8B">
        <w:rPr>
          <w:i/>
          <w:iCs/>
        </w:rPr>
        <w:t>Final Run Assignment</w:t>
      </w:r>
    </w:p>
    <w:p w14:paraId="1718698D" w14:textId="77777777" w:rsidR="000F5965" w:rsidRPr="00836112" w:rsidRDefault="000F5965" w:rsidP="000F5965">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In the event of disagreement between </w:t>
      </w:r>
      <w:r>
        <w:lastRenderedPageBreak/>
        <w:t xml:space="preserve">SHERLOCK and GT-seq with respect to </w:t>
      </w:r>
      <w:r>
        <w:rPr>
          <w:i/>
          <w:iCs/>
        </w:rPr>
        <w:t>Greb1L</w:t>
      </w:r>
      <w:r>
        <w:t xml:space="preserve"> assignments (e.g., an individual was determined to be late-migrating via SHERLOCK and early-migrating via GT-seq), the GT-seq </w:t>
      </w:r>
      <w:r>
        <w:rPr>
          <w:i/>
          <w:iCs/>
        </w:rPr>
        <w:t>Greb1L</w:t>
      </w:r>
      <w:r>
        <w:t xml:space="preserve"> assignment was used. </w:t>
      </w:r>
    </w:p>
    <w:p w14:paraId="1E96035E" w14:textId="77777777" w:rsidR="000F5965" w:rsidRDefault="000F5965" w:rsidP="000F5965">
      <w:r>
        <w:t xml:space="preserve">Individuals that displayed a heterozygous genotype at </w:t>
      </w:r>
      <w:r>
        <w:rPr>
          <w:i/>
          <w:iCs/>
        </w:rPr>
        <w:t>Greb1L</w:t>
      </w:r>
      <w:r>
        <w:t xml:space="preserve"> loci (i.e., displayed genotypes characteristic of both early- and late-migrating populations) were assigned to the run associated with the highest posterior probability reported by RUBIAS. If the highest posterior probability was less than 0.80, or if no RUBIAS assignment was available, </w:t>
      </w:r>
      <w:r>
        <w:rPr>
          <w:i/>
          <w:iCs/>
        </w:rPr>
        <w:t>Greb1L</w:t>
      </w:r>
      <w:r>
        <w:t xml:space="preserve"> heterozygous individuals received a final call of “UNKNOWN.”</w:t>
      </w:r>
    </w:p>
    <w:p w14:paraId="6282AA95" w14:textId="256B87C8" w:rsidR="00E74770" w:rsidRPr="00E74770" w:rsidRDefault="000F5965" w:rsidP="00E02745">
      <w:r>
        <w:t xml:space="preserve">Individuals were removed from the final dataset if </w:t>
      </w:r>
      <w:r w:rsidR="00D14431">
        <w:t>any</w:t>
      </w:r>
      <w:r>
        <w:t xml:space="preserve"> of the following conditions were met:</w:t>
      </w:r>
      <w:r w:rsidR="00E02745">
        <w:t xml:space="preserve"> 1) </w:t>
      </w:r>
      <w:r w:rsidR="00E74770">
        <w:t xml:space="preserve">No </w:t>
      </w:r>
      <w:r w:rsidR="00E74770" w:rsidRPr="00E02745">
        <w:rPr>
          <w:i/>
          <w:iCs/>
        </w:rPr>
        <w:t>Greb1L</w:t>
      </w:r>
      <w:r w:rsidR="00E74770">
        <w:t xml:space="preserve"> assignment (SHERLOCK or GT-seq)</w:t>
      </w:r>
      <w:r w:rsidR="00E02745">
        <w:t xml:space="preserve">, 2) </w:t>
      </w:r>
      <w:r w:rsidR="00E74770" w:rsidRPr="00E74770">
        <w:t>Population assignment (RUBIAS) with no GT-seq Greb1L assignment and indeterminate SHERLOCK assignment</w:t>
      </w:r>
      <w:r w:rsidR="00E02745">
        <w:t xml:space="preserve">, 3) </w:t>
      </w:r>
      <w:r w:rsidR="00E74770" w:rsidRPr="00E02745">
        <w:rPr>
          <w:i/>
          <w:iCs/>
        </w:rPr>
        <w:t>Greb1L</w:t>
      </w:r>
      <w:r w:rsidR="00E74770">
        <w:t xml:space="preserve"> early-migration assignment with no (or indeterminate) Ots16 SHERLOCK result and no population assignment (RUBIAS)</w:t>
      </w:r>
      <w:r w:rsidR="00E02745">
        <w:t xml:space="preserve">, 4) </w:t>
      </w:r>
      <w:r w:rsidR="00E74770">
        <w:t xml:space="preserve">SHERLOCK </w:t>
      </w:r>
      <w:r w:rsidR="00E74770" w:rsidRPr="00E02745">
        <w:rPr>
          <w:i/>
        </w:rPr>
        <w:t>Greb1L</w:t>
      </w:r>
      <w:r w:rsidR="00E74770" w:rsidRPr="00E02745">
        <w:rPr>
          <w:iCs/>
        </w:rPr>
        <w:t xml:space="preserve"> heterozygote assignment with no GT-seq </w:t>
      </w:r>
      <w:r w:rsidR="00E74770" w:rsidRPr="00E02745">
        <w:rPr>
          <w:i/>
        </w:rPr>
        <w:t xml:space="preserve">Greb1L </w:t>
      </w:r>
      <w:r w:rsidR="00E74770" w:rsidRPr="00E02745">
        <w:rPr>
          <w:iCs/>
        </w:rPr>
        <w:t>assignment</w:t>
      </w:r>
      <w:r w:rsidR="00E02745">
        <w:t xml:space="preserve">, and 5) </w:t>
      </w:r>
      <w:r w:rsidR="00E74770" w:rsidRPr="00E02745">
        <w:rPr>
          <w:iCs/>
        </w:rPr>
        <w:t>No recorded capture date or length measurement</w:t>
      </w:r>
      <w:r w:rsidR="00E02745">
        <w:rPr>
          <w:iCs/>
        </w:rPr>
        <w:t>.</w:t>
      </w:r>
    </w:p>
    <w:p w14:paraId="5295F019" w14:textId="77777777" w:rsidR="005F0F46" w:rsidRDefault="005F0F46" w:rsidP="0050540F">
      <w:pPr>
        <w:rPr>
          <w:b/>
          <w:bCs/>
        </w:rPr>
      </w:pPr>
    </w:p>
    <w:p w14:paraId="5387570A" w14:textId="19370AC1" w:rsidR="00E74770" w:rsidRPr="00D200ED" w:rsidRDefault="00E74770" w:rsidP="00E74770">
      <w:pPr>
        <w:rPr>
          <w:iCs/>
        </w:rPr>
      </w:pPr>
      <w:r w:rsidRPr="00D200ED">
        <w:rPr>
          <w:i/>
        </w:rPr>
        <w:t>Water Year (WY) 2026</w:t>
      </w:r>
    </w:p>
    <w:p w14:paraId="0A230D47" w14:textId="77777777" w:rsidR="00E74770" w:rsidRDefault="00E74770" w:rsidP="00E74770">
      <w:pPr>
        <w:rPr>
          <w:iCs/>
        </w:rPr>
      </w:pPr>
      <w:r>
        <w:rPr>
          <w:i/>
        </w:rPr>
        <w:t>Sample Collection</w:t>
      </w:r>
    </w:p>
    <w:p w14:paraId="7DC10CD2" w14:textId="6B8D9452" w:rsidR="00E74770" w:rsidRDefault="00E74770" w:rsidP="00E74770">
      <w:r>
        <w:t xml:space="preserve">Juvenile Chinook salmon were captured at rotary screw-traps (RSTs) positioned at </w:t>
      </w:r>
      <w:r w:rsidRPr="006D55CE">
        <w:t>11 sites</w:t>
      </w:r>
      <w:r>
        <w:t xml:space="preserve"> throughout the Sacramento River Basin from November 202</w:t>
      </w:r>
      <w:r w:rsidR="009E3959">
        <w:t>5</w:t>
      </w:r>
      <w:r>
        <w:t xml:space="preserve"> until May 202</w:t>
      </w:r>
      <w:r w:rsidR="009E3959">
        <w:t>6</w:t>
      </w:r>
      <w:r>
        <w:t xml:space="preserve">. Date of capture was documented and fork-length (millimeters) measured for each fish. Fin-clips for genetic analysis were obtained from the upper caudal lobe using sterile dissecting scissors and placed in individually labeled 1.5 mL microcentrifuge tubes containing 98% Low-EDTA Tris-HCl (pH 8.0) and 2% Proteinase K (20 mg/mL; Qiagen). </w:t>
      </w:r>
      <w:r w:rsidR="00815DAD">
        <w:t xml:space="preserve">A subset of </w:t>
      </w:r>
      <w:r w:rsidR="001D2F16">
        <w:t xml:space="preserve">fin-clip </w:t>
      </w:r>
      <w:r w:rsidR="00815DAD">
        <w:t xml:space="preserve">samples from </w:t>
      </w:r>
      <w:r w:rsidR="001D2F16">
        <w:t>CLR, F17, F61, and YUR</w:t>
      </w:r>
      <w:r w:rsidR="00F75B0D">
        <w:t xml:space="preserve"> </w:t>
      </w:r>
      <w:r w:rsidR="001D2F16">
        <w:t xml:space="preserve">were affixed to strips of Whatman </w:t>
      </w:r>
      <w:r w:rsidR="00EC63B7">
        <w:t xml:space="preserve">filter paper, placed in a 1.5 mL microcentrifuge tube with no buffer, and </w:t>
      </w:r>
      <w:r w:rsidR="006C61DB">
        <w:t xml:space="preserve">allowed to dry. </w:t>
      </w:r>
      <w:r>
        <w:t>Fish were released following tissue collection.</w:t>
      </w:r>
    </w:p>
    <w:p w14:paraId="7215BEAF" w14:textId="77777777" w:rsidR="00E74770" w:rsidRDefault="00E74770" w:rsidP="00E74770">
      <w:pPr>
        <w:rPr>
          <w:iCs/>
        </w:rPr>
      </w:pPr>
      <w:r>
        <w:rPr>
          <w:i/>
        </w:rPr>
        <w:t>DNA Extraction</w:t>
      </w:r>
    </w:p>
    <w:p w14:paraId="47413D14" w14:textId="51A364C3" w:rsidR="00E74770" w:rsidRDefault="00E74770" w:rsidP="00E74770">
      <w:pPr>
        <w:rPr>
          <w:iCs/>
        </w:rPr>
      </w:pPr>
      <w:r>
        <w:rPr>
          <w:iCs/>
        </w:rPr>
        <w:t xml:space="preserve">Microcentrifuge tubes containing Low-EDTA Tris-HCl, Proteinase K, and fin-clips were incubated at 56°C overnight. </w:t>
      </w:r>
      <w:r w:rsidR="00AE5978">
        <w:rPr>
          <w:iCs/>
        </w:rPr>
        <w:t>Digestion buffer (</w:t>
      </w:r>
      <w:r w:rsidR="00EB34AC">
        <w:rPr>
          <w:iCs/>
        </w:rPr>
        <w:t xml:space="preserve">200 µL of </w:t>
      </w:r>
      <w:r w:rsidR="00AE5978">
        <w:rPr>
          <w:iCs/>
        </w:rPr>
        <w:t>98% Low-EDTA Tris-HCl</w:t>
      </w:r>
      <w:r w:rsidR="00F26832">
        <w:rPr>
          <w:iCs/>
        </w:rPr>
        <w:t xml:space="preserve"> and </w:t>
      </w:r>
      <w:r w:rsidR="00AE5978">
        <w:rPr>
          <w:iCs/>
        </w:rPr>
        <w:t>2% Proteinase K) was added to dry-preserved samples</w:t>
      </w:r>
      <w:r w:rsidR="00F75B0D">
        <w:rPr>
          <w:iCs/>
        </w:rPr>
        <w:t xml:space="preserve"> prior to incubation. </w:t>
      </w:r>
      <w:r>
        <w:rPr>
          <w:iCs/>
        </w:rPr>
        <w:t>DNA extracts were then transferred to 96-well PCR plates, and Proteinase K was heat-inactivated via incubation at 95°C for 20 minutes.</w:t>
      </w:r>
      <w:r w:rsidR="006C61DB">
        <w:rPr>
          <w:iCs/>
        </w:rPr>
        <w:t xml:space="preserve"> </w:t>
      </w:r>
    </w:p>
    <w:p w14:paraId="2CD10BB2" w14:textId="77777777" w:rsidR="00E74770" w:rsidRDefault="00E74770" w:rsidP="00E74770">
      <w:pPr>
        <w:rPr>
          <w:iCs/>
        </w:rPr>
      </w:pPr>
      <w:r>
        <w:rPr>
          <w:i/>
        </w:rPr>
        <w:t>SHERLOCK Genotyping</w:t>
      </w:r>
    </w:p>
    <w:p w14:paraId="6ABA86ED" w14:textId="3272B3DE" w:rsidR="00E74770" w:rsidRDefault="00E74770" w:rsidP="00E74770">
      <w:pPr>
        <w:rPr>
          <w:iCs/>
        </w:rPr>
      </w:pPr>
      <w:r>
        <w:rPr>
          <w:iCs/>
        </w:rPr>
        <w:lastRenderedPageBreak/>
        <w:t xml:space="preserve">All samples were subjected to SHERLOCK genotyping assays described by Baerwald et al. (2023). First, individuals were genotyped </w:t>
      </w:r>
      <w:r w:rsidRPr="00D21C8B">
        <w:rPr>
          <w:iCs/>
        </w:rPr>
        <w:t xml:space="preserve">at a portion of the </w:t>
      </w:r>
      <w:r w:rsidRPr="0081314F">
        <w:rPr>
          <w:i/>
        </w:rPr>
        <w:t>Greb1L</w:t>
      </w:r>
      <w:r w:rsidRPr="00D21C8B">
        <w:rPr>
          <w:iCs/>
        </w:rPr>
        <w:t xml:space="preserve"> locus on chromosome 28</w:t>
      </w:r>
      <w:r>
        <w:rPr>
          <w:iCs/>
        </w:rPr>
        <w:t xml:space="preserve"> (Ots28)</w:t>
      </w:r>
      <w:r w:rsidRPr="00D21C8B">
        <w:rPr>
          <w:iCs/>
        </w:rPr>
        <w:t xml:space="preserve"> to determine whether they </w:t>
      </w:r>
      <w:r>
        <w:rPr>
          <w:iCs/>
        </w:rPr>
        <w:t>were</w:t>
      </w:r>
      <w:r w:rsidRPr="00D21C8B">
        <w:rPr>
          <w:iCs/>
        </w:rPr>
        <w:t xml:space="preserve"> early-migrating (spring or winter adult return migration timing) or late-migrating (fall or late-fall adult return migration timing) (Prince et al., 2017; Thompson et al., 2020).</w:t>
      </w:r>
    </w:p>
    <w:p w14:paraId="10D71515" w14:textId="77777777" w:rsidR="00E74770" w:rsidRPr="00B1098E" w:rsidRDefault="00E74770" w:rsidP="00E74770">
      <w:r w:rsidRPr="0FA5B6A0">
        <w:rPr>
          <w:i/>
          <w:iCs/>
        </w:rPr>
        <w:t>GT-seq Genotyping</w:t>
      </w:r>
    </w:p>
    <w:p w14:paraId="54E23006" w14:textId="1DCF0F6C" w:rsidR="00E74770" w:rsidRDefault="00E74770" w:rsidP="00E02745">
      <w:r>
        <w:t xml:space="preserve">Following SHERLOCK genotyping, genotyping-in-thousands by sequencing (GT-seq; Campbell et al., 2015) was performed on fin-clip extracted DNA from individuals meeting </w:t>
      </w:r>
      <w:r w:rsidR="000F1876">
        <w:t>either</w:t>
      </w:r>
      <w:r>
        <w:t xml:space="preserve"> of the following criteria:</w:t>
      </w:r>
      <w:r w:rsidR="00E02745">
        <w:t xml:space="preserve"> 1) </w:t>
      </w:r>
      <w:r>
        <w:t>Ots28 (</w:t>
      </w:r>
      <w:r w:rsidRPr="00E02745">
        <w:rPr>
          <w:i/>
          <w:iCs/>
        </w:rPr>
        <w:t>Greb1L</w:t>
      </w:r>
      <w:r>
        <w:t>) homozygous early</w:t>
      </w:r>
      <w:r w:rsidR="00E02745">
        <w:t xml:space="preserve"> or 2) </w:t>
      </w:r>
      <w:r>
        <w:t>Ots28 (</w:t>
      </w:r>
      <w:r w:rsidRPr="00E02745">
        <w:rPr>
          <w:i/>
          <w:iCs/>
        </w:rPr>
        <w:t>Greb1L</w:t>
      </w:r>
      <w:r>
        <w:t>) heterozygous early/late</w:t>
      </w:r>
      <w:r w:rsidR="00E02745">
        <w:t xml:space="preserve">. </w:t>
      </w:r>
    </w:p>
    <w:p w14:paraId="6F17E484" w14:textId="77777777" w:rsidR="00E74770" w:rsidRDefault="00E74770" w:rsidP="00E74770">
      <w:r w:rsidRPr="00C06A57">
        <w:t xml:space="preserve">Individuals were genotyped using the </w:t>
      </w:r>
      <w:r>
        <w:t xml:space="preserve">Anderson panel (Anderson et al., 2025). </w:t>
      </w:r>
      <w:r w:rsidRPr="00C06A57">
        <w:t xml:space="preserve">This panel consists of genetic markers specifically selected to differentiate run types within the California Central Valley. </w:t>
      </w:r>
      <w:r>
        <w:t>The Anderson panel</w:t>
      </w:r>
      <w:r w:rsidRPr="00C06A57">
        <w:t xml:space="preserve"> includes </w:t>
      </w:r>
      <w:r>
        <w:t>nine</w:t>
      </w:r>
      <w:r w:rsidRPr="00C06A57">
        <w:t xml:space="preserve"> markers linked to </w:t>
      </w:r>
      <w:r w:rsidRPr="00C06A57">
        <w:rPr>
          <w:i/>
          <w:iCs/>
        </w:rPr>
        <w:t>Greb1L</w:t>
      </w:r>
      <w:r w:rsidRPr="00C06A57">
        <w:t xml:space="preserve"> and </w:t>
      </w:r>
      <w:r>
        <w:t>197</w:t>
      </w:r>
      <w:r w:rsidRPr="00C06A57">
        <w:t xml:space="preserve"> additional markers distributed throughout the Chinook salmon genome</w:t>
      </w:r>
      <w:r>
        <w:t>.</w:t>
      </w:r>
    </w:p>
    <w:p w14:paraId="02A69950" w14:textId="77777777" w:rsidR="00E74770" w:rsidRDefault="00E74770" w:rsidP="00E74770">
      <w:r>
        <w:t xml:space="preserve">Early- vs. late-migration phenotypes were inferred by analyzing the set of seven genetic markers associated with the </w:t>
      </w:r>
      <w:r w:rsidRPr="565DECB4">
        <w:rPr>
          <w:i/>
          <w:iCs/>
        </w:rPr>
        <w:t>Greb1L</w:t>
      </w:r>
      <w:r>
        <w:t xml:space="preserve"> locus using a custom script in R v4.4.1 (R Core Team, 2024). Individuals identified as early-migrating were assigned to either spring- or winter-run populations, and all individuals (regardless of early vs. late migration genotype) were assigned to one of the four Central Valley populations – fall, late-fall, spring, or winter – using the full suite of genetic markers in the R package </w:t>
      </w:r>
      <w:r w:rsidRPr="565DECB4">
        <w:rPr>
          <w:i/>
          <w:iCs/>
        </w:rPr>
        <w:t>RUBIAS</w:t>
      </w:r>
      <w:r>
        <w:t xml:space="preserve"> v 0.3.4 (Moran and Anderson, 2019). </w:t>
      </w:r>
    </w:p>
    <w:p w14:paraId="4C544131" w14:textId="3D2E690B" w:rsidR="00E74770" w:rsidRPr="00EB7330" w:rsidRDefault="00E74770" w:rsidP="00E74770">
      <w:r w:rsidRPr="00757CAD">
        <w:t>Individuals did not receive an early- or late-migration assignment if more than</w:t>
      </w:r>
      <w:r>
        <w:t xml:space="preserve"> three out of nine </w:t>
      </w:r>
      <w:r>
        <w:rPr>
          <w:i/>
          <w:iCs/>
        </w:rPr>
        <w:t>Greb1L</w:t>
      </w:r>
      <w:r>
        <w:t xml:space="preserve"> loci were missing from the final genotype dataset. Likewise, individuals did not receive population-level assignments if more than 80% of the remaining loci (</w:t>
      </w:r>
      <w:r w:rsidR="00FD4F53">
        <w:t xml:space="preserve">greater than </w:t>
      </w:r>
      <w:r>
        <w:t>157 out of 197 loci) were missing from the final genotype dataset.</w:t>
      </w:r>
    </w:p>
    <w:p w14:paraId="5755D84F" w14:textId="77777777" w:rsidR="00E74770" w:rsidRDefault="00E74770" w:rsidP="00E74770">
      <w:r w:rsidRPr="1E6A7B8B">
        <w:rPr>
          <w:i/>
          <w:iCs/>
        </w:rPr>
        <w:t>Final Run Assignment</w:t>
      </w:r>
    </w:p>
    <w:p w14:paraId="13582193" w14:textId="77777777" w:rsidR="00E74770" w:rsidRPr="00836112" w:rsidRDefault="00E74770" w:rsidP="00E74770">
      <w:r>
        <w:t xml:space="preserve">Final run assignments were made with consideration to both SHERLOCK and GT-seq genotyping results. Individuals determined to be late-migrating according to </w:t>
      </w:r>
      <w:r>
        <w:rPr>
          <w:i/>
          <w:iCs/>
        </w:rPr>
        <w:t>Greb1L</w:t>
      </w:r>
      <w:r>
        <w:t xml:space="preserve"> were assigned to a “Fall or Late-Fall” run grouped category. Individuals determined to be early-migrating were assigned to either Spring or Winter runs based on subsequent SHERLOCK assays and/or population assignment in RUBIAS. In the event of disagreement between SHERLOCK and GT-seq with respect to </w:t>
      </w:r>
      <w:r>
        <w:rPr>
          <w:i/>
          <w:iCs/>
        </w:rPr>
        <w:t>Greb1L</w:t>
      </w:r>
      <w:r>
        <w:t xml:space="preserve"> assignments (e.g., an individual was determined to be late-migrating via SHERLOCK and early-migrating via GT-seq), the GT-seq </w:t>
      </w:r>
      <w:r>
        <w:rPr>
          <w:i/>
          <w:iCs/>
        </w:rPr>
        <w:t>Greb1L</w:t>
      </w:r>
      <w:r>
        <w:t xml:space="preserve"> assignment was used. </w:t>
      </w:r>
    </w:p>
    <w:p w14:paraId="370CB3D5" w14:textId="77777777" w:rsidR="00E74770" w:rsidRDefault="00E74770" w:rsidP="00E74770">
      <w:r>
        <w:lastRenderedPageBreak/>
        <w:t xml:space="preserve">Individuals that displayed a heterozygous genotype at </w:t>
      </w:r>
      <w:r>
        <w:rPr>
          <w:i/>
          <w:iCs/>
        </w:rPr>
        <w:t>Greb1L</w:t>
      </w:r>
      <w:r>
        <w:t xml:space="preserve"> loci (i.e., displayed genotypes characteristic of both early- and late-migrating populations) were assigned to the run associated with the highest posterior probability reported by RUBIAS. If the highest posterior probability was less than 0.80, or if no RUBIAS assignment was available, </w:t>
      </w:r>
      <w:r>
        <w:rPr>
          <w:i/>
          <w:iCs/>
        </w:rPr>
        <w:t>Greb1L</w:t>
      </w:r>
      <w:r>
        <w:t xml:space="preserve"> heterozygous individuals received a final call of “UNKNOWN.”</w:t>
      </w:r>
    </w:p>
    <w:p w14:paraId="42489515" w14:textId="6EB92738" w:rsidR="00E74770" w:rsidRPr="00E74770" w:rsidRDefault="00E74770" w:rsidP="00E02745">
      <w:r>
        <w:t>Individuals were removed from the final dataset if any of the following conditions were met:</w:t>
      </w:r>
      <w:r w:rsidR="00E02745">
        <w:t xml:space="preserve"> 1) </w:t>
      </w:r>
      <w:r>
        <w:t xml:space="preserve">No </w:t>
      </w:r>
      <w:r w:rsidRPr="00E02745">
        <w:rPr>
          <w:i/>
          <w:iCs/>
        </w:rPr>
        <w:t>Greb1L</w:t>
      </w:r>
      <w:r>
        <w:t xml:space="preserve"> assignment (SHERLOCK or GT-seq)</w:t>
      </w:r>
      <w:r w:rsidR="00E02745">
        <w:t xml:space="preserve">, 2) </w:t>
      </w:r>
      <w:r w:rsidRPr="00E74770">
        <w:t>Population assignment (RUBIAS) with no GT-seq Greb1L assignment and indeterminate SHERLOCK assignment</w:t>
      </w:r>
      <w:r w:rsidR="00E02745">
        <w:t xml:space="preserve">, 3) </w:t>
      </w:r>
      <w:r w:rsidRPr="00E02745">
        <w:rPr>
          <w:i/>
          <w:iCs/>
        </w:rPr>
        <w:t>Greb1L</w:t>
      </w:r>
      <w:r>
        <w:t xml:space="preserve"> early-migration assignment with no (or indeterminate) Ots16 SHERLOCK result and no population assignment (RUBIAS)</w:t>
      </w:r>
      <w:r w:rsidR="00E02745">
        <w:t xml:space="preserve">, 4) </w:t>
      </w:r>
      <w:r>
        <w:t xml:space="preserve">SHERLOCK </w:t>
      </w:r>
      <w:r w:rsidRPr="00E02745">
        <w:rPr>
          <w:i/>
        </w:rPr>
        <w:t>Greb1L</w:t>
      </w:r>
      <w:r w:rsidRPr="00E02745">
        <w:rPr>
          <w:iCs/>
        </w:rPr>
        <w:t xml:space="preserve"> heterozygote assignment with no GT-seq </w:t>
      </w:r>
      <w:r w:rsidRPr="00E02745">
        <w:rPr>
          <w:i/>
        </w:rPr>
        <w:t xml:space="preserve">Greb1L </w:t>
      </w:r>
      <w:r w:rsidRPr="00E02745">
        <w:rPr>
          <w:iCs/>
        </w:rPr>
        <w:t>assignment</w:t>
      </w:r>
      <w:r w:rsidR="00E02745">
        <w:t xml:space="preserve">, and 5) </w:t>
      </w:r>
      <w:r w:rsidRPr="00E02745">
        <w:rPr>
          <w:iCs/>
        </w:rPr>
        <w:t>No recorded capture date or length measurement</w:t>
      </w:r>
      <w:r w:rsidR="00E02745">
        <w:rPr>
          <w:iCs/>
        </w:rPr>
        <w:t>.</w:t>
      </w:r>
    </w:p>
    <w:p w14:paraId="4E37F38D" w14:textId="77777777" w:rsidR="00E74770" w:rsidRDefault="00E74770" w:rsidP="0050540F">
      <w:pPr>
        <w:rPr>
          <w:b/>
          <w:bCs/>
        </w:rPr>
      </w:pPr>
    </w:p>
    <w:p w14:paraId="5E55408A" w14:textId="70CEF272" w:rsidR="0050540F" w:rsidRPr="00D200ED" w:rsidRDefault="0050540F" w:rsidP="0050540F">
      <w:r w:rsidRPr="00D200ED">
        <w:t>Citations</w:t>
      </w:r>
    </w:p>
    <w:p w14:paraId="5D036114" w14:textId="70B15F1A" w:rsidR="00FC575D" w:rsidRDefault="00342FF5" w:rsidP="0050540F">
      <w:pPr>
        <w:ind w:left="720" w:hanging="720"/>
      </w:pPr>
      <w:r>
        <w:t>Anderson</w:t>
      </w:r>
      <w:r w:rsidR="00B60979">
        <w:t>, E.C., Clemento, A.J., Campbell, M.A., Pearse, D.E., Beulke, A.K., Columbus, C., Campbell, E., Thompson, N.F., Garza, J.C. (2025) A multipurpose microhaplotype panel for genetic analysis of California Chinook salmon. bio</w:t>
      </w:r>
      <w:r w:rsidR="00D46954">
        <w:t>Rxiv [</w:t>
      </w:r>
      <w:r w:rsidR="007618C8">
        <w:t xml:space="preserve">Preprint]. </w:t>
      </w:r>
      <w:r w:rsidR="0075399B" w:rsidRPr="0075399B">
        <w:t>https://doi.org/10.1101/2024.12.31.63093</w:t>
      </w:r>
    </w:p>
    <w:p w14:paraId="0799DEFB" w14:textId="047FC6F5" w:rsidR="0050540F" w:rsidRDefault="0050540F" w:rsidP="0050540F">
      <w:pPr>
        <w:ind w:left="720" w:hanging="720"/>
      </w:pPr>
      <w:r w:rsidRPr="0051198E">
        <w:t>Baerwald, M. R., Funk, E. C., Goodbla, A. M., Campbell, M. A., Thompson, T., Meek, M. H., Schreier, A. D. (2023) Rapid CRISPR</w:t>
      </w:r>
      <w:r w:rsidRPr="0051198E">
        <w:rPr>
          <w:rFonts w:ascii="Cambria Math" w:hAnsi="Cambria Math" w:cs="Cambria Math"/>
        </w:rPr>
        <w:t>‐</w:t>
      </w:r>
      <w:r w:rsidRPr="0051198E">
        <w:t>Cas13a genetic identification enables new opportunities for listed Chinook salmon management. Molecular Ecology Resources.</w:t>
      </w:r>
      <w:r w:rsidR="00805928">
        <w:t xml:space="preserve"> </w:t>
      </w:r>
      <w:r w:rsidR="00805928" w:rsidRPr="00805928">
        <w:t>https://doi.org/10.1111/1755-0998.13777</w:t>
      </w:r>
    </w:p>
    <w:p w14:paraId="350BE56D" w14:textId="350060CC" w:rsidR="0050540F" w:rsidRDefault="0050540F" w:rsidP="0050540F">
      <w:pPr>
        <w:ind w:left="720" w:hanging="720"/>
      </w:pPr>
      <w:r w:rsidRPr="0051198E">
        <w:t>Campbell, N. R., Harmon, S. A., Narum, S. R. (2015) Genotyping</w:t>
      </w:r>
      <w:r w:rsidRPr="0051198E">
        <w:rPr>
          <w:rFonts w:ascii="Cambria Math" w:hAnsi="Cambria Math" w:cs="Cambria Math"/>
        </w:rPr>
        <w:t>‐</w:t>
      </w:r>
      <w:r w:rsidRPr="0051198E">
        <w:t>in</w:t>
      </w:r>
      <w:r w:rsidRPr="0051198E">
        <w:rPr>
          <w:rFonts w:ascii="Cambria Math" w:hAnsi="Cambria Math" w:cs="Cambria Math"/>
        </w:rPr>
        <w:t>‐</w:t>
      </w:r>
      <w:r w:rsidRPr="0051198E">
        <w:t>Thousands by sequencing (GT</w:t>
      </w:r>
      <w:r w:rsidRPr="0051198E">
        <w:rPr>
          <w:rFonts w:ascii="Cambria Math" w:hAnsi="Cambria Math" w:cs="Cambria Math"/>
        </w:rPr>
        <w:t>‐</w:t>
      </w:r>
      <w:r w:rsidRPr="0051198E">
        <w:t xml:space="preserve">seq): A cost effective SNP genotyping method based on custom amplicon sequencing. Molecular </w:t>
      </w:r>
      <w:r w:rsidR="00E81A52">
        <w:t>E</w:t>
      </w:r>
      <w:r w:rsidRPr="0051198E">
        <w:t xml:space="preserve">cology </w:t>
      </w:r>
      <w:r w:rsidR="00E81A52">
        <w:t>R</w:t>
      </w:r>
      <w:r w:rsidRPr="0051198E">
        <w:t>esources.</w:t>
      </w:r>
      <w:r w:rsidR="00E81A52">
        <w:t xml:space="preserve"> </w:t>
      </w:r>
      <w:r w:rsidR="006F0D2F" w:rsidRPr="006F0D2F">
        <w:t>https://doi.org/10.1111/1755-0998.12357</w:t>
      </w:r>
    </w:p>
    <w:p w14:paraId="246D60D0" w14:textId="71772623" w:rsidR="0050540F" w:rsidRDefault="0050540F" w:rsidP="0050540F">
      <w:pPr>
        <w:ind w:left="720" w:hanging="720"/>
      </w:pPr>
      <w:r w:rsidRPr="00617D7E">
        <w:t>Moran BM, Anderson EC (201</w:t>
      </w:r>
      <w:r w:rsidR="00926B0E">
        <w:t>9</w:t>
      </w:r>
      <w:r w:rsidRPr="00617D7E">
        <w:t xml:space="preserve">) Bayesian inference from the conditional genetic stock identification model. Canadian Journal of Fisheries and Aquatic Sciences. </w:t>
      </w:r>
      <w:r w:rsidR="00785864" w:rsidRPr="00785864">
        <w:t>https://doi.org/10.1139/cjfas-2018-0016</w:t>
      </w:r>
    </w:p>
    <w:p w14:paraId="1327D9B7" w14:textId="048EB309" w:rsidR="0050540F" w:rsidRDefault="0050540F" w:rsidP="0050540F">
      <w:pPr>
        <w:ind w:left="720" w:hanging="720"/>
      </w:pPr>
      <w:r w:rsidRPr="00E339A6">
        <w:t xml:space="preserve">Prince, D. J., O’Rourke, S. M., Thompson, T. Q., Ali, O. A., Lyman, H. S., Saglam, I. K., </w:t>
      </w:r>
      <w:r w:rsidR="00C003BE">
        <w:t>Hotaling, T.J., Spidle, A.P.,</w:t>
      </w:r>
      <w:r w:rsidRPr="00E339A6">
        <w:t xml:space="preserve"> Miller, M. R. (2017) The evolutionary basis of premature migration in Pacific salmon highlights the utility of genomics for informing conservation. Science </w:t>
      </w:r>
      <w:r w:rsidR="004C6312">
        <w:t>A</w:t>
      </w:r>
      <w:r w:rsidRPr="00E339A6">
        <w:t>dvances.</w:t>
      </w:r>
      <w:r w:rsidR="00DF7F84">
        <w:t xml:space="preserve"> </w:t>
      </w:r>
      <w:r w:rsidR="00DF7F84" w:rsidRPr="00DF7F84">
        <w:t>https://doi.org/10.1126/sciadv.1603198</w:t>
      </w:r>
    </w:p>
    <w:p w14:paraId="7AD80643" w14:textId="0A694BD4" w:rsidR="0050540F" w:rsidRDefault="0050540F" w:rsidP="0050540F">
      <w:pPr>
        <w:ind w:left="720" w:hanging="720"/>
      </w:pPr>
      <w:r w:rsidRPr="00417CE8">
        <w:t>Pritchard JK, Stephens M, Donnelly P (2000) Inference of population structure using multilocus genotype data. Genetics.</w:t>
      </w:r>
      <w:r w:rsidR="002428EE">
        <w:t xml:space="preserve"> </w:t>
      </w:r>
      <w:r w:rsidR="00CC1A2B" w:rsidRPr="00CC1A2B">
        <w:t>https://doi.org/10.1093/genetics/155.2.945</w:t>
      </w:r>
    </w:p>
    <w:p w14:paraId="01109A69" w14:textId="367EFABA" w:rsidR="00CC1A2B" w:rsidRDefault="00CC1A2B" w:rsidP="00CC1A2B">
      <w:pPr>
        <w:ind w:left="720" w:hanging="720"/>
      </w:pPr>
      <w:r w:rsidRPr="00CC1A2B">
        <w:lastRenderedPageBreak/>
        <w:t>R Core Team (202</w:t>
      </w:r>
      <w:r w:rsidR="00272F84">
        <w:t>4</w:t>
      </w:r>
      <w:r w:rsidRPr="00CC1A2B">
        <w:t>) R: A language and environment for statistical</w:t>
      </w:r>
      <w:r>
        <w:t xml:space="preserve"> </w:t>
      </w:r>
      <w:r w:rsidRPr="00CC1A2B">
        <w:t>computing. R Foundation for Statistical Computing, Vienna, Austria.</w:t>
      </w:r>
      <w:r>
        <w:t xml:space="preserve"> </w:t>
      </w:r>
      <w:r w:rsidRPr="00CC1A2B">
        <w:t>https://www.R-project.org/.</w:t>
      </w:r>
    </w:p>
    <w:p w14:paraId="0DD179CB" w14:textId="4FCE7566" w:rsidR="002B13A2" w:rsidRPr="0050540F" w:rsidRDefault="0050540F" w:rsidP="0050540F">
      <w:pPr>
        <w:ind w:left="720" w:hanging="720"/>
      </w:pPr>
      <w:r w:rsidRPr="003C2EEF">
        <w:t xml:space="preserve">Thompson, N. F., Anderson, E. C., Clemento, A. J., Campbell, M. A., Pearse, D. E., Hearsey, J. W., </w:t>
      </w:r>
      <w:r w:rsidR="00F470E5">
        <w:t>Kinziger</w:t>
      </w:r>
      <w:r w:rsidR="00137217">
        <w:t>, A.P.,</w:t>
      </w:r>
      <w:r w:rsidRPr="003C2EEF">
        <w:t xml:space="preserve"> Garza, J. C. (2020) A complex phenotype in salmon controlled by a simple change in migratory timing. Science.</w:t>
      </w:r>
      <w:r w:rsidR="00B82290">
        <w:t xml:space="preserve"> </w:t>
      </w:r>
      <w:r w:rsidR="00137217" w:rsidRPr="00137217">
        <w:t>https://doi.org/10.1126/science.aba9059</w:t>
      </w:r>
    </w:p>
    <w:sectPr w:rsidR="002B13A2" w:rsidRPr="0050540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F5535" w14:textId="77777777" w:rsidR="003419F4" w:rsidRDefault="003419F4" w:rsidP="00E33F93">
      <w:pPr>
        <w:spacing w:after="0" w:line="240" w:lineRule="auto"/>
      </w:pPr>
      <w:r>
        <w:separator/>
      </w:r>
    </w:p>
  </w:endnote>
  <w:endnote w:type="continuationSeparator" w:id="0">
    <w:p w14:paraId="736A4F0D" w14:textId="77777777" w:rsidR="003419F4" w:rsidRDefault="003419F4" w:rsidP="00E33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D2498" w14:textId="77777777" w:rsidR="003419F4" w:rsidRDefault="003419F4" w:rsidP="00E33F93">
      <w:pPr>
        <w:spacing w:after="0" w:line="240" w:lineRule="auto"/>
      </w:pPr>
      <w:r>
        <w:separator/>
      </w:r>
    </w:p>
  </w:footnote>
  <w:footnote w:type="continuationSeparator" w:id="0">
    <w:p w14:paraId="65F1ACD1" w14:textId="77777777" w:rsidR="003419F4" w:rsidRDefault="003419F4" w:rsidP="00E33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5862" w14:textId="329748C1" w:rsidR="00E33F93" w:rsidRDefault="00672BB5" w:rsidP="00E33F93">
    <w:pPr>
      <w:pStyle w:val="Header"/>
      <w:jc w:val="right"/>
    </w:pPr>
    <w:r>
      <w:t>Version 1.</w:t>
    </w:r>
    <w:r w:rsidR="00E74770">
      <w:t>3</w:t>
    </w:r>
    <w:r>
      <w:t xml:space="preserve"> [Updated </w:t>
    </w:r>
    <w:r w:rsidR="00FB02CB">
      <w:t>0</w:t>
    </w:r>
    <w:r w:rsidR="00E74770">
      <w:t>4</w:t>
    </w:r>
    <w:r>
      <w:t>/</w:t>
    </w:r>
    <w:r w:rsidR="00E74770">
      <w:t>20</w:t>
    </w:r>
    <w:r>
      <w:t>/202</w:t>
    </w:r>
    <w:r w:rsidR="00FB02CB">
      <w:t>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2615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3846556"/>
    <w:multiLevelType w:val="hybridMultilevel"/>
    <w:tmpl w:val="C6A4257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7E556490"/>
    <w:multiLevelType w:val="hybridMultilevel"/>
    <w:tmpl w:val="78CE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403319">
    <w:abstractNumId w:val="2"/>
  </w:num>
  <w:num w:numId="2" w16cid:durableId="1856992981">
    <w:abstractNumId w:val="0"/>
  </w:num>
  <w:num w:numId="3" w16cid:durableId="470951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AD"/>
    <w:rsid w:val="00001BCC"/>
    <w:rsid w:val="000050E6"/>
    <w:rsid w:val="00011665"/>
    <w:rsid w:val="00015ABB"/>
    <w:rsid w:val="00021672"/>
    <w:rsid w:val="00021DCA"/>
    <w:rsid w:val="00023C72"/>
    <w:rsid w:val="00034CBB"/>
    <w:rsid w:val="00043100"/>
    <w:rsid w:val="00067E92"/>
    <w:rsid w:val="000907B6"/>
    <w:rsid w:val="00092392"/>
    <w:rsid w:val="000B1B6F"/>
    <w:rsid w:val="000C2CCB"/>
    <w:rsid w:val="000E2F18"/>
    <w:rsid w:val="000E3A48"/>
    <w:rsid w:val="000F1876"/>
    <w:rsid w:val="000F5965"/>
    <w:rsid w:val="000F66CF"/>
    <w:rsid w:val="001053AE"/>
    <w:rsid w:val="001068C9"/>
    <w:rsid w:val="00117552"/>
    <w:rsid w:val="001230D7"/>
    <w:rsid w:val="001231B5"/>
    <w:rsid w:val="00131002"/>
    <w:rsid w:val="00134B27"/>
    <w:rsid w:val="00137217"/>
    <w:rsid w:val="00137F26"/>
    <w:rsid w:val="00142A8A"/>
    <w:rsid w:val="00147CC3"/>
    <w:rsid w:val="001564C9"/>
    <w:rsid w:val="00163809"/>
    <w:rsid w:val="0016653B"/>
    <w:rsid w:val="0018309C"/>
    <w:rsid w:val="00187757"/>
    <w:rsid w:val="0019693B"/>
    <w:rsid w:val="001A0913"/>
    <w:rsid w:val="001B489B"/>
    <w:rsid w:val="001C7514"/>
    <w:rsid w:val="001D2F16"/>
    <w:rsid w:val="001F0EA8"/>
    <w:rsid w:val="002428EE"/>
    <w:rsid w:val="00245427"/>
    <w:rsid w:val="00255EA8"/>
    <w:rsid w:val="00272F84"/>
    <w:rsid w:val="002806F7"/>
    <w:rsid w:val="002A6771"/>
    <w:rsid w:val="002A7ACD"/>
    <w:rsid w:val="002B0E6B"/>
    <w:rsid w:val="002B13A2"/>
    <w:rsid w:val="002C1FDA"/>
    <w:rsid w:val="002D2B7B"/>
    <w:rsid w:val="002E3A1B"/>
    <w:rsid w:val="002E45EC"/>
    <w:rsid w:val="002F5364"/>
    <w:rsid w:val="00302505"/>
    <w:rsid w:val="003039D7"/>
    <w:rsid w:val="00310AA3"/>
    <w:rsid w:val="003406B5"/>
    <w:rsid w:val="003419F4"/>
    <w:rsid w:val="00342FF5"/>
    <w:rsid w:val="00350CED"/>
    <w:rsid w:val="00360E78"/>
    <w:rsid w:val="00362B88"/>
    <w:rsid w:val="00364C82"/>
    <w:rsid w:val="003772DE"/>
    <w:rsid w:val="003A3E42"/>
    <w:rsid w:val="003A4C14"/>
    <w:rsid w:val="003A693D"/>
    <w:rsid w:val="003B0EA0"/>
    <w:rsid w:val="003B6543"/>
    <w:rsid w:val="003C1A21"/>
    <w:rsid w:val="003E1DAA"/>
    <w:rsid w:val="003F41C8"/>
    <w:rsid w:val="003F4353"/>
    <w:rsid w:val="003F75F3"/>
    <w:rsid w:val="00417247"/>
    <w:rsid w:val="00420D96"/>
    <w:rsid w:val="0043062B"/>
    <w:rsid w:val="00430DEF"/>
    <w:rsid w:val="00434E25"/>
    <w:rsid w:val="00447A7A"/>
    <w:rsid w:val="00460ADD"/>
    <w:rsid w:val="0046455F"/>
    <w:rsid w:val="004703B2"/>
    <w:rsid w:val="004921E3"/>
    <w:rsid w:val="004A4865"/>
    <w:rsid w:val="004A7151"/>
    <w:rsid w:val="004B3444"/>
    <w:rsid w:val="004B3C5F"/>
    <w:rsid w:val="004B4753"/>
    <w:rsid w:val="004C14D8"/>
    <w:rsid w:val="004C6312"/>
    <w:rsid w:val="004D16E4"/>
    <w:rsid w:val="004D2B93"/>
    <w:rsid w:val="004D40F4"/>
    <w:rsid w:val="004E40BC"/>
    <w:rsid w:val="00500B81"/>
    <w:rsid w:val="0050136C"/>
    <w:rsid w:val="0050540F"/>
    <w:rsid w:val="00511FD5"/>
    <w:rsid w:val="005149FB"/>
    <w:rsid w:val="005218BA"/>
    <w:rsid w:val="00532427"/>
    <w:rsid w:val="005520DC"/>
    <w:rsid w:val="0058518F"/>
    <w:rsid w:val="005A1536"/>
    <w:rsid w:val="005C0898"/>
    <w:rsid w:val="005C0D41"/>
    <w:rsid w:val="005C3CE4"/>
    <w:rsid w:val="005D01AF"/>
    <w:rsid w:val="005D69FF"/>
    <w:rsid w:val="005E21C8"/>
    <w:rsid w:val="005E6F4A"/>
    <w:rsid w:val="005F0F46"/>
    <w:rsid w:val="005F6224"/>
    <w:rsid w:val="00607A97"/>
    <w:rsid w:val="00616998"/>
    <w:rsid w:val="00616B8E"/>
    <w:rsid w:val="006270F8"/>
    <w:rsid w:val="00647CA9"/>
    <w:rsid w:val="006637C4"/>
    <w:rsid w:val="00672BB5"/>
    <w:rsid w:val="006771B9"/>
    <w:rsid w:val="006809BA"/>
    <w:rsid w:val="00684711"/>
    <w:rsid w:val="006A6970"/>
    <w:rsid w:val="006B02EA"/>
    <w:rsid w:val="006B06A5"/>
    <w:rsid w:val="006B08A3"/>
    <w:rsid w:val="006B4B84"/>
    <w:rsid w:val="006B787B"/>
    <w:rsid w:val="006C61DB"/>
    <w:rsid w:val="006D55CE"/>
    <w:rsid w:val="006D55EF"/>
    <w:rsid w:val="006E74E3"/>
    <w:rsid w:val="006F04B6"/>
    <w:rsid w:val="006F0D2F"/>
    <w:rsid w:val="0072388A"/>
    <w:rsid w:val="00737D50"/>
    <w:rsid w:val="0075399B"/>
    <w:rsid w:val="00757C37"/>
    <w:rsid w:val="00757CAD"/>
    <w:rsid w:val="0076152C"/>
    <w:rsid w:val="007618C8"/>
    <w:rsid w:val="00766552"/>
    <w:rsid w:val="007768D8"/>
    <w:rsid w:val="00776DAB"/>
    <w:rsid w:val="00785864"/>
    <w:rsid w:val="007861A9"/>
    <w:rsid w:val="007873F5"/>
    <w:rsid w:val="00791F9D"/>
    <w:rsid w:val="00793822"/>
    <w:rsid w:val="007A779A"/>
    <w:rsid w:val="007B2DCA"/>
    <w:rsid w:val="007B3984"/>
    <w:rsid w:val="007C1300"/>
    <w:rsid w:val="007D0D90"/>
    <w:rsid w:val="007D4983"/>
    <w:rsid w:val="007E4D2C"/>
    <w:rsid w:val="007E5E25"/>
    <w:rsid w:val="00801248"/>
    <w:rsid w:val="00805928"/>
    <w:rsid w:val="008110F7"/>
    <w:rsid w:val="0081314F"/>
    <w:rsid w:val="00815DAD"/>
    <w:rsid w:val="00821848"/>
    <w:rsid w:val="00834CE2"/>
    <w:rsid w:val="00836112"/>
    <w:rsid w:val="0084172D"/>
    <w:rsid w:val="00841AE0"/>
    <w:rsid w:val="00847D8C"/>
    <w:rsid w:val="00870B67"/>
    <w:rsid w:val="00880E1E"/>
    <w:rsid w:val="008932B3"/>
    <w:rsid w:val="008A0726"/>
    <w:rsid w:val="008B2D24"/>
    <w:rsid w:val="008B707A"/>
    <w:rsid w:val="008C0333"/>
    <w:rsid w:val="008C706C"/>
    <w:rsid w:val="008D74BC"/>
    <w:rsid w:val="008D796D"/>
    <w:rsid w:val="008F0C48"/>
    <w:rsid w:val="008F22E3"/>
    <w:rsid w:val="009040BA"/>
    <w:rsid w:val="009204CE"/>
    <w:rsid w:val="00926B0E"/>
    <w:rsid w:val="00927A59"/>
    <w:rsid w:val="0093472B"/>
    <w:rsid w:val="00937840"/>
    <w:rsid w:val="009439E2"/>
    <w:rsid w:val="0095130C"/>
    <w:rsid w:val="00953948"/>
    <w:rsid w:val="00967D7D"/>
    <w:rsid w:val="00971AB5"/>
    <w:rsid w:val="00972107"/>
    <w:rsid w:val="00975C71"/>
    <w:rsid w:val="00981AD1"/>
    <w:rsid w:val="00994CB1"/>
    <w:rsid w:val="009A42A4"/>
    <w:rsid w:val="009B41C6"/>
    <w:rsid w:val="009B4E1B"/>
    <w:rsid w:val="009B6D59"/>
    <w:rsid w:val="009C5746"/>
    <w:rsid w:val="009D5872"/>
    <w:rsid w:val="009E3959"/>
    <w:rsid w:val="009E7756"/>
    <w:rsid w:val="009F152B"/>
    <w:rsid w:val="00A123E6"/>
    <w:rsid w:val="00A27D56"/>
    <w:rsid w:val="00A3134B"/>
    <w:rsid w:val="00A337C9"/>
    <w:rsid w:val="00A45A02"/>
    <w:rsid w:val="00A47952"/>
    <w:rsid w:val="00A647F9"/>
    <w:rsid w:val="00A713EE"/>
    <w:rsid w:val="00A72438"/>
    <w:rsid w:val="00A83EFB"/>
    <w:rsid w:val="00A85353"/>
    <w:rsid w:val="00A90BB4"/>
    <w:rsid w:val="00A9134F"/>
    <w:rsid w:val="00AC2F28"/>
    <w:rsid w:val="00AC5A39"/>
    <w:rsid w:val="00AD4AC1"/>
    <w:rsid w:val="00AD5D59"/>
    <w:rsid w:val="00AE2BD8"/>
    <w:rsid w:val="00AE3161"/>
    <w:rsid w:val="00AE4F3D"/>
    <w:rsid w:val="00AE5978"/>
    <w:rsid w:val="00AF2FBA"/>
    <w:rsid w:val="00AF4BC9"/>
    <w:rsid w:val="00B00B7C"/>
    <w:rsid w:val="00B1098E"/>
    <w:rsid w:val="00B13AAD"/>
    <w:rsid w:val="00B24A51"/>
    <w:rsid w:val="00B308C8"/>
    <w:rsid w:val="00B35367"/>
    <w:rsid w:val="00B4079C"/>
    <w:rsid w:val="00B44BEE"/>
    <w:rsid w:val="00B46096"/>
    <w:rsid w:val="00B60979"/>
    <w:rsid w:val="00B62E66"/>
    <w:rsid w:val="00B651B8"/>
    <w:rsid w:val="00B6694D"/>
    <w:rsid w:val="00B706E5"/>
    <w:rsid w:val="00B71D6E"/>
    <w:rsid w:val="00B7258B"/>
    <w:rsid w:val="00B82290"/>
    <w:rsid w:val="00B83270"/>
    <w:rsid w:val="00B85CD4"/>
    <w:rsid w:val="00BA3BFA"/>
    <w:rsid w:val="00BA521C"/>
    <w:rsid w:val="00BA7FF5"/>
    <w:rsid w:val="00BB1944"/>
    <w:rsid w:val="00BD3F98"/>
    <w:rsid w:val="00BE1D11"/>
    <w:rsid w:val="00BE7635"/>
    <w:rsid w:val="00C003BE"/>
    <w:rsid w:val="00C03BDE"/>
    <w:rsid w:val="00C06A57"/>
    <w:rsid w:val="00C139AA"/>
    <w:rsid w:val="00C2114E"/>
    <w:rsid w:val="00C25ECC"/>
    <w:rsid w:val="00C4677B"/>
    <w:rsid w:val="00C76D50"/>
    <w:rsid w:val="00C81933"/>
    <w:rsid w:val="00C943AE"/>
    <w:rsid w:val="00C97B9A"/>
    <w:rsid w:val="00CB0348"/>
    <w:rsid w:val="00CC1A2B"/>
    <w:rsid w:val="00CC65F9"/>
    <w:rsid w:val="00CD57FE"/>
    <w:rsid w:val="00CE63E6"/>
    <w:rsid w:val="00CE7452"/>
    <w:rsid w:val="00CF10EF"/>
    <w:rsid w:val="00CF3525"/>
    <w:rsid w:val="00D01DA3"/>
    <w:rsid w:val="00D12F87"/>
    <w:rsid w:val="00D13563"/>
    <w:rsid w:val="00D14431"/>
    <w:rsid w:val="00D15339"/>
    <w:rsid w:val="00D17BFE"/>
    <w:rsid w:val="00D200ED"/>
    <w:rsid w:val="00D20320"/>
    <w:rsid w:val="00D21C8B"/>
    <w:rsid w:val="00D31535"/>
    <w:rsid w:val="00D46954"/>
    <w:rsid w:val="00D514E9"/>
    <w:rsid w:val="00D54497"/>
    <w:rsid w:val="00D75DD4"/>
    <w:rsid w:val="00D90D1F"/>
    <w:rsid w:val="00DC06EB"/>
    <w:rsid w:val="00DE2B66"/>
    <w:rsid w:val="00DE2CF7"/>
    <w:rsid w:val="00DF5094"/>
    <w:rsid w:val="00DF7F84"/>
    <w:rsid w:val="00E014C1"/>
    <w:rsid w:val="00E02745"/>
    <w:rsid w:val="00E07C78"/>
    <w:rsid w:val="00E106C4"/>
    <w:rsid w:val="00E1259C"/>
    <w:rsid w:val="00E2655D"/>
    <w:rsid w:val="00E27899"/>
    <w:rsid w:val="00E33F93"/>
    <w:rsid w:val="00E447E0"/>
    <w:rsid w:val="00E53E4A"/>
    <w:rsid w:val="00E569AE"/>
    <w:rsid w:val="00E74770"/>
    <w:rsid w:val="00E760B6"/>
    <w:rsid w:val="00E81A52"/>
    <w:rsid w:val="00E82E7E"/>
    <w:rsid w:val="00EA2B6A"/>
    <w:rsid w:val="00EA6562"/>
    <w:rsid w:val="00EB28CA"/>
    <w:rsid w:val="00EB34AC"/>
    <w:rsid w:val="00EB7330"/>
    <w:rsid w:val="00EB76D8"/>
    <w:rsid w:val="00EC63B7"/>
    <w:rsid w:val="00EF20AC"/>
    <w:rsid w:val="00EF6E02"/>
    <w:rsid w:val="00F1096C"/>
    <w:rsid w:val="00F12736"/>
    <w:rsid w:val="00F17A13"/>
    <w:rsid w:val="00F2054E"/>
    <w:rsid w:val="00F235BD"/>
    <w:rsid w:val="00F26832"/>
    <w:rsid w:val="00F470E5"/>
    <w:rsid w:val="00F57E6E"/>
    <w:rsid w:val="00F67C82"/>
    <w:rsid w:val="00F75B0D"/>
    <w:rsid w:val="00F872CD"/>
    <w:rsid w:val="00F87B0A"/>
    <w:rsid w:val="00F902CD"/>
    <w:rsid w:val="00F96C9F"/>
    <w:rsid w:val="00FB02CB"/>
    <w:rsid w:val="00FB1C09"/>
    <w:rsid w:val="00FB40CA"/>
    <w:rsid w:val="00FC575D"/>
    <w:rsid w:val="00FC5C54"/>
    <w:rsid w:val="00FD4F53"/>
    <w:rsid w:val="00FD7791"/>
    <w:rsid w:val="00FE68F2"/>
    <w:rsid w:val="0FA5B6A0"/>
    <w:rsid w:val="1E6A7B8B"/>
    <w:rsid w:val="565DE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37A65"/>
  <w15:chartTrackingRefBased/>
  <w15:docId w15:val="{9C4F8A4B-61F6-48FE-B27D-F5030C91C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AAD"/>
    <w:rPr>
      <w:rFonts w:eastAsiaTheme="majorEastAsia" w:cstheme="majorBidi"/>
      <w:color w:val="272727" w:themeColor="text1" w:themeTint="D8"/>
    </w:rPr>
  </w:style>
  <w:style w:type="paragraph" w:styleId="Title">
    <w:name w:val="Title"/>
    <w:basedOn w:val="Normal"/>
    <w:next w:val="Normal"/>
    <w:link w:val="TitleChar"/>
    <w:uiPriority w:val="10"/>
    <w:qFormat/>
    <w:rsid w:val="00B13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AAD"/>
    <w:pPr>
      <w:spacing w:before="160"/>
      <w:jc w:val="center"/>
    </w:pPr>
    <w:rPr>
      <w:i/>
      <w:iCs/>
      <w:color w:val="404040" w:themeColor="text1" w:themeTint="BF"/>
    </w:rPr>
  </w:style>
  <w:style w:type="character" w:customStyle="1" w:styleId="QuoteChar">
    <w:name w:val="Quote Char"/>
    <w:basedOn w:val="DefaultParagraphFont"/>
    <w:link w:val="Quote"/>
    <w:uiPriority w:val="29"/>
    <w:rsid w:val="00B13AAD"/>
    <w:rPr>
      <w:i/>
      <w:iCs/>
      <w:color w:val="404040" w:themeColor="text1" w:themeTint="BF"/>
    </w:rPr>
  </w:style>
  <w:style w:type="paragraph" w:styleId="ListParagraph">
    <w:name w:val="List Paragraph"/>
    <w:basedOn w:val="Normal"/>
    <w:uiPriority w:val="34"/>
    <w:qFormat/>
    <w:rsid w:val="00B13AAD"/>
    <w:pPr>
      <w:ind w:left="720"/>
      <w:contextualSpacing/>
    </w:pPr>
  </w:style>
  <w:style w:type="character" w:styleId="IntenseEmphasis">
    <w:name w:val="Intense Emphasis"/>
    <w:basedOn w:val="DefaultParagraphFont"/>
    <w:uiPriority w:val="21"/>
    <w:qFormat/>
    <w:rsid w:val="00B13AAD"/>
    <w:rPr>
      <w:i/>
      <w:iCs/>
      <w:color w:val="0F4761" w:themeColor="accent1" w:themeShade="BF"/>
    </w:rPr>
  </w:style>
  <w:style w:type="paragraph" w:styleId="IntenseQuote">
    <w:name w:val="Intense Quote"/>
    <w:basedOn w:val="Normal"/>
    <w:next w:val="Normal"/>
    <w:link w:val="IntenseQuoteChar"/>
    <w:uiPriority w:val="30"/>
    <w:qFormat/>
    <w:rsid w:val="00B13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AAD"/>
    <w:rPr>
      <w:i/>
      <w:iCs/>
      <w:color w:val="0F4761" w:themeColor="accent1" w:themeShade="BF"/>
    </w:rPr>
  </w:style>
  <w:style w:type="character" w:styleId="IntenseReference">
    <w:name w:val="Intense Reference"/>
    <w:basedOn w:val="DefaultParagraphFont"/>
    <w:uiPriority w:val="32"/>
    <w:qFormat/>
    <w:rsid w:val="00B13AAD"/>
    <w:rPr>
      <w:b/>
      <w:bCs/>
      <w:smallCaps/>
      <w:color w:val="0F4761" w:themeColor="accent1" w:themeShade="BF"/>
      <w:spacing w:val="5"/>
    </w:rPr>
  </w:style>
  <w:style w:type="character" w:styleId="CommentReference">
    <w:name w:val="annotation reference"/>
    <w:basedOn w:val="DefaultParagraphFont"/>
    <w:uiPriority w:val="99"/>
    <w:semiHidden/>
    <w:unhideWhenUsed/>
    <w:rsid w:val="00B44BEE"/>
    <w:rPr>
      <w:sz w:val="16"/>
      <w:szCs w:val="16"/>
    </w:rPr>
  </w:style>
  <w:style w:type="paragraph" w:styleId="CommentText">
    <w:name w:val="annotation text"/>
    <w:basedOn w:val="Normal"/>
    <w:link w:val="CommentTextChar"/>
    <w:uiPriority w:val="99"/>
    <w:unhideWhenUsed/>
    <w:rsid w:val="00B44BEE"/>
    <w:pPr>
      <w:spacing w:line="240" w:lineRule="auto"/>
    </w:pPr>
    <w:rPr>
      <w:sz w:val="20"/>
      <w:szCs w:val="20"/>
    </w:rPr>
  </w:style>
  <w:style w:type="character" w:customStyle="1" w:styleId="CommentTextChar">
    <w:name w:val="Comment Text Char"/>
    <w:basedOn w:val="DefaultParagraphFont"/>
    <w:link w:val="CommentText"/>
    <w:uiPriority w:val="99"/>
    <w:rsid w:val="00B44BEE"/>
    <w:rPr>
      <w:sz w:val="20"/>
      <w:szCs w:val="20"/>
    </w:rPr>
  </w:style>
  <w:style w:type="paragraph" w:styleId="CommentSubject">
    <w:name w:val="annotation subject"/>
    <w:basedOn w:val="CommentText"/>
    <w:next w:val="CommentText"/>
    <w:link w:val="CommentSubjectChar"/>
    <w:uiPriority w:val="99"/>
    <w:semiHidden/>
    <w:unhideWhenUsed/>
    <w:rsid w:val="00B44BEE"/>
    <w:rPr>
      <w:b/>
      <w:bCs/>
    </w:rPr>
  </w:style>
  <w:style w:type="character" w:customStyle="1" w:styleId="CommentSubjectChar">
    <w:name w:val="Comment Subject Char"/>
    <w:basedOn w:val="CommentTextChar"/>
    <w:link w:val="CommentSubject"/>
    <w:uiPriority w:val="99"/>
    <w:semiHidden/>
    <w:rsid w:val="00B44BEE"/>
    <w:rPr>
      <w:b/>
      <w:bCs/>
      <w:sz w:val="20"/>
      <w:szCs w:val="20"/>
    </w:rPr>
  </w:style>
  <w:style w:type="paragraph" w:styleId="ListBullet">
    <w:name w:val="List Bullet"/>
    <w:basedOn w:val="Normal"/>
    <w:uiPriority w:val="99"/>
    <w:unhideWhenUsed/>
    <w:rsid w:val="00836112"/>
    <w:pPr>
      <w:numPr>
        <w:numId w:val="2"/>
      </w:numPr>
      <w:contextualSpacing/>
    </w:pPr>
  </w:style>
  <w:style w:type="paragraph" w:styleId="Header">
    <w:name w:val="header"/>
    <w:basedOn w:val="Normal"/>
    <w:link w:val="HeaderChar"/>
    <w:uiPriority w:val="99"/>
    <w:unhideWhenUsed/>
    <w:rsid w:val="00E33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F93"/>
  </w:style>
  <w:style w:type="paragraph" w:styleId="Footer">
    <w:name w:val="footer"/>
    <w:basedOn w:val="Normal"/>
    <w:link w:val="FooterChar"/>
    <w:uiPriority w:val="99"/>
    <w:unhideWhenUsed/>
    <w:rsid w:val="00E33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F93"/>
  </w:style>
  <w:style w:type="character" w:styleId="Hyperlink">
    <w:name w:val="Hyperlink"/>
    <w:basedOn w:val="DefaultParagraphFont"/>
    <w:uiPriority w:val="99"/>
    <w:unhideWhenUsed/>
    <w:rsid w:val="00CC1A2B"/>
    <w:rPr>
      <w:color w:val="467886" w:themeColor="hyperlink"/>
      <w:u w:val="single"/>
    </w:rPr>
  </w:style>
  <w:style w:type="character" w:styleId="UnresolvedMention">
    <w:name w:val="Unresolved Mention"/>
    <w:basedOn w:val="DefaultParagraphFont"/>
    <w:uiPriority w:val="99"/>
    <w:semiHidden/>
    <w:unhideWhenUsed/>
    <w:rsid w:val="00CC1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04594">
      <w:bodyDiv w:val="1"/>
      <w:marLeft w:val="0"/>
      <w:marRight w:val="0"/>
      <w:marTop w:val="0"/>
      <w:marBottom w:val="0"/>
      <w:divBdr>
        <w:top w:val="none" w:sz="0" w:space="0" w:color="auto"/>
        <w:left w:val="none" w:sz="0" w:space="0" w:color="auto"/>
        <w:bottom w:val="none" w:sz="0" w:space="0" w:color="auto"/>
        <w:right w:val="none" w:sz="0" w:space="0" w:color="auto"/>
      </w:divBdr>
    </w:div>
    <w:div w:id="120096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07c639-4ab7-466f-ab80-9083af4ef22b">
      <Terms xmlns="http://schemas.microsoft.com/office/infopath/2007/PartnerControls"/>
    </lcf76f155ced4ddcb4097134ff3c332f>
    <TaxCatchAll xmlns="02ee1384-56f9-49a7-aa58-df62156adfc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E391E1779C514D98B0AAF78991A34A" ma:contentTypeVersion="15" ma:contentTypeDescription="Create a new document." ma:contentTypeScope="" ma:versionID="8228de675383873c8a1e4e632f955411">
  <xsd:schema xmlns:xsd="http://www.w3.org/2001/XMLSchema" xmlns:xs="http://www.w3.org/2001/XMLSchema" xmlns:p="http://schemas.microsoft.com/office/2006/metadata/properties" xmlns:ns2="a707c639-4ab7-466f-ab80-9083af4ef22b" xmlns:ns3="02ee1384-56f9-49a7-aa58-df62156adfc7" targetNamespace="http://schemas.microsoft.com/office/2006/metadata/properties" ma:root="true" ma:fieldsID="b94b5a93b4ca8f32c115a5420ab266d2" ns2:_="" ns3:_="">
    <xsd:import namespace="a707c639-4ab7-466f-ab80-9083af4ef22b"/>
    <xsd:import namespace="02ee1384-56f9-49a7-aa58-df62156adfc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7c639-4ab7-466f-ab80-9083af4ef2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1b62a4-9796-44f9-b2a5-9cb121c1087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ee1384-56f9-49a7-aa58-df62156adf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33ed39a-2fa6-48b4-8777-a0ef65a5c038}" ma:internalName="TaxCatchAll" ma:showField="CatchAllData" ma:web="02ee1384-56f9-49a7-aa58-df62156adf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43DBA8-FF97-41C7-86E1-C6F77C4F0D5F}">
  <ds:schemaRefs>
    <ds:schemaRef ds:uri="http://schemas.microsoft.com/office/2006/metadata/properties"/>
    <ds:schemaRef ds:uri="http://schemas.microsoft.com/office/infopath/2007/PartnerControls"/>
    <ds:schemaRef ds:uri="a707c639-4ab7-466f-ab80-9083af4ef22b"/>
    <ds:schemaRef ds:uri="02ee1384-56f9-49a7-aa58-df62156adfc7"/>
  </ds:schemaRefs>
</ds:datastoreItem>
</file>

<file path=customXml/itemProps2.xml><?xml version="1.0" encoding="utf-8"?>
<ds:datastoreItem xmlns:ds="http://schemas.openxmlformats.org/officeDocument/2006/customXml" ds:itemID="{04AF6E5B-4CC8-4BA4-836A-2FEAA86EF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7c639-4ab7-466f-ab80-9083af4ef22b"/>
    <ds:schemaRef ds:uri="02ee1384-56f9-49a7-aa58-df62156ad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C50952-D718-4658-B498-113C1F306E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3628</Words>
  <Characters>21810</Characters>
  <Application>Microsoft Office Word</Application>
  <DocSecurity>0</DocSecurity>
  <Lines>346</Lines>
  <Paragraphs>101</Paragraphs>
  <ScaleCrop>false</ScaleCrop>
  <Company>Dept. of Water Resources</Company>
  <LinksUpToDate>false</LinksUpToDate>
  <CharactersWithSpaces>25337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Canfield, Sean@DWR</dc:creator>
  <cp:keywords/>
  <dc:description/>
  <cp:lastModifiedBy>Liz Stebbins</cp:lastModifiedBy>
  <cp:revision>5</cp:revision>
  <dcterms:created xsi:type="dcterms:W3CDTF">2026-04-22T22:56:00Z</dcterms:created>
  <dcterms:modified xsi:type="dcterms:W3CDTF">2026-04-28T21:37:00Z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0x0101009AE391E1779C514D98B0AAF78991A34A</vt:lpwstr>
  </property>
  <property fmtid="{D5CDD505-2E9C-101B-9397-08002B2CF9AE}" pid="3" name="MediaServiceImageTags">
    <vt:lpwstr/>
  </property>
</Properties>
</file>