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5528" w14:textId="77777777" w:rsidR="00754797" w:rsidRPr="009A113B" w:rsidRDefault="00754797" w:rsidP="00754797">
      <w:pPr>
        <w:spacing w:before="280" w:after="80" w:line="240" w:lineRule="auto"/>
        <w:outlineLvl w:val="3"/>
        <w:rPr>
          <w:rFonts w:ascii="Aptos" w:eastAsia="Times New Roman" w:hAnsi="Aptos" w:cs="Arial"/>
          <w:color w:val="666666"/>
          <w:sz w:val="24"/>
          <w:szCs w:val="24"/>
        </w:rPr>
      </w:pPr>
      <w:r w:rsidRPr="009A113B">
        <w:rPr>
          <w:rFonts w:ascii="Aptos" w:eastAsia="Times New Roman" w:hAnsi="Aptos" w:cs="Arial"/>
          <w:color w:val="666666"/>
          <w:sz w:val="24"/>
          <w:szCs w:val="24"/>
        </w:rPr>
        <w:t>Adult Upstream</w:t>
      </w:r>
    </w:p>
    <w:p w14:paraId="37CA3491" w14:textId="1AFED72A" w:rsidR="00563A4C" w:rsidRPr="009A113B" w:rsidRDefault="00563A4C" w:rsidP="00563A4C">
      <w:pPr>
        <w:rPr>
          <w:rFonts w:ascii="Aptos" w:hAnsi="Aptos"/>
          <w:sz w:val="24"/>
          <w:szCs w:val="24"/>
        </w:rPr>
      </w:pPr>
      <w:r w:rsidRPr="009A113B">
        <w:rPr>
          <w:rFonts w:ascii="Aptos" w:hAnsi="Aptos"/>
          <w:sz w:val="24"/>
          <w:szCs w:val="24"/>
        </w:rPr>
        <w:t>Objective: Estimate spring-run spawning population</w:t>
      </w:r>
    </w:p>
    <w:p w14:paraId="4A2FBD27" w14:textId="334B3078" w:rsidR="00563A4C" w:rsidRPr="009A113B" w:rsidRDefault="00563A4C" w:rsidP="00563A4C">
      <w:pPr>
        <w:rPr>
          <w:rFonts w:ascii="Aptos" w:hAnsi="Aptos"/>
          <w:sz w:val="24"/>
          <w:szCs w:val="24"/>
        </w:rPr>
      </w:pPr>
      <w:r w:rsidRPr="009A113B">
        <w:rPr>
          <w:rFonts w:ascii="Aptos" w:hAnsi="Aptos"/>
          <w:sz w:val="24"/>
          <w:szCs w:val="24"/>
        </w:rPr>
        <w:t>Type: VAK</w:t>
      </w:r>
      <w:r w:rsidR="009A113B" w:rsidRPr="009A113B">
        <w:rPr>
          <w:rFonts w:ascii="Aptos" w:hAnsi="Aptos"/>
          <w:sz w:val="24"/>
          <w:szCs w:val="24"/>
        </w:rPr>
        <w:t>I</w:t>
      </w:r>
      <w:r w:rsidRPr="009A113B">
        <w:rPr>
          <w:rFonts w:ascii="Aptos" w:hAnsi="Aptos"/>
          <w:sz w:val="24"/>
          <w:szCs w:val="24"/>
        </w:rPr>
        <w:t xml:space="preserve"> </w:t>
      </w:r>
      <w:proofErr w:type="spellStart"/>
      <w:r w:rsidRPr="009A113B">
        <w:rPr>
          <w:rFonts w:ascii="Aptos" w:hAnsi="Aptos"/>
          <w:sz w:val="24"/>
          <w:szCs w:val="24"/>
        </w:rPr>
        <w:t>Riverwatcher</w:t>
      </w:r>
      <w:proofErr w:type="spellEnd"/>
    </w:p>
    <w:p w14:paraId="0AB24FBF" w14:textId="522B9349" w:rsidR="00563A4C" w:rsidRPr="009A113B" w:rsidRDefault="00563A4C" w:rsidP="00563A4C">
      <w:pPr>
        <w:rPr>
          <w:rFonts w:ascii="Aptos" w:hAnsi="Aptos"/>
          <w:sz w:val="24"/>
          <w:szCs w:val="24"/>
        </w:rPr>
      </w:pPr>
      <w:r w:rsidRPr="009A113B">
        <w:rPr>
          <w:rFonts w:ascii="Aptos" w:hAnsi="Aptos"/>
          <w:sz w:val="24"/>
          <w:szCs w:val="24"/>
        </w:rPr>
        <w:t>Location: Daguerre Dam</w:t>
      </w:r>
    </w:p>
    <w:p w14:paraId="1B653F91" w14:textId="62717FA2" w:rsidR="00563A4C" w:rsidRPr="009A113B" w:rsidRDefault="00563A4C" w:rsidP="00563A4C">
      <w:pPr>
        <w:rPr>
          <w:rFonts w:ascii="Aptos" w:hAnsi="Aptos"/>
          <w:sz w:val="24"/>
          <w:szCs w:val="24"/>
        </w:rPr>
      </w:pPr>
      <w:r w:rsidRPr="009A113B">
        <w:rPr>
          <w:rFonts w:ascii="Aptos" w:hAnsi="Aptos"/>
          <w:sz w:val="24"/>
          <w:szCs w:val="24"/>
        </w:rPr>
        <w:t>Times of operation:</w:t>
      </w:r>
      <w:r w:rsidR="00FC0DBC" w:rsidRPr="009A113B">
        <w:rPr>
          <w:rFonts w:ascii="Aptos" w:hAnsi="Aptos"/>
          <w:sz w:val="24"/>
          <w:szCs w:val="24"/>
        </w:rPr>
        <w:t xml:space="preserve"> Year-round</w:t>
      </w:r>
    </w:p>
    <w:p w14:paraId="7A6F677D" w14:textId="662D0B22" w:rsidR="000E2D4E" w:rsidRPr="000E2D4E" w:rsidRDefault="008F635C" w:rsidP="00754797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 xml:space="preserve">In the 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>Yuba River</w:t>
      </w:r>
      <w:r>
        <w:rPr>
          <w:rFonts w:ascii="Aptos" w:eastAsia="Times New Roman" w:hAnsi="Aptos" w:cs="Arial"/>
          <w:color w:val="000000"/>
          <w:sz w:val="24"/>
          <w:szCs w:val="24"/>
        </w:rPr>
        <w:t>,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a</w:t>
      </w:r>
      <w:r w:rsidR="00366329">
        <w:rPr>
          <w:rFonts w:ascii="Aptos" w:eastAsia="Times New Roman" w:hAnsi="Aptos" w:cs="Arial"/>
          <w:color w:val="000000"/>
          <w:sz w:val="24"/>
          <w:szCs w:val="24"/>
        </w:rPr>
        <w:t xml:space="preserve"> VAKI </w:t>
      </w:r>
      <w:proofErr w:type="spellStart"/>
      <w:r w:rsidR="00366329">
        <w:rPr>
          <w:rFonts w:ascii="Aptos" w:eastAsia="Times New Roman" w:hAnsi="Aptos" w:cs="Arial"/>
          <w:color w:val="000000"/>
          <w:sz w:val="24"/>
          <w:szCs w:val="24"/>
        </w:rPr>
        <w:t>Riverwatcher</w:t>
      </w:r>
      <w:proofErr w:type="spellEnd"/>
      <w:r w:rsidR="00366329">
        <w:rPr>
          <w:rFonts w:ascii="Aptos" w:eastAsia="Times New Roman" w:hAnsi="Aptos" w:cs="Arial"/>
          <w:color w:val="000000"/>
          <w:sz w:val="24"/>
          <w:szCs w:val="24"/>
        </w:rPr>
        <w:t>™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video monitoring system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 is operated within the two fish ladders (North and South) at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Daguerre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 Point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Dam</w:t>
      </w:r>
      <w:r w:rsidR="00D30D22">
        <w:rPr>
          <w:rFonts w:ascii="Aptos" w:eastAsia="Times New Roman" w:hAnsi="Aptos" w:cs="Arial"/>
          <w:color w:val="000000"/>
          <w:sz w:val="24"/>
          <w:szCs w:val="24"/>
        </w:rPr>
        <w:t>.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This dataset </w:t>
      </w:r>
      <w:proofErr w:type="gramStart"/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>is considered to be</w:t>
      </w:r>
      <w:proofErr w:type="gramEnd"/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a census for spring run chinook because mostly all spawn upstream of Daguerre 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Point </w:t>
      </w:r>
      <w:r w:rsidR="00754797" w:rsidRPr="009A113B">
        <w:rPr>
          <w:rFonts w:ascii="Aptos" w:eastAsia="Times New Roman" w:hAnsi="Aptos" w:cs="Arial"/>
          <w:color w:val="000000"/>
          <w:sz w:val="24"/>
          <w:szCs w:val="24"/>
        </w:rPr>
        <w:t>Dam. The modeling approach involves determining the run and interpolating for missing data. </w:t>
      </w:r>
    </w:p>
    <w:p w14:paraId="111EF446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077EF7D2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>Data is available in tables following sequential QA/QC processes and modeling:</w:t>
      </w:r>
    </w:p>
    <w:p w14:paraId="6F948B07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642217E9" w14:textId="436B908E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 xml:space="preserve">Instantaneous passage records: data in this file form the base dataset for analyses and methodologies identified in Poxon and </w:t>
      </w:r>
      <w:proofErr w:type="spellStart"/>
      <w:r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>
        <w:rPr>
          <w:rFonts w:ascii="Aptos" w:eastAsia="Times New Roman" w:hAnsi="Aptos" w:cs="Arial"/>
          <w:color w:val="000000"/>
          <w:sz w:val="24"/>
          <w:szCs w:val="24"/>
        </w:rPr>
        <w:t xml:space="preserve"> (2020).</w:t>
      </w:r>
      <w:r w:rsidR="008F635C">
        <w:rPr>
          <w:rFonts w:ascii="Aptos" w:eastAsia="Times New Roman" w:hAnsi="Aptos" w:cs="Arial"/>
          <w:color w:val="000000"/>
          <w:sz w:val="24"/>
          <w:szCs w:val="24"/>
        </w:rPr>
        <w:t xml:space="preserve"> These data are provided for transparency and are not intended to be used for modeling purposes.</w:t>
      </w:r>
    </w:p>
    <w:p w14:paraId="09419C54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01CCF923" w14:textId="6291A703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 xml:space="preserve">Uncorrected daily passage: data in this file represent the aggregation of the instantaneous records in instantaneous passage records to net upstream daily passage counts. </w:t>
      </w:r>
      <w:r w:rsidR="008F635C">
        <w:rPr>
          <w:rFonts w:ascii="Aptos" w:eastAsia="Times New Roman" w:hAnsi="Aptos" w:cs="Arial"/>
          <w:color w:val="000000"/>
          <w:sz w:val="24"/>
          <w:szCs w:val="24"/>
        </w:rPr>
        <w:t>These d</w:t>
      </w:r>
      <w:r>
        <w:rPr>
          <w:rFonts w:ascii="Aptos" w:eastAsia="Times New Roman" w:hAnsi="Aptos" w:cs="Arial"/>
          <w:color w:val="000000"/>
          <w:sz w:val="24"/>
          <w:szCs w:val="24"/>
        </w:rPr>
        <w:t>ata undergo the count correction</w:t>
      </w:r>
      <w:r w:rsidR="00EE522E">
        <w:rPr>
          <w:rFonts w:ascii="Aptos" w:eastAsia="Times New Roman" w:hAnsi="Aptos" w:cs="Arial"/>
          <w:color w:val="000000"/>
          <w:sz w:val="24"/>
          <w:szCs w:val="24"/>
        </w:rPr>
        <w:t xml:space="preserve"> and run differentiation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 analys</w:t>
      </w:r>
      <w:r w:rsidR="00EE522E">
        <w:rPr>
          <w:rFonts w:ascii="Aptos" w:eastAsia="Times New Roman" w:hAnsi="Aptos" w:cs="Arial"/>
          <w:color w:val="000000"/>
          <w:sz w:val="24"/>
          <w:szCs w:val="24"/>
        </w:rPr>
        <w:t>e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s presented in Poxon &amp; </w:t>
      </w:r>
      <w:proofErr w:type="spellStart"/>
      <w:r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>
        <w:rPr>
          <w:rFonts w:ascii="Aptos" w:eastAsia="Times New Roman" w:hAnsi="Aptos" w:cs="Arial"/>
          <w:color w:val="000000"/>
          <w:sz w:val="24"/>
          <w:szCs w:val="24"/>
        </w:rPr>
        <w:t xml:space="preserve"> (2020).</w:t>
      </w:r>
      <w:r w:rsidR="00EE522E">
        <w:rPr>
          <w:rFonts w:ascii="Aptos" w:eastAsia="Times New Roman" w:hAnsi="Aptos" w:cs="Arial"/>
          <w:color w:val="000000"/>
          <w:sz w:val="24"/>
          <w:szCs w:val="24"/>
        </w:rPr>
        <w:t xml:space="preserve"> These data are provided for transparency and are not intended to be used for modeling purposes.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 </w:t>
      </w:r>
    </w:p>
    <w:p w14:paraId="70A751AF" w14:textId="77777777" w:rsidR="006728EC" w:rsidRDefault="006728EC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34AFCA98" w14:textId="56E2BA69" w:rsidR="006728EC" w:rsidRDefault="006728EC" w:rsidP="006728E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 xml:space="preserve">Corrected </w:t>
      </w:r>
      <w:r w:rsidR="00EE522E">
        <w:rPr>
          <w:rFonts w:ascii="Aptos" w:eastAsia="Times New Roman" w:hAnsi="Aptos" w:cs="Arial"/>
          <w:color w:val="000000"/>
          <w:sz w:val="24"/>
          <w:szCs w:val="24"/>
        </w:rPr>
        <w:t xml:space="preserve">and run-differentiated 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daily passage: data in this file are corrected </w:t>
      </w:r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for VAKI operational outages and 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contain </w:t>
      </w:r>
      <w:r w:rsidRPr="006728EC">
        <w:rPr>
          <w:rFonts w:ascii="Aptos" w:eastAsia="Times New Roman" w:hAnsi="Aptos" w:cs="Arial"/>
          <w:color w:val="000000"/>
          <w:sz w:val="24"/>
          <w:szCs w:val="24"/>
        </w:rPr>
        <w:t>run differentiated daily net Chinook salmon passage estimates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. </w:t>
      </w:r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Data in this file represent the output (results) from the count correction and run differentiation analyses presented in Poxon and </w:t>
      </w:r>
      <w:proofErr w:type="spellStart"/>
      <w:r w:rsidRPr="006728EC"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 (2020). Please </w:t>
      </w:r>
      <w:r>
        <w:rPr>
          <w:rFonts w:ascii="Aptos" w:eastAsia="Times New Roman" w:hAnsi="Aptos" w:cs="Arial"/>
          <w:color w:val="000000"/>
          <w:sz w:val="24"/>
          <w:szCs w:val="24"/>
        </w:rPr>
        <w:t>see below for</w:t>
      </w:r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 important notes regarding biological years 2016, 2017, and 2019.</w:t>
      </w:r>
    </w:p>
    <w:p w14:paraId="0B18E08A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656FE447" w14:textId="53281317" w:rsidR="000E2D4E" w:rsidRDefault="00076BCD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 xml:space="preserve">Interpolation of missing data (i.e., when the video system was not working) is performed by application of a Generalized Additive Model (GAM). 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Run differentiation is performed by splitting the dataset into three </w:t>
      </w:r>
      <w:r w:rsidR="00305A53">
        <w:rPr>
          <w:rFonts w:ascii="Aptos" w:eastAsia="Times New Roman" w:hAnsi="Aptos" w:cs="Arial"/>
          <w:color w:val="000000"/>
          <w:sz w:val="24"/>
          <w:szCs w:val="24"/>
        </w:rPr>
        <w:t xml:space="preserve">temporal 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>components (</w:t>
      </w:r>
      <w:r w:rsidR="00305A53">
        <w:rPr>
          <w:rFonts w:ascii="Aptos" w:eastAsia="Times New Roman" w:hAnsi="Aptos" w:cs="Arial"/>
          <w:color w:val="000000"/>
          <w:sz w:val="24"/>
          <w:szCs w:val="24"/>
        </w:rPr>
        <w:t xml:space="preserve">an early component of 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early migrating spring run, </w:t>
      </w:r>
      <w:r w:rsidR="00EE522E">
        <w:rPr>
          <w:rFonts w:ascii="Aptos" w:eastAsia="Times New Roman" w:hAnsi="Aptos" w:cs="Arial"/>
          <w:color w:val="000000"/>
          <w:sz w:val="24"/>
          <w:szCs w:val="24"/>
        </w:rPr>
        <w:t>a middle component comprised of late migrating spring run and fall</w:t>
      </w:r>
      <w:r>
        <w:rPr>
          <w:rFonts w:ascii="Aptos" w:eastAsia="Times New Roman" w:hAnsi="Aptos" w:cs="Arial"/>
          <w:color w:val="000000"/>
          <w:sz w:val="24"/>
          <w:szCs w:val="24"/>
        </w:rPr>
        <w:t xml:space="preserve"> run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>, and</w:t>
      </w:r>
      <w:r w:rsidR="00305A53">
        <w:rPr>
          <w:rFonts w:ascii="Aptos" w:eastAsia="Times New Roman" w:hAnsi="Aptos" w:cs="Arial"/>
          <w:color w:val="000000"/>
          <w:sz w:val="24"/>
          <w:szCs w:val="24"/>
        </w:rPr>
        <w:t xml:space="preserve"> a late component of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fall run) and conducting an iterative analysis to find the </w:t>
      </w:r>
      <w:r>
        <w:rPr>
          <w:rFonts w:ascii="Aptos" w:eastAsia="Times New Roman" w:hAnsi="Aptos" w:cs="Arial"/>
          <w:color w:val="000000"/>
          <w:sz w:val="24"/>
          <w:szCs w:val="24"/>
        </w:rPr>
        <w:t>best-supported ratio of spring run to fall run</w:t>
      </w:r>
      <w:r w:rsidR="00305A53">
        <w:rPr>
          <w:rFonts w:ascii="Aptos" w:eastAsia="Times New Roman" w:hAnsi="Aptos" w:cs="Arial"/>
          <w:color w:val="000000"/>
          <w:sz w:val="24"/>
          <w:szCs w:val="24"/>
        </w:rPr>
        <w:t xml:space="preserve"> in the middle component</w:t>
      </w:r>
      <w:r>
        <w:rPr>
          <w:rFonts w:ascii="Aptos" w:eastAsia="Times New Roman" w:hAnsi="Aptos" w:cs="Arial"/>
          <w:color w:val="000000"/>
          <w:sz w:val="24"/>
          <w:szCs w:val="24"/>
        </w:rPr>
        <w:t>,</w:t>
      </w:r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as outlined in Poxon and </w:t>
      </w:r>
      <w:proofErr w:type="spellStart"/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 w:rsidR="000E2D4E" w:rsidRPr="009A113B">
        <w:rPr>
          <w:rFonts w:ascii="Aptos" w:eastAsia="Times New Roman" w:hAnsi="Aptos" w:cs="Arial"/>
          <w:color w:val="000000"/>
          <w:sz w:val="24"/>
          <w:szCs w:val="24"/>
        </w:rPr>
        <w:t xml:space="preserve"> (2020). </w:t>
      </w:r>
    </w:p>
    <w:p w14:paraId="01C2716D" w14:textId="77777777" w:rsidR="006728EC" w:rsidRDefault="006728EC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337C1A1B" w14:textId="77777777" w:rsidR="006728EC" w:rsidRPr="006728EC" w:rsidRDefault="006728EC" w:rsidP="006728E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The 2016 and 2017 annual time series were deemed inappropriate for count correction and run separation analyses due to long periods of VAKI </w:t>
      </w:r>
      <w:proofErr w:type="spellStart"/>
      <w:r w:rsidRPr="006728EC">
        <w:rPr>
          <w:rFonts w:ascii="Aptos" w:eastAsia="Times New Roman" w:hAnsi="Aptos" w:cs="Arial"/>
          <w:color w:val="000000"/>
          <w:sz w:val="24"/>
          <w:szCs w:val="24"/>
        </w:rPr>
        <w:t>Riverwatcher</w:t>
      </w:r>
      <w:proofErr w:type="spellEnd"/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™ system outages that resulted in incomplete datasets for both years. No estimates (run-differentiated or overall) are possible for these years. The total number of Chinook salmon for these years represent </w:t>
      </w:r>
      <w:r w:rsidRPr="006728EC">
        <w:rPr>
          <w:rFonts w:ascii="Aptos" w:eastAsia="Times New Roman" w:hAnsi="Aptos" w:cs="Arial"/>
          <w:color w:val="000000"/>
          <w:sz w:val="24"/>
          <w:szCs w:val="24"/>
        </w:rPr>
        <w:lastRenderedPageBreak/>
        <w:t xml:space="preserve">raw counts as affected by VAKI </w:t>
      </w:r>
      <w:proofErr w:type="spellStart"/>
      <w:r w:rsidRPr="006728EC">
        <w:rPr>
          <w:rFonts w:ascii="Aptos" w:eastAsia="Times New Roman" w:hAnsi="Aptos" w:cs="Arial"/>
          <w:color w:val="000000"/>
          <w:sz w:val="24"/>
          <w:szCs w:val="24"/>
        </w:rPr>
        <w:t>Riverwatcher</w:t>
      </w:r>
      <w:proofErr w:type="spellEnd"/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™ system outages, and do not represent estimated annual abundances. </w:t>
      </w:r>
    </w:p>
    <w:p w14:paraId="3B025447" w14:textId="77777777" w:rsidR="006728EC" w:rsidRPr="006728EC" w:rsidRDefault="006728EC" w:rsidP="006728E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72ACBF77" w14:textId="2E920FFB" w:rsidR="00C959BC" w:rsidRDefault="006728EC" w:rsidP="006728E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Additionally, run-type differentiation was not possible for biological year 2019 due to an extended closure (February 13, </w:t>
      </w:r>
      <w:proofErr w:type="gramStart"/>
      <w:r w:rsidRPr="006728EC">
        <w:rPr>
          <w:rFonts w:ascii="Aptos" w:eastAsia="Times New Roman" w:hAnsi="Aptos" w:cs="Arial"/>
          <w:color w:val="000000"/>
          <w:sz w:val="24"/>
          <w:szCs w:val="24"/>
        </w:rPr>
        <w:t>2019</w:t>
      </w:r>
      <w:proofErr w:type="gramEnd"/>
      <w:r w:rsidRPr="006728EC">
        <w:rPr>
          <w:rFonts w:ascii="Aptos" w:eastAsia="Times New Roman" w:hAnsi="Aptos" w:cs="Arial"/>
          <w:color w:val="000000"/>
          <w:sz w:val="24"/>
          <w:szCs w:val="24"/>
        </w:rPr>
        <w:t xml:space="preserve"> through September 10, 2019) of the DPD North Ladder, which fundamentally altered the temporal patterns of passage at DPD on which the run differentiation analysis is based. As a result, the only possible annual abundance estimate for the 2019 annual time series is Total Chinook Salmon.</w:t>
      </w:r>
      <w:r w:rsidR="00E0347C">
        <w:rPr>
          <w:rFonts w:ascii="Aptos" w:eastAsia="Times New Roman" w:hAnsi="Aptos" w:cs="Arial"/>
          <w:color w:val="000000"/>
          <w:sz w:val="24"/>
          <w:szCs w:val="24"/>
        </w:rPr>
        <w:t xml:space="preserve"> Table 1 in Poxon and </w:t>
      </w:r>
      <w:proofErr w:type="spellStart"/>
      <w:r w:rsidR="00E0347C"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 w:rsidR="00E0347C">
        <w:rPr>
          <w:rFonts w:ascii="Aptos" w:eastAsia="Times New Roman" w:hAnsi="Aptos" w:cs="Arial"/>
          <w:color w:val="000000"/>
          <w:sz w:val="24"/>
          <w:szCs w:val="24"/>
        </w:rPr>
        <w:t xml:space="preserve"> (2020), which did not acknowledge the limitations of 2019 data preclud</w:t>
      </w:r>
      <w:r w:rsidR="008870C2">
        <w:rPr>
          <w:rFonts w:ascii="Aptos" w:eastAsia="Times New Roman" w:hAnsi="Aptos" w:cs="Arial"/>
          <w:color w:val="000000"/>
          <w:sz w:val="24"/>
          <w:szCs w:val="24"/>
        </w:rPr>
        <w:t>ing</w:t>
      </w:r>
      <w:r w:rsidR="00E0347C">
        <w:rPr>
          <w:rFonts w:ascii="Aptos" w:eastAsia="Times New Roman" w:hAnsi="Aptos" w:cs="Arial"/>
          <w:color w:val="000000"/>
          <w:sz w:val="24"/>
          <w:szCs w:val="24"/>
        </w:rPr>
        <w:t xml:space="preserve"> run differentiation, has been superseded </w:t>
      </w:r>
      <w:r w:rsidR="00366329">
        <w:rPr>
          <w:rFonts w:ascii="Aptos" w:eastAsia="Times New Roman" w:hAnsi="Aptos" w:cs="Arial"/>
          <w:color w:val="000000"/>
          <w:sz w:val="24"/>
          <w:szCs w:val="24"/>
        </w:rPr>
        <w:t xml:space="preserve">by Table 1 in Poxon and </w:t>
      </w:r>
      <w:proofErr w:type="spellStart"/>
      <w:r w:rsidR="00366329"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 w:rsidR="00366329">
        <w:rPr>
          <w:rFonts w:ascii="Aptos" w:eastAsia="Times New Roman" w:hAnsi="Aptos" w:cs="Arial"/>
          <w:color w:val="000000"/>
          <w:sz w:val="24"/>
          <w:szCs w:val="24"/>
        </w:rPr>
        <w:t xml:space="preserve"> (202</w:t>
      </w:r>
      <w:r w:rsidR="00ED63FA">
        <w:rPr>
          <w:rFonts w:ascii="Aptos" w:eastAsia="Times New Roman" w:hAnsi="Aptos" w:cs="Arial"/>
          <w:color w:val="000000"/>
          <w:sz w:val="24"/>
          <w:szCs w:val="24"/>
        </w:rPr>
        <w:t>4</w:t>
      </w:r>
      <w:r w:rsidR="00366329">
        <w:rPr>
          <w:rFonts w:ascii="Aptos" w:eastAsia="Times New Roman" w:hAnsi="Aptos" w:cs="Arial"/>
          <w:color w:val="000000"/>
          <w:sz w:val="24"/>
          <w:szCs w:val="24"/>
        </w:rPr>
        <w:t xml:space="preserve">). Table 1 in Poxon and </w:t>
      </w:r>
      <w:proofErr w:type="spellStart"/>
      <w:r w:rsidR="00366329">
        <w:rPr>
          <w:rFonts w:ascii="Aptos" w:eastAsia="Times New Roman" w:hAnsi="Aptos" w:cs="Arial"/>
          <w:color w:val="000000"/>
          <w:sz w:val="24"/>
          <w:szCs w:val="24"/>
        </w:rPr>
        <w:t>Bratovich</w:t>
      </w:r>
      <w:proofErr w:type="spellEnd"/>
      <w:r w:rsidR="00366329">
        <w:rPr>
          <w:rFonts w:ascii="Aptos" w:eastAsia="Times New Roman" w:hAnsi="Aptos" w:cs="Arial"/>
          <w:color w:val="000000"/>
          <w:sz w:val="24"/>
          <w:szCs w:val="24"/>
        </w:rPr>
        <w:t xml:space="preserve"> (202</w:t>
      </w:r>
      <w:r w:rsidR="00ED63FA">
        <w:rPr>
          <w:rFonts w:ascii="Aptos" w:eastAsia="Times New Roman" w:hAnsi="Aptos" w:cs="Arial"/>
          <w:color w:val="000000"/>
          <w:sz w:val="24"/>
          <w:szCs w:val="24"/>
        </w:rPr>
        <w:t>4</w:t>
      </w:r>
      <w:r w:rsidR="00366329">
        <w:rPr>
          <w:rFonts w:ascii="Aptos" w:eastAsia="Times New Roman" w:hAnsi="Aptos" w:cs="Arial"/>
          <w:color w:val="000000"/>
          <w:sz w:val="24"/>
          <w:szCs w:val="24"/>
        </w:rPr>
        <w:t>) is also expanded to include results of count correction and run differentiation analyses for biological years 2020 through 202</w:t>
      </w:r>
      <w:r w:rsidR="00ED63FA">
        <w:rPr>
          <w:rFonts w:ascii="Aptos" w:eastAsia="Times New Roman" w:hAnsi="Aptos" w:cs="Arial"/>
          <w:color w:val="000000"/>
          <w:sz w:val="24"/>
          <w:szCs w:val="24"/>
        </w:rPr>
        <w:t>4</w:t>
      </w:r>
      <w:r w:rsidR="00366329">
        <w:rPr>
          <w:rFonts w:ascii="Aptos" w:eastAsia="Times New Roman" w:hAnsi="Aptos" w:cs="Arial"/>
          <w:color w:val="000000"/>
          <w:sz w:val="24"/>
          <w:szCs w:val="24"/>
        </w:rPr>
        <w:t>.</w:t>
      </w:r>
      <w:r w:rsidR="00E0347C">
        <w:rPr>
          <w:rFonts w:ascii="Aptos" w:eastAsia="Times New Roman" w:hAnsi="Aptos" w:cs="Arial"/>
          <w:color w:val="000000"/>
          <w:sz w:val="24"/>
          <w:szCs w:val="24"/>
        </w:rPr>
        <w:t xml:space="preserve"> </w:t>
      </w:r>
    </w:p>
    <w:p w14:paraId="1F27FC51" w14:textId="77777777" w:rsidR="000E2D4E" w:rsidRDefault="000E2D4E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</w:p>
    <w:p w14:paraId="4FED1189" w14:textId="67FA2D98" w:rsidR="000E2D4E" w:rsidRDefault="00C959BC" w:rsidP="00563A4C">
      <w:pPr>
        <w:spacing w:after="0" w:line="240" w:lineRule="auto"/>
        <w:rPr>
          <w:rFonts w:ascii="Aptos" w:eastAsia="Times New Roman" w:hAnsi="Aptos" w:cs="Arial"/>
          <w:color w:val="000000"/>
          <w:sz w:val="24"/>
          <w:szCs w:val="24"/>
        </w:rPr>
      </w:pPr>
      <w:r>
        <w:rPr>
          <w:rFonts w:ascii="Aptos" w:eastAsia="Times New Roman" w:hAnsi="Aptos" w:cs="Arial"/>
          <w:color w:val="000000"/>
          <w:sz w:val="24"/>
          <w:szCs w:val="24"/>
        </w:rPr>
        <w:t>Resources</w:t>
      </w:r>
    </w:p>
    <w:p w14:paraId="20BFB365" w14:textId="23CD7959" w:rsidR="000E2D4E" w:rsidRDefault="000E2D4E" w:rsidP="00563A4C">
      <w:pPr>
        <w:spacing w:after="0" w:line="240" w:lineRule="auto"/>
        <w:rPr>
          <w:rFonts w:ascii="Aptos" w:eastAsia="Times New Roman" w:hAnsi="Aptos" w:cs="Arial"/>
          <w:sz w:val="24"/>
          <w:szCs w:val="24"/>
        </w:rPr>
      </w:pPr>
      <w:r w:rsidRPr="000E2D4E">
        <w:rPr>
          <w:rFonts w:ascii="Aptos" w:eastAsia="Times New Roman" w:hAnsi="Aptos" w:cs="Arial"/>
          <w:sz w:val="24"/>
          <w:szCs w:val="24"/>
        </w:rPr>
        <w:t xml:space="preserve">Poxon, B. and </w:t>
      </w:r>
      <w:proofErr w:type="spellStart"/>
      <w:r w:rsidRPr="000E2D4E">
        <w:rPr>
          <w:rFonts w:ascii="Aptos" w:eastAsia="Times New Roman" w:hAnsi="Aptos" w:cs="Arial"/>
          <w:sz w:val="24"/>
          <w:szCs w:val="24"/>
        </w:rPr>
        <w:t>Bratovich</w:t>
      </w:r>
      <w:proofErr w:type="spellEnd"/>
      <w:r w:rsidRPr="000E2D4E">
        <w:rPr>
          <w:rFonts w:ascii="Aptos" w:eastAsia="Times New Roman" w:hAnsi="Aptos" w:cs="Arial"/>
          <w:sz w:val="24"/>
          <w:szCs w:val="24"/>
        </w:rPr>
        <w:t xml:space="preserve">, P. 2020. Lower Yuba River </w:t>
      </w:r>
      <w:r w:rsidR="00366329">
        <w:rPr>
          <w:rFonts w:ascii="Aptos" w:eastAsia="Times New Roman" w:hAnsi="Aptos" w:cs="Arial"/>
          <w:sz w:val="24"/>
          <w:szCs w:val="24"/>
        </w:rPr>
        <w:t>VAKI</w:t>
      </w:r>
      <w:r w:rsidR="00366329" w:rsidRPr="000E2D4E">
        <w:rPr>
          <w:rFonts w:ascii="Aptos" w:eastAsia="Times New Roman" w:hAnsi="Aptos" w:cs="Arial"/>
          <w:sz w:val="24"/>
          <w:szCs w:val="24"/>
        </w:rPr>
        <w:t xml:space="preserve"> </w:t>
      </w:r>
      <w:proofErr w:type="spellStart"/>
      <w:r w:rsidRPr="000E2D4E">
        <w:rPr>
          <w:rFonts w:ascii="Aptos" w:eastAsia="Times New Roman" w:hAnsi="Aptos" w:cs="Arial"/>
          <w:sz w:val="24"/>
          <w:szCs w:val="24"/>
        </w:rPr>
        <w:t>Riverwatcher</w:t>
      </w:r>
      <w:proofErr w:type="spellEnd"/>
      <w:r w:rsidR="00366329">
        <w:rPr>
          <w:rFonts w:ascii="Aptos" w:eastAsia="Times New Roman" w:hAnsi="Aptos" w:cs="Arial"/>
          <w:sz w:val="24"/>
          <w:szCs w:val="24"/>
        </w:rPr>
        <w:t>™</w:t>
      </w:r>
      <w:r w:rsidRPr="000E2D4E">
        <w:rPr>
          <w:rFonts w:ascii="Aptos" w:eastAsia="Times New Roman" w:hAnsi="Aptos" w:cs="Arial"/>
          <w:sz w:val="24"/>
          <w:szCs w:val="24"/>
        </w:rPr>
        <w:t xml:space="preserve"> Chinook Salmon Passage and Run Differentiation Analyses</w:t>
      </w:r>
      <w:r w:rsidR="008870C2">
        <w:rPr>
          <w:rFonts w:ascii="Aptos" w:eastAsia="Times New Roman" w:hAnsi="Aptos" w:cs="Arial"/>
          <w:sz w:val="24"/>
          <w:szCs w:val="24"/>
        </w:rPr>
        <w:t xml:space="preserve"> – 2020 Update</w:t>
      </w:r>
      <w:r w:rsidRPr="000E2D4E">
        <w:rPr>
          <w:rFonts w:ascii="Aptos" w:eastAsia="Times New Roman" w:hAnsi="Aptos" w:cs="Arial"/>
          <w:sz w:val="24"/>
          <w:szCs w:val="24"/>
        </w:rPr>
        <w:t>. Prepared by HDR for Yuba Water Agency.</w:t>
      </w:r>
    </w:p>
    <w:p w14:paraId="6EBA173A" w14:textId="77777777" w:rsidR="00366329" w:rsidRDefault="00366329" w:rsidP="00563A4C">
      <w:pPr>
        <w:spacing w:after="0" w:line="240" w:lineRule="auto"/>
        <w:rPr>
          <w:rFonts w:ascii="Aptos" w:eastAsia="Times New Roman" w:hAnsi="Aptos" w:cs="Arial"/>
          <w:sz w:val="24"/>
          <w:szCs w:val="24"/>
        </w:rPr>
      </w:pPr>
    </w:p>
    <w:p w14:paraId="17C29EC8" w14:textId="10971C50" w:rsidR="00366329" w:rsidRPr="009A113B" w:rsidRDefault="00366329" w:rsidP="00563A4C">
      <w:pPr>
        <w:spacing w:after="0" w:line="240" w:lineRule="auto"/>
        <w:rPr>
          <w:rFonts w:ascii="Aptos" w:eastAsia="Times New Roman" w:hAnsi="Aptos" w:cs="Arial"/>
          <w:sz w:val="24"/>
          <w:szCs w:val="24"/>
        </w:rPr>
      </w:pPr>
      <w:r>
        <w:rPr>
          <w:rFonts w:ascii="Aptos" w:eastAsia="Times New Roman" w:hAnsi="Aptos" w:cs="Arial"/>
          <w:sz w:val="24"/>
          <w:szCs w:val="24"/>
        </w:rPr>
        <w:t xml:space="preserve">Poxon, B. and </w:t>
      </w:r>
      <w:proofErr w:type="spellStart"/>
      <w:r>
        <w:rPr>
          <w:rFonts w:ascii="Aptos" w:eastAsia="Times New Roman" w:hAnsi="Aptos" w:cs="Arial"/>
          <w:sz w:val="24"/>
          <w:szCs w:val="24"/>
        </w:rPr>
        <w:t>Bratovich</w:t>
      </w:r>
      <w:proofErr w:type="spellEnd"/>
      <w:r>
        <w:rPr>
          <w:rFonts w:ascii="Aptos" w:eastAsia="Times New Roman" w:hAnsi="Aptos" w:cs="Arial"/>
          <w:sz w:val="24"/>
          <w:szCs w:val="24"/>
        </w:rPr>
        <w:t>, P. 202</w:t>
      </w:r>
      <w:r w:rsidR="00ED63FA">
        <w:rPr>
          <w:rFonts w:ascii="Aptos" w:eastAsia="Times New Roman" w:hAnsi="Aptos" w:cs="Arial"/>
          <w:sz w:val="24"/>
          <w:szCs w:val="24"/>
        </w:rPr>
        <w:t>4</w:t>
      </w:r>
      <w:r>
        <w:rPr>
          <w:rFonts w:ascii="Aptos" w:eastAsia="Times New Roman" w:hAnsi="Aptos" w:cs="Arial"/>
          <w:sz w:val="24"/>
          <w:szCs w:val="24"/>
        </w:rPr>
        <w:t>. Summary Table</w:t>
      </w:r>
      <w:r w:rsidR="008870C2">
        <w:rPr>
          <w:rFonts w:ascii="Aptos" w:eastAsia="Times New Roman" w:hAnsi="Aptos" w:cs="Arial"/>
          <w:sz w:val="24"/>
          <w:szCs w:val="24"/>
        </w:rPr>
        <w:t xml:space="preserve"> of Results for</w:t>
      </w:r>
      <w:r>
        <w:rPr>
          <w:rFonts w:ascii="Aptos" w:eastAsia="Times New Roman" w:hAnsi="Aptos" w:cs="Arial"/>
          <w:sz w:val="24"/>
          <w:szCs w:val="24"/>
        </w:rPr>
        <w:t xml:space="preserve"> Lower Yuba River VAKI </w:t>
      </w:r>
      <w:proofErr w:type="spellStart"/>
      <w:r>
        <w:rPr>
          <w:rFonts w:ascii="Aptos" w:eastAsia="Times New Roman" w:hAnsi="Aptos" w:cs="Arial"/>
          <w:sz w:val="24"/>
          <w:szCs w:val="24"/>
        </w:rPr>
        <w:t>Riverwatcher</w:t>
      </w:r>
      <w:proofErr w:type="spellEnd"/>
      <w:r w:rsidR="008870C2">
        <w:rPr>
          <w:rFonts w:ascii="Aptos" w:eastAsia="Times New Roman" w:hAnsi="Aptos" w:cs="Arial"/>
          <w:sz w:val="24"/>
          <w:szCs w:val="24"/>
        </w:rPr>
        <w:t>™ Chinook Salmon Passage and Run Differentiation Analyses for Biological Years 2004-202</w:t>
      </w:r>
      <w:r w:rsidR="00ED63FA">
        <w:rPr>
          <w:rFonts w:ascii="Aptos" w:eastAsia="Times New Roman" w:hAnsi="Aptos" w:cs="Arial"/>
          <w:sz w:val="24"/>
          <w:szCs w:val="24"/>
        </w:rPr>
        <w:t>4</w:t>
      </w:r>
      <w:r w:rsidR="008870C2">
        <w:rPr>
          <w:rFonts w:ascii="Aptos" w:eastAsia="Times New Roman" w:hAnsi="Aptos" w:cs="Arial"/>
          <w:sz w:val="24"/>
          <w:szCs w:val="24"/>
        </w:rPr>
        <w:t>. Prepared by HDR for Yuba Water Agency.</w:t>
      </w:r>
    </w:p>
    <w:sectPr w:rsidR="00366329" w:rsidRPr="009A1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7324"/>
    <w:multiLevelType w:val="hybridMultilevel"/>
    <w:tmpl w:val="B7641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032C3"/>
    <w:multiLevelType w:val="hybridMultilevel"/>
    <w:tmpl w:val="D81C3FB8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" w15:restartNumberingAfterBreak="0">
    <w:nsid w:val="39C626EB"/>
    <w:multiLevelType w:val="hybridMultilevel"/>
    <w:tmpl w:val="761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42DF2"/>
    <w:multiLevelType w:val="hybridMultilevel"/>
    <w:tmpl w:val="CA9C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C73DAA"/>
    <w:multiLevelType w:val="hybridMultilevel"/>
    <w:tmpl w:val="BD38ADB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1327974495">
    <w:abstractNumId w:val="1"/>
  </w:num>
  <w:num w:numId="2" w16cid:durableId="625355915">
    <w:abstractNumId w:val="4"/>
  </w:num>
  <w:num w:numId="3" w16cid:durableId="376391627">
    <w:abstractNumId w:val="3"/>
  </w:num>
  <w:num w:numId="4" w16cid:durableId="115956147">
    <w:abstractNumId w:val="2"/>
  </w:num>
  <w:num w:numId="5" w16cid:durableId="97140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481"/>
    <w:rsid w:val="00076BCD"/>
    <w:rsid w:val="000820A4"/>
    <w:rsid w:val="000E2D4E"/>
    <w:rsid w:val="00180907"/>
    <w:rsid w:val="002F1453"/>
    <w:rsid w:val="00305A53"/>
    <w:rsid w:val="003153C8"/>
    <w:rsid w:val="00366329"/>
    <w:rsid w:val="003D31E2"/>
    <w:rsid w:val="003F6FE9"/>
    <w:rsid w:val="00447350"/>
    <w:rsid w:val="00476BE9"/>
    <w:rsid w:val="00563A4C"/>
    <w:rsid w:val="00625096"/>
    <w:rsid w:val="006360B5"/>
    <w:rsid w:val="0064546D"/>
    <w:rsid w:val="006728EC"/>
    <w:rsid w:val="006A7826"/>
    <w:rsid w:val="006F35BF"/>
    <w:rsid w:val="00754797"/>
    <w:rsid w:val="00842B1D"/>
    <w:rsid w:val="008449D0"/>
    <w:rsid w:val="008870C2"/>
    <w:rsid w:val="008B6910"/>
    <w:rsid w:val="008F61EE"/>
    <w:rsid w:val="008F635C"/>
    <w:rsid w:val="00966D2D"/>
    <w:rsid w:val="00975572"/>
    <w:rsid w:val="009967D8"/>
    <w:rsid w:val="009A113B"/>
    <w:rsid w:val="00AB2400"/>
    <w:rsid w:val="00C456D2"/>
    <w:rsid w:val="00C70481"/>
    <w:rsid w:val="00C959BC"/>
    <w:rsid w:val="00CD1261"/>
    <w:rsid w:val="00D12575"/>
    <w:rsid w:val="00D30D22"/>
    <w:rsid w:val="00D47208"/>
    <w:rsid w:val="00E0347C"/>
    <w:rsid w:val="00ED63FA"/>
    <w:rsid w:val="00EE522E"/>
    <w:rsid w:val="00FC0DBC"/>
    <w:rsid w:val="00FE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11FF"/>
  <w15:chartTrackingRefBased/>
  <w15:docId w15:val="{274E15C8-605C-8146-881F-2876DC46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6D2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547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47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5479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6D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96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967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967D8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7D8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180907"/>
    <w:rPr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5479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5479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54797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4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Vizek</dc:creator>
  <cp:keywords/>
  <dc:description/>
  <cp:lastModifiedBy>Ashley Vizek</cp:lastModifiedBy>
  <cp:revision>4</cp:revision>
  <dcterms:created xsi:type="dcterms:W3CDTF">2024-06-24T16:46:00Z</dcterms:created>
  <dcterms:modified xsi:type="dcterms:W3CDTF">2026-03-23T22:40:00Z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30ee07-aa2b-47c7-bd4c-7cc545b5d455_Enabled">
    <vt:lpwstr>true</vt:lpwstr>
  </property>
  <property fmtid="{D5CDD505-2E9C-101B-9397-08002B2CF9AE}" pid="3" name="MSIP_Label_b530ee07-aa2b-47c7-bd4c-7cc545b5d455_SetDate">
    <vt:lpwstr>2024-06-14T20:02:21Z</vt:lpwstr>
  </property>
  <property fmtid="{D5CDD505-2E9C-101B-9397-08002B2CF9AE}" pid="4" name="MSIP_Label_b530ee07-aa2b-47c7-bd4c-7cc545b5d455_Method">
    <vt:lpwstr>Standard</vt:lpwstr>
  </property>
  <property fmtid="{D5CDD505-2E9C-101B-9397-08002B2CF9AE}" pid="5" name="MSIP_Label_b530ee07-aa2b-47c7-bd4c-7cc545b5d455_Name">
    <vt:lpwstr>HDR General Label</vt:lpwstr>
  </property>
  <property fmtid="{D5CDD505-2E9C-101B-9397-08002B2CF9AE}" pid="6" name="MSIP_Label_b530ee07-aa2b-47c7-bd4c-7cc545b5d455_SiteId">
    <vt:lpwstr>3667e201-cbdc-48b3-9b42-5d2d3f16e2a9</vt:lpwstr>
  </property>
  <property fmtid="{D5CDD505-2E9C-101B-9397-08002B2CF9AE}" pid="7" name="MSIP_Label_b530ee07-aa2b-47c7-bd4c-7cc545b5d455_ActionId">
    <vt:lpwstr>35509650-18ed-4b46-bbc0-73e6fbe4c96c</vt:lpwstr>
  </property>
  <property fmtid="{D5CDD505-2E9C-101B-9397-08002B2CF9AE}" pid="8" name="MSIP_Label_b530ee07-aa2b-47c7-bd4c-7cc545b5d455_ContentBits">
    <vt:lpwstr>0</vt:lpwstr>
  </property>
</Properties>
</file>